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34B7E">
      <w:pPr>
        <w:spacing w:line="580" w:lineRule="exact"/>
        <w:jc w:val="left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附件3</w:t>
      </w:r>
    </w:p>
    <w:p w14:paraId="2B356D27">
      <w:pPr>
        <w:spacing w:line="251" w:lineRule="auto"/>
        <w:rPr>
          <w:rFonts w:ascii="Arial"/>
        </w:rPr>
      </w:pPr>
    </w:p>
    <w:p w14:paraId="259B90A2">
      <w:pPr>
        <w:spacing w:line="251" w:lineRule="auto"/>
        <w:rPr>
          <w:rFonts w:ascii="Arial"/>
        </w:rPr>
      </w:pPr>
    </w:p>
    <w:p w14:paraId="54D5B385">
      <w:pPr>
        <w:rPr>
          <w:rFonts w:ascii="Arial"/>
        </w:rPr>
      </w:pPr>
    </w:p>
    <w:p w14:paraId="07595385">
      <w:pPr>
        <w:pStyle w:val="2"/>
      </w:pPr>
    </w:p>
    <w:p w14:paraId="5C3089A0"/>
    <w:p w14:paraId="2A87E097">
      <w:pPr>
        <w:spacing w:before="223" w:line="218" w:lineRule="auto"/>
        <w:ind w:left="1384"/>
        <w:jc w:val="center"/>
        <w:rPr>
          <w:rFonts w:ascii="宋体" w:hAnsi="宋体" w:cs="方正小标宋简体"/>
          <w:b/>
          <w:spacing w:val="-1"/>
          <w:sz w:val="52"/>
          <w:szCs w:val="52"/>
        </w:rPr>
      </w:pPr>
      <w:r>
        <w:rPr>
          <w:rFonts w:hint="eastAsia" w:ascii="宋体" w:hAnsi="宋体" w:cs="方正小标宋简体"/>
          <w:b/>
          <w:spacing w:val="-1"/>
          <w:sz w:val="52"/>
          <w:szCs w:val="52"/>
        </w:rPr>
        <w:t>202</w:t>
      </w:r>
      <w:r>
        <w:rPr>
          <w:rFonts w:hint="eastAsia" w:ascii="宋体" w:hAnsi="宋体" w:cs="方正小标宋简体"/>
          <w:b/>
          <w:spacing w:val="-1"/>
          <w:sz w:val="52"/>
          <w:szCs w:val="52"/>
          <w:lang w:val="en-US" w:eastAsia="zh-CN"/>
        </w:rPr>
        <w:t>5</w:t>
      </w:r>
      <w:r>
        <w:rPr>
          <w:rFonts w:hint="eastAsia" w:ascii="宋体" w:hAnsi="宋体" w:cs="方正小标宋简体"/>
          <w:b/>
          <w:spacing w:val="-1"/>
          <w:sz w:val="52"/>
          <w:szCs w:val="52"/>
        </w:rPr>
        <w:t>年度</w:t>
      </w:r>
      <w:r>
        <w:rPr>
          <w:rFonts w:hint="eastAsia" w:ascii="宋体" w:hAnsi="宋体" w:cs="方正小标宋简体"/>
          <w:b/>
          <w:spacing w:val="-1"/>
          <w:sz w:val="52"/>
          <w:szCs w:val="52"/>
          <w:lang w:val="en-US" w:eastAsia="zh-CN"/>
        </w:rPr>
        <w:t>长工</w:t>
      </w:r>
      <w:r>
        <w:rPr>
          <w:rFonts w:hint="eastAsia" w:ascii="宋体" w:hAnsi="宋体" w:cs="宋体"/>
          <w:b/>
          <w:spacing w:val="-1"/>
          <w:sz w:val="52"/>
          <w:szCs w:val="52"/>
        </w:rPr>
        <w:t>实验学校</w:t>
      </w:r>
      <w:r>
        <w:rPr>
          <w:rFonts w:hint="eastAsia" w:ascii="宋体" w:hAnsi="宋体" w:cs="方正小标宋简体"/>
          <w:b/>
          <w:spacing w:val="-1"/>
          <w:sz w:val="52"/>
          <w:szCs w:val="52"/>
        </w:rPr>
        <w:t>部门</w:t>
      </w:r>
    </w:p>
    <w:p w14:paraId="68DF1BEC">
      <w:pPr>
        <w:spacing w:before="223" w:line="218" w:lineRule="auto"/>
        <w:ind w:left="1384"/>
        <w:jc w:val="center"/>
        <w:rPr>
          <w:rFonts w:ascii="宋体" w:hAnsi="宋体" w:cs="宋体"/>
          <w:b/>
          <w:spacing w:val="-1"/>
          <w:sz w:val="52"/>
          <w:szCs w:val="52"/>
        </w:rPr>
      </w:pPr>
      <w:r>
        <w:rPr>
          <w:rFonts w:hint="eastAsia" w:ascii="宋体" w:hAnsi="宋体" w:cs="方正小标宋简体"/>
          <w:b/>
          <w:spacing w:val="-1"/>
          <w:sz w:val="52"/>
          <w:szCs w:val="52"/>
        </w:rPr>
        <w:t>整体支出</w:t>
      </w:r>
      <w:r>
        <w:rPr>
          <w:rFonts w:hint="eastAsia" w:ascii="宋体" w:hAnsi="宋体" w:cs="方正小标宋简体"/>
          <w:b/>
          <w:spacing w:val="-3"/>
          <w:sz w:val="52"/>
          <w:szCs w:val="52"/>
        </w:rPr>
        <w:t>绩效自评报告</w:t>
      </w:r>
    </w:p>
    <w:p w14:paraId="66DBC3B4">
      <w:pPr>
        <w:spacing w:line="243" w:lineRule="auto"/>
        <w:rPr>
          <w:rFonts w:ascii="Arial"/>
        </w:rPr>
      </w:pPr>
    </w:p>
    <w:p w14:paraId="6CE172D6">
      <w:pPr>
        <w:spacing w:line="243" w:lineRule="auto"/>
        <w:rPr>
          <w:rFonts w:ascii="Arial"/>
        </w:rPr>
      </w:pPr>
    </w:p>
    <w:p w14:paraId="585D0E9C">
      <w:pPr>
        <w:spacing w:line="243" w:lineRule="auto"/>
        <w:rPr>
          <w:rFonts w:ascii="Arial"/>
        </w:rPr>
      </w:pPr>
    </w:p>
    <w:p w14:paraId="51E3117F">
      <w:pPr>
        <w:spacing w:line="243" w:lineRule="auto"/>
        <w:rPr>
          <w:rFonts w:ascii="Arial"/>
        </w:rPr>
      </w:pPr>
      <w:bookmarkStart w:id="0" w:name="_GoBack"/>
      <w:bookmarkEnd w:id="0"/>
    </w:p>
    <w:p w14:paraId="63DF4941">
      <w:pPr>
        <w:spacing w:line="243" w:lineRule="auto"/>
        <w:rPr>
          <w:rFonts w:ascii="Arial"/>
        </w:rPr>
      </w:pPr>
    </w:p>
    <w:p w14:paraId="03C56DFA">
      <w:pPr>
        <w:spacing w:line="243" w:lineRule="auto"/>
        <w:rPr>
          <w:rFonts w:ascii="Arial"/>
        </w:rPr>
      </w:pPr>
    </w:p>
    <w:p w14:paraId="12EB900C">
      <w:pPr>
        <w:spacing w:line="244" w:lineRule="auto"/>
        <w:rPr>
          <w:rFonts w:ascii="Arial"/>
        </w:rPr>
      </w:pPr>
    </w:p>
    <w:p w14:paraId="2096ADBE">
      <w:pPr>
        <w:spacing w:line="244" w:lineRule="auto"/>
        <w:rPr>
          <w:rFonts w:ascii="Arial"/>
        </w:rPr>
      </w:pPr>
    </w:p>
    <w:p w14:paraId="5D290B78">
      <w:pPr>
        <w:pStyle w:val="3"/>
        <w:spacing w:before="100" w:line="221" w:lineRule="auto"/>
        <w:ind w:firstLine="600" w:firstLineChars="2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eastAsia="zh-CN"/>
        </w:rPr>
        <w:t>部门（单位）名称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eastAsia="zh-CN"/>
        </w:rPr>
        <w:t>：</w:t>
      </w:r>
      <w:r>
        <w:rPr>
          <w:rFonts w:ascii="仿宋_GB2312" w:hAnsi="仿宋_GB2312" w:eastAsia="仿宋_GB2312" w:cs="仿宋_GB2312"/>
          <w:spacing w:val="4"/>
          <w:sz w:val="32"/>
          <w:szCs w:val="32"/>
          <w:u w:val="single"/>
          <w:lang w:eastAsia="zh-CN"/>
        </w:rPr>
        <w:t xml:space="preserve">      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  <w:lang w:eastAsia="zh-CN"/>
        </w:rPr>
        <w:drawing>
          <wp:inline distT="0" distB="0" distL="114300" distR="114300">
            <wp:extent cx="1624965" cy="1642110"/>
            <wp:effectExtent l="80645" t="81915" r="86995" b="83820"/>
            <wp:docPr id="1" name="图片 1" descr="f7d0482830176865a5282e267b9516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7d0482830176865a5282e267b9516d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5840000">
                      <a:off x="0" y="0"/>
                      <a:ext cx="1624965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u w:val="single"/>
          <w:lang w:eastAsia="zh-CN"/>
        </w:rPr>
        <w:t xml:space="preserve">盖章） </w:t>
      </w:r>
      <w:r>
        <w:rPr>
          <w:rFonts w:ascii="仿宋_GB2312" w:hAnsi="仿宋_GB2312" w:eastAsia="仿宋_GB2312" w:cs="仿宋_GB2312"/>
          <w:spacing w:val="-10"/>
          <w:sz w:val="32"/>
          <w:szCs w:val="32"/>
          <w:u w:val="single"/>
          <w:lang w:eastAsia="zh-CN"/>
        </w:rPr>
        <w:t xml:space="preserve">              </w:t>
      </w:r>
    </w:p>
    <w:p w14:paraId="7D85D6AB">
      <w:pPr>
        <w:spacing w:before="228" w:line="222" w:lineRule="auto"/>
        <w:jc w:val="center"/>
        <w:rPr>
          <w:rFonts w:ascii="仿宋_GB2312" w:hAnsi="仿宋_GB2312" w:eastAsia="仿宋_GB2312" w:cs="仿宋_GB2312"/>
          <w:spacing w:val="-8"/>
          <w:sz w:val="32"/>
          <w:szCs w:val="32"/>
        </w:rPr>
      </w:pPr>
    </w:p>
    <w:p w14:paraId="36633907">
      <w:pPr>
        <w:spacing w:before="228" w:line="222" w:lineRule="auto"/>
        <w:jc w:val="center"/>
        <w:rPr>
          <w:rFonts w:ascii="仿宋_GB2312" w:hAnsi="仿宋_GB2312" w:eastAsia="仿宋_GB2312" w:cs="仿宋_GB2312"/>
          <w:spacing w:val="-8"/>
          <w:sz w:val="32"/>
          <w:szCs w:val="32"/>
        </w:rPr>
      </w:pPr>
    </w:p>
    <w:p w14:paraId="67725FDA">
      <w:pPr>
        <w:spacing w:before="228" w:line="222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2</w:t>
      </w:r>
      <w:r>
        <w:rPr>
          <w:rFonts w:ascii="仿宋_GB2312" w:hAnsi="仿宋_GB2312" w:eastAsia="仿宋_GB2312" w:cs="仿宋_GB2312"/>
          <w:spacing w:val="-8"/>
          <w:sz w:val="32"/>
          <w:szCs w:val="32"/>
        </w:rPr>
        <w:t>025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年5月1</w:t>
      </w:r>
      <w:r>
        <w:rPr>
          <w:rFonts w:ascii="仿宋_GB2312" w:hAnsi="仿宋_GB2312" w:eastAsia="仿宋_GB2312" w:cs="仿宋_GB2312"/>
          <w:spacing w:val="-8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日</w:t>
      </w:r>
    </w:p>
    <w:p w14:paraId="11B833AD">
      <w:pPr>
        <w:spacing w:line="335" w:lineRule="auto"/>
        <w:rPr>
          <w:rFonts w:ascii="仿宋_GB2312" w:hAnsi="仿宋_GB2312" w:eastAsia="仿宋_GB2312" w:cs="仿宋_GB2312"/>
          <w:sz w:val="32"/>
          <w:szCs w:val="32"/>
        </w:rPr>
      </w:pPr>
    </w:p>
    <w:p w14:paraId="63161485">
      <w:pPr>
        <w:pStyle w:val="3"/>
        <w:spacing w:before="102" w:line="224" w:lineRule="auto"/>
        <w:ind w:left="3216"/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（此页为封面）</w:t>
      </w:r>
    </w:p>
    <w:p w14:paraId="573AB247">
      <w:pPr>
        <w:jc w:val="center"/>
        <w:rPr>
          <w:rFonts w:ascii="宋体" w:hAnsi="宋体" w:cs="方正小标宋简体"/>
          <w:b/>
          <w:color w:val="000000" w:themeColor="text1"/>
          <w:sz w:val="44"/>
          <w:szCs w:val="44"/>
        </w:rPr>
      </w:pPr>
      <w:r>
        <w:rPr>
          <w:rFonts w:hint="eastAsia" w:ascii="宋体" w:hAnsi="宋体" w:cs="方正小标宋简体"/>
          <w:b/>
          <w:color w:val="000000" w:themeColor="text1"/>
          <w:sz w:val="44"/>
          <w:szCs w:val="44"/>
        </w:rPr>
        <w:t>202</w:t>
      </w:r>
      <w:r>
        <w:rPr>
          <w:rFonts w:hint="eastAsia" w:ascii="宋体" w:hAnsi="宋体" w:cs="方正小标宋简体"/>
          <w:b/>
          <w:color w:val="000000" w:themeColor="text1"/>
          <w:sz w:val="44"/>
          <w:szCs w:val="44"/>
          <w:lang w:val="en-US" w:eastAsia="zh-CN"/>
        </w:rPr>
        <w:t>5</w:t>
      </w:r>
      <w:r>
        <w:rPr>
          <w:rFonts w:hint="eastAsia" w:ascii="宋体" w:hAnsi="宋体" w:cs="方正小标宋简体"/>
          <w:b/>
          <w:color w:val="000000" w:themeColor="text1"/>
          <w:sz w:val="44"/>
          <w:szCs w:val="44"/>
        </w:rPr>
        <w:t>年度华容县</w:t>
      </w:r>
      <w:r>
        <w:rPr>
          <w:rFonts w:hint="eastAsia" w:ascii="宋体" w:hAnsi="宋体" w:cs="方正小标宋简体"/>
          <w:b/>
          <w:color w:val="000000" w:themeColor="text1"/>
          <w:sz w:val="44"/>
          <w:szCs w:val="44"/>
          <w:lang w:val="en-US" w:eastAsia="zh-CN"/>
        </w:rPr>
        <w:t>长工</w:t>
      </w:r>
      <w:r>
        <w:rPr>
          <w:rFonts w:hint="eastAsia" w:ascii="宋体" w:hAnsi="宋体" w:cs="宋体"/>
          <w:b/>
          <w:color w:val="000000" w:themeColor="text1"/>
          <w:sz w:val="44"/>
          <w:szCs w:val="44"/>
        </w:rPr>
        <w:t>实验</w:t>
      </w:r>
      <w:r>
        <w:rPr>
          <w:rFonts w:hint="eastAsia" w:ascii="宋体" w:hAnsi="宋体" w:cs="方正小标宋简体"/>
          <w:b/>
          <w:color w:val="000000" w:themeColor="text1"/>
          <w:sz w:val="44"/>
          <w:szCs w:val="44"/>
        </w:rPr>
        <w:t>学校部门整体</w:t>
      </w:r>
    </w:p>
    <w:p w14:paraId="23AE701B">
      <w:pPr>
        <w:spacing w:line="610" w:lineRule="exact"/>
        <w:jc w:val="center"/>
        <w:rPr>
          <w:rFonts w:ascii="宋体" w:hAnsi="宋体" w:cs="方正小标宋简体"/>
          <w:b/>
          <w:color w:val="000000" w:themeColor="text1"/>
          <w:sz w:val="44"/>
          <w:szCs w:val="44"/>
        </w:rPr>
      </w:pPr>
      <w:r>
        <w:rPr>
          <w:rFonts w:hint="eastAsia" w:ascii="宋体" w:hAnsi="宋体" w:cs="方正小标宋简体"/>
          <w:b/>
          <w:color w:val="000000" w:themeColor="text1"/>
          <w:sz w:val="44"/>
          <w:szCs w:val="44"/>
        </w:rPr>
        <w:t>支出绩效自评报告</w:t>
      </w:r>
    </w:p>
    <w:p w14:paraId="31356AA4">
      <w:pPr>
        <w:spacing w:line="610" w:lineRule="exact"/>
        <w:ind w:firstLine="640" w:firstLineChars="200"/>
        <w:rPr>
          <w:rFonts w:eastAsia="仿宋_GB2312"/>
          <w:color w:val="000000" w:themeColor="text1"/>
          <w:sz w:val="32"/>
          <w:szCs w:val="32"/>
        </w:rPr>
      </w:pPr>
    </w:p>
    <w:p w14:paraId="4412A43F">
      <w:pPr>
        <w:spacing w:line="610" w:lineRule="exact"/>
        <w:ind w:firstLine="640" w:firstLineChars="200"/>
        <w:rPr>
          <w:rFonts w:eastAsia="黑体"/>
          <w:color w:val="000000" w:themeColor="text1"/>
          <w:sz w:val="32"/>
          <w:szCs w:val="32"/>
        </w:rPr>
      </w:pPr>
      <w:r>
        <w:rPr>
          <w:rFonts w:eastAsia="黑体"/>
          <w:color w:val="000000" w:themeColor="text1"/>
          <w:sz w:val="32"/>
          <w:szCs w:val="32"/>
        </w:rPr>
        <w:t>一、部门（单位）基本情况</w:t>
      </w:r>
    </w:p>
    <w:p w14:paraId="77DDC8CE">
      <w:pPr>
        <w:pStyle w:val="2"/>
        <w:spacing w:line="560" w:lineRule="exact"/>
        <w:ind w:firstLine="560" w:firstLineChars="200"/>
        <w:rPr>
          <w:rFonts w:ascii="新宋体" w:hAnsi="新宋体" w:eastAsia="新宋体" w:cs="新宋体"/>
          <w:bCs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1.宣传贯彻执行党和国家的教育方针、教育政策、教育法律和法规，贯彻执行上级教育行政部门的各项规章制度。</w:t>
      </w:r>
    </w:p>
    <w:p w14:paraId="34862A89">
      <w:pPr>
        <w:pStyle w:val="2"/>
        <w:spacing w:line="560" w:lineRule="exact"/>
        <w:ind w:firstLine="560" w:firstLineChars="200"/>
        <w:rPr>
          <w:rFonts w:ascii="新宋体" w:hAnsi="新宋体" w:eastAsia="新宋体" w:cs="新宋体"/>
          <w:bCs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2.在政府和上级教育主管部门的领导下，争取资金改善办学条件，为师生的学习和工作提供优美和谐的环境。</w:t>
      </w:r>
    </w:p>
    <w:p w14:paraId="4BFD18B9">
      <w:pPr>
        <w:pStyle w:val="2"/>
        <w:spacing w:line="560" w:lineRule="exact"/>
        <w:ind w:firstLine="560" w:firstLineChars="200"/>
        <w:rPr>
          <w:rFonts w:ascii="新宋体" w:hAnsi="新宋体" w:eastAsia="新宋体" w:cs="新宋体"/>
          <w:bCs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3.根据县级人民政府制定的教育事业发展规划，结合实际制定并组织实施本校的教育事业发展规划。按照干部和教师的职数、编制和管理权限，负责对本校的干部和教师进行管理，制定切实可行的学校工作规章制度，提高教育教学质量为目的，对干部职工的工作开展客观、公正的评价和考核。</w:t>
      </w:r>
    </w:p>
    <w:p w14:paraId="68D30768">
      <w:pPr>
        <w:pStyle w:val="2"/>
        <w:spacing w:line="560" w:lineRule="exact"/>
        <w:ind w:firstLine="560" w:firstLineChars="200"/>
        <w:rPr>
          <w:rFonts w:ascii="新宋体" w:hAnsi="新宋体" w:eastAsia="新宋体" w:cs="新宋体"/>
          <w:bCs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4.按照九年义务教育课程计划，开齐课程，开足课时，认真实施中小学的教育教学管理，全面推进素质教育，全面提高教育教学质量。</w:t>
      </w:r>
    </w:p>
    <w:p w14:paraId="003CEEE2">
      <w:pPr>
        <w:spacing w:before="216" w:line="226" w:lineRule="auto"/>
        <w:ind w:left="648"/>
        <w:rPr>
          <w:rFonts w:ascii="黑体" w:hAnsi="黑体" w:eastAsia="黑体" w:cs="黑体"/>
          <w:color w:val="000000" w:themeColor="text1"/>
          <w:spacing w:val="-2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pacing w:val="-2"/>
          <w:sz w:val="32"/>
          <w:szCs w:val="32"/>
        </w:rPr>
        <w:t>二、一般公共预算支出情况</w:t>
      </w:r>
    </w:p>
    <w:p w14:paraId="090B3CB6">
      <w:pPr>
        <w:ind w:firstLine="643" w:firstLineChars="200"/>
        <w:rPr>
          <w:rFonts w:ascii="楷体_GB2312" w:hAnsi="楷体_GB2312" w:eastAsia="楷体_GB2312" w:cs="楷体_GB2312"/>
          <w:b/>
          <w:bCs/>
          <w:color w:val="000000" w:themeColor="text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</w:rPr>
        <w:t>（一）基本支出情况附</w:t>
      </w:r>
    </w:p>
    <w:p w14:paraId="4537EF03">
      <w:pPr>
        <w:spacing w:line="560" w:lineRule="exact"/>
        <w:ind w:firstLine="560" w:firstLineChars="200"/>
        <w:rPr>
          <w:rFonts w:ascii="新宋体" w:hAnsi="新宋体" w:eastAsia="新宋体" w:cs="新宋体"/>
          <w:bCs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202</w:t>
      </w: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  <w:lang w:val="en-US" w:eastAsia="zh-CN"/>
        </w:rPr>
        <w:t>5</w:t>
      </w: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年度财政拨款基本支出</w:t>
      </w: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  <w:lang w:val="en-US" w:eastAsia="zh-CN"/>
        </w:rPr>
        <w:t>5811.66</w:t>
      </w: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万元，其中：人员经费</w:t>
      </w: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  <w:lang w:val="en-US" w:eastAsia="zh-CN"/>
        </w:rPr>
        <w:t>5811.66</w:t>
      </w: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万元，主要包括：（基本工资、津贴补贴、奖金、社会保障缴费、伙食补助费、其他工资福利支出、离休费、退休费、生活补助、医疗费、住房公积金、其他对个人和家庭的补助支出等）；公用经费489.55万元，主要包括：（办公费、印刷费、咨询费、电费、邮电费、差旅费、因公出国（境）费、维修（护）费、租赁费、会议费、培训费、公务接待费、劳务费、其他交通费用、其他商品和服务支出、办公设备购置、其他支出等。</w:t>
      </w:r>
    </w:p>
    <w:p w14:paraId="26EDAE84">
      <w:pPr>
        <w:spacing w:line="560" w:lineRule="exact"/>
        <w:ind w:firstLine="560" w:firstLineChars="200"/>
        <w:rPr>
          <w:rFonts w:ascii="新宋体" w:hAnsi="新宋体" w:eastAsia="新宋体" w:cs="新宋体"/>
          <w:bCs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“三公”经费支出情况：严格按照财政局下发文件标准执行，严格控制支出，202</w:t>
      </w: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  <w:lang w:val="en-US" w:eastAsia="zh-CN"/>
        </w:rPr>
        <w:t>5</w:t>
      </w: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年，“三公”经费支出为</w:t>
      </w:r>
      <w:r>
        <w:rPr>
          <w:rFonts w:ascii="新宋体" w:hAnsi="新宋体" w:eastAsia="新宋体" w:cs="新宋体"/>
          <w:bCs/>
          <w:color w:val="000000" w:themeColor="text1"/>
          <w:sz w:val="28"/>
          <w:szCs w:val="28"/>
        </w:rPr>
        <w:t>0</w:t>
      </w: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万元，比上年减少</w:t>
      </w:r>
      <w:r>
        <w:rPr>
          <w:rFonts w:ascii="新宋体" w:hAnsi="新宋体" w:eastAsia="新宋体" w:cs="新宋体"/>
          <w:bCs/>
          <w:color w:val="000000" w:themeColor="text1"/>
          <w:sz w:val="28"/>
          <w:szCs w:val="28"/>
        </w:rPr>
        <w:t>0</w:t>
      </w: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万元，下降0%，增减变化的主要原因是：厉行节约，严格管控。公务用车购置及运行维护费完成0元，与上年无变化，原因是公车无。</w:t>
      </w:r>
    </w:p>
    <w:p w14:paraId="2360AFCF">
      <w:pPr>
        <w:ind w:firstLine="643" w:firstLineChars="200"/>
        <w:rPr>
          <w:rFonts w:ascii="楷体_GB2312" w:hAnsi="楷体_GB2312" w:eastAsia="楷体_GB2312" w:cs="楷体_GB2312"/>
          <w:b/>
          <w:bCs/>
          <w:color w:val="000000" w:themeColor="text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</w:rPr>
        <w:t>（二）项目支出情况</w:t>
      </w:r>
    </w:p>
    <w:p w14:paraId="2E8AF3B5">
      <w:pPr>
        <w:pStyle w:val="12"/>
        <w:widowControl/>
        <w:spacing w:line="560" w:lineRule="exact"/>
        <w:ind w:firstLine="560"/>
        <w:rPr>
          <w:rFonts w:ascii="新宋体" w:hAnsi="新宋体" w:eastAsia="新宋体" w:cs="新宋体"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</w:rPr>
        <w:t>1、专项资金安排落实、总投入等情况分析</w:t>
      </w:r>
    </w:p>
    <w:p w14:paraId="55F6F1C1">
      <w:pPr>
        <w:pStyle w:val="12"/>
        <w:widowControl/>
        <w:spacing w:line="560" w:lineRule="exact"/>
        <w:ind w:firstLine="560"/>
        <w:rPr>
          <w:rFonts w:ascii="新宋体" w:hAnsi="新宋体" w:eastAsia="新宋体" w:cs="新宋体"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</w:rPr>
        <w:t>202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:lang w:val="en-US" w:eastAsia="zh-CN"/>
        </w:rPr>
        <w:t>5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</w:rPr>
        <w:t>年度教育专项资金安排支出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:lang w:val="en-US" w:eastAsia="zh-CN"/>
        </w:rPr>
        <w:t>384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</w:rPr>
        <w:t>万元，主要包括：学校校舍维修改造等，以上经费全部落实到位，保证了相关专项工作实施。</w:t>
      </w:r>
    </w:p>
    <w:p w14:paraId="67A745C7">
      <w:pPr>
        <w:pStyle w:val="12"/>
        <w:widowControl/>
        <w:spacing w:line="560" w:lineRule="exact"/>
        <w:ind w:firstLine="560"/>
        <w:rPr>
          <w:rFonts w:ascii="新宋体" w:hAnsi="新宋体" w:eastAsia="新宋体" w:cs="新宋体"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</w:rPr>
        <w:t>2、专项资金实际使用情况分析</w:t>
      </w:r>
    </w:p>
    <w:p w14:paraId="513028E8">
      <w:pPr>
        <w:pStyle w:val="12"/>
        <w:widowControl/>
        <w:spacing w:line="560" w:lineRule="exact"/>
        <w:ind w:firstLine="560"/>
        <w:rPr>
          <w:rFonts w:ascii="新宋体" w:hAnsi="新宋体" w:eastAsia="新宋体" w:cs="新宋体"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</w:rPr>
        <w:t>按照财务管理及专项使用有关规定，相关专项资金按照专项的使用范围，做到了不挪项、不挪用、不超预算使用专项经费，并按照“量入为出、量体裁衣、节约使用”的原则，做到有计划地使用专项资金。</w:t>
      </w:r>
    </w:p>
    <w:p w14:paraId="6FB63CFA">
      <w:pPr>
        <w:pStyle w:val="12"/>
        <w:widowControl/>
        <w:spacing w:line="560" w:lineRule="exact"/>
        <w:ind w:firstLine="560"/>
        <w:rPr>
          <w:rFonts w:ascii="新宋体" w:hAnsi="新宋体" w:eastAsia="新宋体" w:cs="新宋体"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</w:rPr>
        <w:t>3、专项资金管理情况分析</w:t>
      </w:r>
    </w:p>
    <w:p w14:paraId="33C34A2C">
      <w:pPr>
        <w:pStyle w:val="12"/>
        <w:widowControl/>
        <w:spacing w:line="560" w:lineRule="exact"/>
        <w:ind w:firstLine="560"/>
        <w:rPr>
          <w:rFonts w:ascii="新宋体" w:hAnsi="新宋体" w:eastAsia="新宋体" w:cs="新宋体"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</w:rPr>
        <w:t>我校财政专项资金逐年增加，为规避财政风险，提高财政专项资金使用效益，确保财政专项资金安全运行，对财政专项资金管理做法如下：一是做到“四个坚持”即:坚持专项资金实行开票、经办、审核、审批、记账等职责严格分离；坚持支出先报批、后经办，经严格审核后，再审批付款，最后交会计人员制单、记账；坚持专项资金凭用款计划、项目进度及专户存款情况，审核拨付资金；坚持把好票据签章关，严格票据销号，对已开完的票据及时销号，防止票据丢失、挪用公款，严禁一人保管支付款项所需要的全部印章。二是专项资金实行使用公示制，资金使用明细全部上网公开，提高了财政专项资金使用的透明度，有力保证了专款专用。三是规范了财政专项资金会计基础工作，提高了会计信息质量，为政府决策提供了参考依据。</w:t>
      </w:r>
    </w:p>
    <w:p w14:paraId="0AA3F25A">
      <w:pPr>
        <w:spacing w:before="224" w:line="227" w:lineRule="auto"/>
        <w:ind w:left="649"/>
        <w:rPr>
          <w:rFonts w:ascii="黑体" w:hAnsi="黑体" w:eastAsia="黑体" w:cs="黑体"/>
          <w:color w:val="000000" w:themeColor="text1"/>
          <w:spacing w:val="8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pacing w:val="8"/>
          <w:sz w:val="32"/>
          <w:szCs w:val="32"/>
        </w:rPr>
        <w:t>三、政府性基金预算支出情况</w:t>
      </w:r>
    </w:p>
    <w:p w14:paraId="2529C89E">
      <w:pPr>
        <w:pStyle w:val="2"/>
        <w:ind w:firstLine="560" w:firstLineChars="200"/>
        <w:rPr>
          <w:rFonts w:eastAsia="新宋体"/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政府性基金预算支出0万元</w:t>
      </w: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。</w:t>
      </w:r>
    </w:p>
    <w:p w14:paraId="2CF7903D">
      <w:pPr>
        <w:spacing w:before="219" w:line="600" w:lineRule="exact"/>
        <w:ind w:left="662"/>
        <w:rPr>
          <w:rFonts w:ascii="黑体" w:hAnsi="黑体" w:eastAsia="黑体" w:cs="黑体"/>
          <w:color w:val="000000" w:themeColor="text1"/>
          <w:spacing w:val="7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pacing w:val="7"/>
          <w:position w:val="21"/>
          <w:sz w:val="32"/>
          <w:szCs w:val="32"/>
        </w:rPr>
        <w:t>四、国有资本经营预算支出情况</w:t>
      </w:r>
    </w:p>
    <w:p w14:paraId="6FE999EB">
      <w:pPr>
        <w:pStyle w:val="2"/>
        <w:ind w:firstLine="560" w:firstLineChars="200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国有资本经营预算支出0万元。</w:t>
      </w:r>
    </w:p>
    <w:p w14:paraId="798D4ADD">
      <w:pPr>
        <w:spacing w:line="227" w:lineRule="auto"/>
        <w:ind w:left="651"/>
        <w:rPr>
          <w:rFonts w:ascii="黑体" w:hAnsi="黑体" w:eastAsia="黑体" w:cs="黑体"/>
          <w:color w:val="000000" w:themeColor="text1"/>
          <w:spacing w:val="8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pacing w:val="8"/>
          <w:sz w:val="32"/>
          <w:szCs w:val="32"/>
        </w:rPr>
        <w:t>五、社会保险基金预算支出情况</w:t>
      </w:r>
    </w:p>
    <w:p w14:paraId="6F867539">
      <w:pPr>
        <w:pStyle w:val="2"/>
        <w:ind w:firstLine="560" w:firstLineChars="200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社会保险基金预算支出0万元。</w:t>
      </w:r>
    </w:p>
    <w:p w14:paraId="6604A083">
      <w:pPr>
        <w:pStyle w:val="2"/>
        <w:ind w:firstLine="672" w:firstLineChars="200"/>
        <w:rPr>
          <w:rFonts w:ascii="黑体" w:hAnsi="黑体" w:eastAsia="黑体" w:cs="黑体"/>
          <w:color w:val="000000" w:themeColor="text1"/>
          <w:spacing w:val="8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pacing w:val="8"/>
          <w:sz w:val="32"/>
          <w:szCs w:val="32"/>
        </w:rPr>
        <w:t>六、部门整体支出绩效情况</w:t>
      </w:r>
    </w:p>
    <w:p w14:paraId="5B9957FF">
      <w:pPr>
        <w:spacing w:line="500" w:lineRule="exact"/>
        <w:ind w:firstLine="560" w:firstLineChars="200"/>
        <w:rPr>
          <w:rFonts w:ascii="新宋体" w:hAnsi="新宋体" w:eastAsia="新宋体" w:cs="新宋体"/>
          <w:bCs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202</w:t>
      </w: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  <w:lang w:val="en-US" w:eastAsia="zh-CN"/>
        </w:rPr>
        <w:t>5</w:t>
      </w: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年，我校在县委、县政府的坚强领导和县教体局的正确指导下，坚持安全和质量“两条主线”，我校教育教学各项工作持续、稳步发展。</w:t>
      </w:r>
    </w:p>
    <w:p w14:paraId="7312DF4C">
      <w:pPr>
        <w:spacing w:line="500" w:lineRule="exact"/>
        <w:ind w:firstLine="560" w:firstLineChars="200"/>
        <w:rPr>
          <w:rFonts w:ascii="新宋体" w:hAnsi="新宋体" w:eastAsia="新宋体" w:cs="新宋体"/>
          <w:bCs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我校坚决执行经费预算管理，确保预算不增长，支出不超预算。在厉行节约、反对铺张浪费等方面，采取了有力措施，并取得了明显成效。校长室成员率先垂范、高度重视下，全体教职工积极配合，三公经费得到了很好的控制。</w:t>
      </w:r>
    </w:p>
    <w:p w14:paraId="26726DCF">
      <w:pPr>
        <w:spacing w:line="500" w:lineRule="exact"/>
        <w:ind w:firstLine="560" w:firstLineChars="200"/>
        <w:rPr>
          <w:rFonts w:ascii="新宋体" w:hAnsi="新宋体" w:eastAsia="新宋体" w:cs="新宋体"/>
          <w:bCs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我校严格执行经费年初预算，按照上级的要求，强化制度建设，完善预算分配机制，进一步加强经费预算的执行管理，不断提高支出的经济性、效率性、有效性和可持续性。</w:t>
      </w:r>
    </w:p>
    <w:p w14:paraId="01E69B80">
      <w:pPr>
        <w:spacing w:line="500" w:lineRule="exact"/>
        <w:ind w:firstLine="560" w:firstLineChars="200"/>
        <w:rPr>
          <w:rFonts w:ascii="新宋体" w:hAnsi="新宋体" w:eastAsia="新宋体" w:cs="新宋体"/>
          <w:bCs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根据定量分析及定性分析，综合考评得分为</w:t>
      </w: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  <w:lang w:val="en-US" w:eastAsia="zh-CN"/>
        </w:rPr>
        <w:t>99</w:t>
      </w:r>
      <w:r>
        <w:rPr>
          <w:rFonts w:hint="eastAsia" w:ascii="新宋体" w:hAnsi="新宋体" w:eastAsia="新宋体" w:cs="新宋体"/>
          <w:bCs/>
          <w:color w:val="000000" w:themeColor="text1"/>
          <w:sz w:val="28"/>
          <w:szCs w:val="28"/>
        </w:rPr>
        <w:t>分，评价等次确定为优。</w:t>
      </w:r>
    </w:p>
    <w:p w14:paraId="4DB3F0F7">
      <w:pPr>
        <w:spacing w:before="220" w:line="600" w:lineRule="exact"/>
        <w:ind w:left="641"/>
        <w:rPr>
          <w:rFonts w:ascii="黑体" w:hAnsi="黑体" w:eastAsia="黑体" w:cs="黑体"/>
          <w:color w:val="000000" w:themeColor="text1"/>
          <w:spacing w:val="9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pacing w:val="9"/>
          <w:position w:val="21"/>
          <w:sz w:val="32"/>
          <w:szCs w:val="32"/>
        </w:rPr>
        <w:t>七、存在的问题及原因分析</w:t>
      </w:r>
    </w:p>
    <w:p w14:paraId="63B2107B">
      <w:pPr>
        <w:widowControl/>
        <w:spacing w:line="560" w:lineRule="exact"/>
        <w:ind w:firstLine="560" w:firstLineChars="200"/>
        <w:rPr>
          <w:rFonts w:ascii="新宋体" w:hAnsi="新宋体" w:eastAsia="新宋体" w:cs="新宋体"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</w:rPr>
        <w:t>对项目资金开支分类需要进一步科学化、规范化，费用开支和绩效产出测得结果不够准确，需要进一步量化。预算管理、绩效管理、资金管理需要加强。</w:t>
      </w:r>
    </w:p>
    <w:p w14:paraId="092076C6">
      <w:pPr>
        <w:spacing w:line="227" w:lineRule="auto"/>
        <w:ind w:left="643"/>
        <w:rPr>
          <w:rFonts w:ascii="黑体" w:hAnsi="黑体" w:eastAsia="黑体" w:cs="黑体"/>
          <w:color w:val="000000" w:themeColor="text1"/>
          <w:spacing w:val="8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pacing w:val="8"/>
          <w:sz w:val="32"/>
          <w:szCs w:val="32"/>
        </w:rPr>
        <w:t>八、下一步改进措施</w:t>
      </w:r>
    </w:p>
    <w:p w14:paraId="0D28AE62">
      <w:pPr>
        <w:widowControl/>
        <w:spacing w:line="560" w:lineRule="exact"/>
        <w:ind w:firstLine="560" w:firstLineChars="200"/>
        <w:rPr>
          <w:rFonts w:ascii="新宋体" w:hAnsi="新宋体" w:eastAsia="新宋体" w:cs="新宋体"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</w:rPr>
        <w:t>加强预算管理、绩效管理、资金管理等的制度建设与执行措施的改进，确保我单位绩效评价工作顺利进行。</w:t>
      </w:r>
    </w:p>
    <w:p w14:paraId="55E6ACAF">
      <w:pPr>
        <w:spacing w:before="219" w:line="600" w:lineRule="exact"/>
        <w:ind w:left="650"/>
        <w:rPr>
          <w:rFonts w:ascii="黑体" w:hAnsi="黑体" w:eastAsia="黑体" w:cs="黑体"/>
          <w:color w:val="000000" w:themeColor="text1"/>
          <w:spacing w:val="8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pacing w:val="9"/>
          <w:position w:val="21"/>
          <w:sz w:val="32"/>
          <w:szCs w:val="32"/>
        </w:rPr>
        <w:t>九、部门整体支出绩效自评结果拟应用和公开</w:t>
      </w:r>
      <w:r>
        <w:rPr>
          <w:rFonts w:hint="eastAsia" w:ascii="黑体" w:hAnsi="黑体" w:eastAsia="黑体" w:cs="黑体"/>
          <w:color w:val="000000" w:themeColor="text1"/>
          <w:spacing w:val="8"/>
          <w:position w:val="21"/>
          <w:sz w:val="32"/>
          <w:szCs w:val="32"/>
        </w:rPr>
        <w:t>情况</w:t>
      </w:r>
    </w:p>
    <w:p w14:paraId="5F22512A">
      <w:pPr>
        <w:pStyle w:val="2"/>
        <w:spacing w:line="560" w:lineRule="exact"/>
        <w:ind w:firstLine="560" w:firstLineChars="200"/>
        <w:rPr>
          <w:rFonts w:ascii="新宋体" w:hAnsi="新宋体" w:eastAsia="新宋体" w:cs="新宋体"/>
          <w:color w:val="000000" w:themeColor="text1"/>
          <w:sz w:val="28"/>
          <w:szCs w:val="28"/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</w:rPr>
        <w:t>1.通过对部门整体支出绩效自评结果的分析和应用，了解部门工作完成情况，针对发现的问题和瓶颈，适时地调整工作方向，提高整个部门的绩效水平。另外，借助绩效自评结果，进行绩效考核和激励，创造更好的工作氛围和激励机制。</w:t>
      </w:r>
    </w:p>
    <w:p w14:paraId="596FA5F9">
      <w:pPr>
        <w:pStyle w:val="2"/>
        <w:spacing w:line="560" w:lineRule="exact"/>
        <w:ind w:firstLine="560" w:firstLineChars="200"/>
        <w:rPr>
          <w:color w:val="000000" w:themeColor="text1"/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</w:rPr>
        <w:t>2.适时公开部门整体支出绩效自评结果，让教职工了解我部门的绩效评价标准和结果，有利于建立公平公正的绩效考核制度，激发教职工的工作热情和积极性，提高整体绩效水平。</w:t>
      </w:r>
    </w:p>
    <w:p w14:paraId="269DC533">
      <w:pPr>
        <w:spacing w:line="226" w:lineRule="auto"/>
        <w:ind w:left="647"/>
        <w:rPr>
          <w:rFonts w:ascii="黑体" w:hAnsi="黑体" w:eastAsia="黑体" w:cs="黑体"/>
          <w:color w:val="000000" w:themeColor="text1"/>
          <w:spacing w:val="-3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pacing w:val="-3"/>
          <w:sz w:val="32"/>
          <w:szCs w:val="32"/>
        </w:rPr>
        <w:t>十、其他需要说明的情况</w:t>
      </w:r>
    </w:p>
    <w:p w14:paraId="60B361E9">
      <w:pPr>
        <w:pStyle w:val="2"/>
        <w:spacing w:line="560" w:lineRule="exact"/>
        <w:ind w:firstLine="560" w:firstLineChars="200"/>
        <w:rPr>
          <w:rFonts w:eastAsia="新宋体"/>
          <w:color w:val="000000" w:themeColor="text1"/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</w:rPr>
        <w:t>其他需要说明的情况无。</w:t>
      </w:r>
    </w:p>
    <w:p w14:paraId="3B2A03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7522"/>
    <w:rsid w:val="00266EBD"/>
    <w:rsid w:val="003C3244"/>
    <w:rsid w:val="00504E83"/>
    <w:rsid w:val="00670D24"/>
    <w:rsid w:val="006F2562"/>
    <w:rsid w:val="00743296"/>
    <w:rsid w:val="007B7522"/>
    <w:rsid w:val="008D4B46"/>
    <w:rsid w:val="00952EFB"/>
    <w:rsid w:val="009D4F75"/>
    <w:rsid w:val="00B60817"/>
    <w:rsid w:val="00C76719"/>
    <w:rsid w:val="00E8167F"/>
    <w:rsid w:val="00EF68A4"/>
    <w:rsid w:val="00F5130F"/>
    <w:rsid w:val="47F36FC1"/>
    <w:rsid w:val="6A87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link w:val="1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link w:val="13"/>
    <w:autoRedefine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字符"/>
    <w:basedOn w:val="8"/>
    <w:link w:val="6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semiHidden/>
    <w:uiPriority w:val="99"/>
    <w:rPr>
      <w:sz w:val="18"/>
      <w:szCs w:val="18"/>
    </w:rPr>
  </w:style>
  <w:style w:type="character" w:customStyle="1" w:styleId="11">
    <w:name w:val="脚注文本 字符"/>
    <w:basedOn w:val="8"/>
    <w:link w:val="2"/>
    <w:uiPriority w:val="0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13">
    <w:name w:val="正文文本 字符"/>
    <w:basedOn w:val="8"/>
    <w:link w:val="3"/>
    <w:semiHidden/>
    <w:uiPriority w:val="0"/>
    <w:rPr>
      <w:rFonts w:ascii="仿宋" w:hAnsi="仿宋" w:eastAsia="仿宋" w:cs="仿宋"/>
      <w:sz w:val="31"/>
      <w:szCs w:val="31"/>
      <w:lang w:eastAsia="en-US"/>
    </w:rPr>
  </w:style>
  <w:style w:type="character" w:customStyle="1" w:styleId="14">
    <w:name w:val="批注框文本 字符"/>
    <w:basedOn w:val="8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5</Pages>
  <Words>1969</Words>
  <Characters>2018</Characters>
  <Lines>15</Lines>
  <Paragraphs>4</Paragraphs>
  <TotalTime>0</TotalTime>
  <ScaleCrop>false</ScaleCrop>
  <LinksUpToDate>false</LinksUpToDate>
  <CharactersWithSpaces>2041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2025-05-13T03:54:00Z</dcterms:created>
  <dc:creator>XZOS</dc:creator>
  <cp:lastModifiedBy>时光是张不动声色的脸</cp:lastModifiedBy>
  <cp:lastPrinted>2025-05-14T06:44:00Z</cp:lastPrinted>
  <dcterms:modified xsi:type="dcterms:W3CDTF">2026-05-26T03:13:15Z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eyJoZGlkIjoiY2ZjZDJkNDgxYzkyNjdjOThlZjllODY1MzQ2NGIxZTIiLCJ1c2VySWQiOiIzNDQzNDA3MTgifQ==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A3E09BDD8F9640BE849349DC65E927BF_12</vt:lpwstr>
  </property>
</Properties>
</file>