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华容县公安局</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pStyle w:val="2"/>
        <w:rPr>
          <w:rFonts w:hint="default" w:ascii="Times New Roman" w:hAnsi="Times New Roman" w:eastAsia="楷体_GB2312" w:cs="Times New Roman"/>
          <w:b/>
          <w:sz w:val="32"/>
          <w:szCs w:val="32"/>
        </w:rPr>
      </w:pPr>
    </w:p>
    <w:p>
      <w:pPr>
        <w:pStyle w:val="3"/>
        <w:rPr>
          <w:rFonts w:hint="default"/>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pStyle w:val="2"/>
        <w:rPr>
          <w:rFonts w:hint="default"/>
        </w:rPr>
      </w:pPr>
    </w:p>
    <w:p>
      <w:pPr>
        <w:jc w:val="both"/>
        <w:rPr>
          <w:rFonts w:hint="default" w:ascii="Times New Roman" w:hAnsi="Times New Roman" w:eastAsia="黑体" w:cs="Times New Roman"/>
          <w:sz w:val="32"/>
          <w:szCs w:val="32"/>
        </w:rPr>
      </w:pPr>
    </w:p>
    <w:p>
      <w:pPr>
        <w:spacing w:line="600" w:lineRule="exact"/>
        <w:jc w:val="center"/>
        <w:rPr>
          <w:rFonts w:hint="eastAsia"/>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华容县公安局</w:t>
      </w:r>
    </w:p>
    <w:p>
      <w:pPr>
        <w:spacing w:line="600" w:lineRule="exact"/>
        <w:jc w:val="center"/>
        <w:rPr>
          <w:rFonts w:hint="default"/>
          <w:lang w:val="en-US" w:eastAsia="zh-CN"/>
        </w:rPr>
      </w:pPr>
      <w:r>
        <w:rPr>
          <w:rFonts w:hint="eastAsia" w:eastAsia="楷体_GB2312" w:cs="Times New Roman"/>
          <w:sz w:val="32"/>
          <w:szCs w:val="32"/>
          <w:lang w:val="en-US" w:eastAsia="zh-CN"/>
        </w:rPr>
        <w:t>2026</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5</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29</w:t>
      </w:r>
      <w:r>
        <w:rPr>
          <w:rFonts w:hint="default" w:ascii="Times New Roman" w:hAnsi="Times New Roman" w:eastAsia="楷体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方正小标宋简体" w:hAnsi="方正小标宋简体" w:eastAsia="方正小标宋简体" w:cs="方正小标宋简体"/>
          <w:spacing w:val="6"/>
          <w:sz w:val="44"/>
          <w:szCs w:val="44"/>
        </w:rPr>
      </w:pPr>
    </w:p>
    <w:p>
      <w:pPr>
        <w:pStyle w:val="2"/>
        <w:rPr>
          <w:rFonts w:hint="eastAsia"/>
        </w:rPr>
      </w:pP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outlineLvl w:val="0"/>
        <w:rPr>
          <w:rFonts w:hint="eastAsia"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eastAsia="zh-CN"/>
        </w:rPr>
        <w:t>2025</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7"/>
          <w:sz w:val="44"/>
          <w:szCs w:val="44"/>
          <w:lang w:eastAsia="zh-CN"/>
        </w:rPr>
        <w:t>华容县公安局</w:t>
      </w:r>
      <w:r>
        <w:rPr>
          <w:rFonts w:hint="eastAsia" w:ascii="方正小标宋简体" w:hAnsi="方正小标宋简体" w:eastAsia="方正小标宋简体" w:cs="方正小标宋简体"/>
          <w:spacing w:val="7"/>
          <w:sz w:val="44"/>
          <w:szCs w:val="44"/>
        </w:rPr>
        <w:t>整体</w:t>
      </w:r>
      <w:r>
        <w:rPr>
          <w:rFonts w:hint="eastAsia" w:ascii="方正小标宋简体" w:hAnsi="方正小标宋简体" w:eastAsia="方正小标宋简体" w:cs="方正小标宋简体"/>
          <w:spacing w:val="6"/>
          <w:sz w:val="44"/>
          <w:szCs w:val="44"/>
        </w:rPr>
        <w:t>支出</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pacing w:val="7"/>
          <w:sz w:val="44"/>
          <w:szCs w:val="44"/>
        </w:rPr>
        <w:t>绩效自评报告</w:t>
      </w:r>
    </w:p>
    <w:p>
      <w:pPr>
        <w:spacing w:line="283" w:lineRule="auto"/>
        <w:rPr>
          <w:rFonts w:ascii="Arial"/>
          <w:sz w:val="21"/>
        </w:rPr>
      </w:pPr>
    </w:p>
    <w:p>
      <w:pPr>
        <w:spacing w:line="284" w:lineRule="auto"/>
        <w:rPr>
          <w:rFonts w:ascii="Arial"/>
          <w:sz w:val="21"/>
        </w:rPr>
      </w:pPr>
    </w:p>
    <w:p>
      <w:pPr>
        <w:pStyle w:val="4"/>
      </w:pPr>
    </w:p>
    <w:p>
      <w:pPr>
        <w:numPr>
          <w:ilvl w:val="0"/>
          <w:numId w:val="1"/>
        </w:numPr>
        <w:spacing w:before="101" w:line="228" w:lineRule="auto"/>
        <w:ind w:left="648"/>
        <w:outlineLvl w:val="0"/>
        <w:rPr>
          <w:rFonts w:hint="eastAsia" w:ascii="黑体" w:hAnsi="黑体" w:eastAsia="黑体" w:cs="黑体"/>
          <w:spacing w:val="5"/>
          <w:sz w:val="32"/>
          <w:szCs w:val="32"/>
        </w:rPr>
      </w:pPr>
      <w:r>
        <w:rPr>
          <w:rFonts w:hint="eastAsia" w:ascii="黑体" w:hAnsi="黑体" w:eastAsia="黑体" w:cs="黑体"/>
          <w:spacing w:val="5"/>
          <w:sz w:val="32"/>
          <w:szCs w:val="32"/>
        </w:rPr>
        <w:t>部门基本情况</w:t>
      </w:r>
    </w:p>
    <w:p>
      <w:pPr>
        <w:numPr>
          <w:ilvl w:val="0"/>
          <w:numId w:val="0"/>
        </w:numPr>
        <w:spacing w:before="101" w:line="228" w:lineRule="auto"/>
        <w:ind w:firstLine="560" w:firstLineChars="200"/>
        <w:outlineLvl w:val="0"/>
        <w:rPr>
          <w:rFonts w:hint="eastAsia"/>
        </w:rPr>
      </w:pPr>
      <w:r>
        <w:rPr>
          <w:rFonts w:hint="eastAsia" w:ascii="仿宋" w:hAnsi="仿宋" w:eastAsia="仿宋" w:cs="仿宋"/>
          <w:b w:val="0"/>
          <w:color w:val="000000"/>
          <w:kern w:val="2"/>
          <w:sz w:val="28"/>
          <w:szCs w:val="28"/>
          <w:lang w:val="en-US" w:eastAsia="zh-CN" w:bidi="ar-SA"/>
        </w:rPr>
        <w:t>华容县公安局现有行政政法编制330人，实有在职人员</w:t>
      </w:r>
      <w:r>
        <w:rPr>
          <w:rFonts w:hint="eastAsia" w:ascii="仿宋" w:hAnsi="仿宋" w:eastAsia="仿宋" w:cs="仿宋"/>
          <w:b w:val="0"/>
          <w:color w:val="auto"/>
          <w:kern w:val="2"/>
          <w:sz w:val="28"/>
          <w:szCs w:val="28"/>
          <w:lang w:val="en-US" w:eastAsia="zh-CN" w:bidi="ar-SA"/>
        </w:rPr>
        <w:t>324</w:t>
      </w:r>
      <w:r>
        <w:rPr>
          <w:rFonts w:hint="eastAsia" w:ascii="仿宋" w:hAnsi="仿宋" w:eastAsia="仿宋" w:cs="仿宋"/>
          <w:b w:val="0"/>
          <w:color w:val="000000"/>
          <w:kern w:val="2"/>
          <w:sz w:val="28"/>
          <w:szCs w:val="28"/>
          <w:lang w:val="en-US" w:eastAsia="zh-CN" w:bidi="ar-SA"/>
        </w:rPr>
        <w:t>人，退休人员151人，遗孀5人,协辅警、一村一辅警及退伍老兵459人。小车55台。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本年度主要工作内容是：1.维护政治稳定 化解涉稳风险；2.做好主责主业 严打违法犯罪；3.维护大局稳定 护航社会发展；4.夯实基层基础 筑牢战斗堡垒；5.完善队伍建设 提振基层活力。</w:t>
      </w:r>
    </w:p>
    <w:p>
      <w:pPr>
        <w:numPr>
          <w:ilvl w:val="0"/>
          <w:numId w:val="1"/>
        </w:numPr>
        <w:ind w:left="648" w:leftChars="0" w:firstLine="0" w:firstLineChars="0"/>
        <w:rPr>
          <w:rFonts w:hint="eastAsia" w:ascii="黑体" w:hAnsi="黑体" w:eastAsia="黑体" w:cs="黑体"/>
          <w:spacing w:val="-2"/>
          <w:sz w:val="32"/>
          <w:szCs w:val="32"/>
        </w:rPr>
      </w:pPr>
      <w:r>
        <w:rPr>
          <w:rFonts w:hint="eastAsia" w:ascii="黑体" w:hAnsi="黑体" w:eastAsia="黑体" w:cs="黑体"/>
          <w:spacing w:val="-2"/>
          <w:sz w:val="32"/>
          <w:szCs w:val="32"/>
        </w:rPr>
        <w:t>一般公共预算支出情况</w:t>
      </w:r>
    </w:p>
    <w:p>
      <w:pPr>
        <w:spacing w:before="216" w:line="226" w:lineRule="auto"/>
        <w:ind w:left="648"/>
        <w:outlineLvl w:val="0"/>
        <w:rPr>
          <w:rFonts w:hint="eastAsia" w:ascii="黑体" w:hAnsi="黑体" w:eastAsia="黑体" w:cs="黑体"/>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ind w:firstLine="643" w:firstLineChars="200"/>
        <w:textAlignment w:val="auto"/>
        <w:outlineLvl w:val="1"/>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基本支出情况</w:t>
      </w:r>
    </w:p>
    <w:p>
      <w:pPr>
        <w:snapToGrid w:val="0"/>
        <w:spacing w:line="520" w:lineRule="exact"/>
        <w:ind w:firstLine="560" w:firstLineChars="200"/>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2025年度财政收入总计14581.64万元，其中一般性公共预算财政拨款12819.19万元，其他收入1755.24万元，上年度结余7.21万元。支出总计</w:t>
      </w:r>
      <w:bookmarkStart w:id="0" w:name="_GoBack"/>
      <w:r>
        <w:rPr>
          <w:rFonts w:hint="eastAsia" w:ascii="仿宋" w:hAnsi="仿宋" w:eastAsia="仿宋" w:cs="仿宋"/>
          <w:color w:val="auto"/>
          <w:kern w:val="2"/>
          <w:sz w:val="28"/>
          <w:szCs w:val="28"/>
          <w:highlight w:val="none"/>
          <w:lang w:val="en-US" w:eastAsia="zh-CN" w:bidi="ar-SA"/>
        </w:rPr>
        <w:t>14578.41</w:t>
      </w:r>
      <w:bookmarkEnd w:id="0"/>
      <w:r>
        <w:rPr>
          <w:rFonts w:hint="eastAsia" w:ascii="仿宋" w:hAnsi="仿宋" w:eastAsia="仿宋" w:cs="仿宋"/>
          <w:color w:val="auto"/>
          <w:kern w:val="2"/>
          <w:sz w:val="28"/>
          <w:szCs w:val="28"/>
          <w:highlight w:val="none"/>
          <w:lang w:val="en-US" w:eastAsia="zh-CN" w:bidi="ar-SA"/>
        </w:rPr>
        <w:t>万元，其中人员支出8723.40万元，公用支出2523.51万元，项目支出3331.5万元，年度结余3.23万元。</w:t>
      </w:r>
    </w:p>
    <w:p>
      <w:pPr>
        <w:pStyle w:val="2"/>
        <w:numPr>
          <w:ilvl w:val="0"/>
          <w:numId w:val="0"/>
        </w:numPr>
        <w:rPr>
          <w:rFonts w:hint="eastAsia"/>
        </w:rPr>
      </w:pP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项目支出情况</w:t>
      </w:r>
    </w:p>
    <w:p>
      <w:pPr>
        <w:snapToGrid w:val="0"/>
        <w:spacing w:line="520" w:lineRule="exact"/>
        <w:ind w:firstLine="560" w:firstLineChars="200"/>
        <w:rPr>
          <w:rFonts w:hint="default"/>
          <w:color w:val="0000FF"/>
          <w:lang w:val="en-US" w:eastAsia="zh-CN"/>
        </w:rPr>
      </w:pPr>
      <w:r>
        <w:rPr>
          <w:rFonts w:hint="eastAsia" w:ascii="仿宋" w:hAnsi="仿宋" w:eastAsia="仿宋" w:cs="仿宋"/>
          <w:color w:val="auto"/>
          <w:kern w:val="2"/>
          <w:sz w:val="28"/>
          <w:szCs w:val="28"/>
          <w:lang w:val="en-US" w:eastAsia="zh-CN" w:bidi="ar-SA"/>
        </w:rPr>
        <w:t>项目支出</w:t>
      </w:r>
      <w:r>
        <w:rPr>
          <w:rFonts w:hint="eastAsia" w:ascii="仿宋" w:hAnsi="仿宋" w:eastAsia="仿宋" w:cs="仿宋"/>
          <w:color w:val="auto"/>
          <w:sz w:val="28"/>
          <w:szCs w:val="28"/>
          <w:lang w:val="en-US" w:eastAsia="zh-CN"/>
        </w:rPr>
        <w:t>3331.50</w:t>
      </w:r>
      <w:r>
        <w:rPr>
          <w:rFonts w:hint="eastAsia" w:ascii="仿宋" w:hAnsi="仿宋" w:eastAsia="仿宋" w:cs="仿宋"/>
          <w:color w:val="auto"/>
          <w:kern w:val="2"/>
          <w:sz w:val="28"/>
          <w:szCs w:val="28"/>
          <w:lang w:val="en-US" w:eastAsia="zh-CN" w:bidi="ar-SA"/>
        </w:rPr>
        <w:t>万元，</w:t>
      </w:r>
      <w:r>
        <w:rPr>
          <w:rFonts w:hint="eastAsia" w:ascii="仿宋" w:hAnsi="仿宋" w:eastAsia="仿宋" w:cs="仿宋"/>
          <w:color w:val="auto"/>
          <w:kern w:val="2"/>
          <w:sz w:val="28"/>
          <w:szCs w:val="28"/>
          <w:highlight w:val="none"/>
          <w:lang w:val="en-US" w:eastAsia="zh-CN" w:bidi="ar-SA"/>
        </w:rPr>
        <w:t>其中城东派出所建设项目支出695.03万元，执法办案中心提质增效项目支出389.27万元，插旗派出所建设项目支出101.26万元，城西派出所建设项目支出123.8万元，公安业务技术用房二期项目支出260.21万元，看守所维修改造项目支出187.8万元，看守所信息化设备提质增效改造项目支出91.64万元，鲇鱼须派出所建设项目支出93.6万元，情指行一体化运行指挥调度系统设备购置项目支出62.55万元，网络安全机房整改项目支出207.99万元，禹山派出所建设项目支出98.68万元，操军派出所、注滋口派出所、新河派出所、情指行一体化建设项目支出合计101.56万元，局机关钢结构翻新维修、指挥调度系统全域通设备采购、智能枪弹柜采购项目支出合计23.91万元，专项资金支出894.2万元。</w:t>
      </w:r>
    </w:p>
    <w:p>
      <w:pPr>
        <w:snapToGrid w:val="0"/>
        <w:spacing w:line="520" w:lineRule="exact"/>
        <w:ind w:firstLine="420" w:firstLineChars="200"/>
        <w:rPr>
          <w:rFonts w:hint="default"/>
          <w:lang w:val="en-US" w:eastAsia="zh-CN"/>
        </w:rPr>
      </w:pPr>
    </w:p>
    <w:p>
      <w:pPr>
        <w:numPr>
          <w:ilvl w:val="0"/>
          <w:numId w:val="1"/>
        </w:numPr>
        <w:spacing w:before="224" w:line="227" w:lineRule="auto"/>
        <w:ind w:left="648" w:leftChars="0" w:firstLine="0" w:firstLineChars="0"/>
        <w:outlineLvl w:val="0"/>
        <w:rPr>
          <w:rFonts w:hint="eastAsia" w:ascii="黑体" w:hAnsi="黑体" w:eastAsia="黑体" w:cs="黑体"/>
          <w:spacing w:val="8"/>
          <w:sz w:val="32"/>
          <w:szCs w:val="32"/>
        </w:rPr>
      </w:pPr>
      <w:r>
        <w:rPr>
          <w:rFonts w:hint="eastAsia" w:ascii="黑体" w:hAnsi="黑体" w:eastAsia="黑体" w:cs="黑体"/>
          <w:spacing w:val="8"/>
          <w:sz w:val="32"/>
          <w:szCs w:val="32"/>
        </w:rPr>
        <w:t>政府性基金预算支出情况</w:t>
      </w:r>
    </w:p>
    <w:p>
      <w:pPr>
        <w:snapToGrid w:val="0"/>
        <w:spacing w:line="52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无</w:t>
      </w:r>
    </w:p>
    <w:p>
      <w:pPr>
        <w:pStyle w:val="2"/>
        <w:rPr>
          <w:rFonts w:hint="eastAsia"/>
          <w:lang w:val="en-US" w:eastAsia="zh-CN"/>
        </w:rPr>
      </w:pPr>
    </w:p>
    <w:p>
      <w:pPr>
        <w:numPr>
          <w:ilvl w:val="0"/>
          <w:numId w:val="1"/>
        </w:numPr>
        <w:spacing w:before="219" w:line="600" w:lineRule="exact"/>
        <w:ind w:left="648" w:leftChars="0" w:firstLine="0" w:firstLineChars="0"/>
        <w:outlineLvl w:val="0"/>
        <w:rPr>
          <w:rFonts w:hint="eastAsia" w:ascii="黑体" w:hAnsi="黑体" w:eastAsia="黑体" w:cs="黑体"/>
          <w:spacing w:val="7"/>
          <w:position w:val="21"/>
          <w:sz w:val="32"/>
          <w:szCs w:val="32"/>
        </w:rPr>
      </w:pPr>
      <w:r>
        <w:rPr>
          <w:rFonts w:hint="eastAsia" w:ascii="黑体" w:hAnsi="黑体" w:eastAsia="黑体" w:cs="黑体"/>
          <w:spacing w:val="7"/>
          <w:position w:val="21"/>
          <w:sz w:val="32"/>
          <w:szCs w:val="32"/>
        </w:rPr>
        <w:t>国有资本经营预算支出情况</w:t>
      </w:r>
    </w:p>
    <w:p>
      <w:pPr>
        <w:snapToGrid w:val="0"/>
        <w:spacing w:line="52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无</w:t>
      </w:r>
    </w:p>
    <w:p>
      <w:pPr>
        <w:snapToGrid w:val="0"/>
        <w:spacing w:line="520" w:lineRule="exact"/>
        <w:ind w:firstLine="560" w:firstLineChars="200"/>
        <w:rPr>
          <w:rFonts w:hint="eastAsia" w:ascii="仿宋" w:hAnsi="仿宋" w:eastAsia="仿宋" w:cs="仿宋"/>
          <w:color w:val="auto"/>
          <w:kern w:val="2"/>
          <w:sz w:val="28"/>
          <w:szCs w:val="28"/>
          <w:highlight w:val="none"/>
          <w:lang w:val="en-US" w:eastAsia="zh-CN" w:bidi="ar-SA"/>
        </w:rPr>
      </w:pPr>
    </w:p>
    <w:p>
      <w:pPr>
        <w:spacing w:line="227" w:lineRule="auto"/>
        <w:ind w:left="651"/>
        <w:outlineLvl w:val="0"/>
        <w:rPr>
          <w:rFonts w:hint="eastAsia" w:ascii="黑体" w:hAnsi="黑体" w:eastAsia="黑体" w:cs="黑体"/>
          <w:sz w:val="32"/>
          <w:szCs w:val="32"/>
        </w:rPr>
      </w:pPr>
      <w:r>
        <w:rPr>
          <w:rFonts w:hint="eastAsia" w:ascii="黑体" w:hAnsi="黑体" w:eastAsia="黑体" w:cs="黑体"/>
          <w:spacing w:val="8"/>
          <w:sz w:val="32"/>
          <w:szCs w:val="32"/>
        </w:rPr>
        <w:t>五、社会保险基金预算支出情况</w:t>
      </w:r>
    </w:p>
    <w:p>
      <w:pPr>
        <w:snapToGrid w:val="0"/>
        <w:spacing w:line="52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无</w:t>
      </w:r>
    </w:p>
    <w:p>
      <w:pPr>
        <w:pStyle w:val="2"/>
        <w:numPr>
          <w:ilvl w:val="0"/>
          <w:numId w:val="0"/>
        </w:numPr>
        <w:ind w:leftChars="200"/>
        <w:rPr>
          <w:rFonts w:hint="eastAsia"/>
        </w:rPr>
      </w:pPr>
    </w:p>
    <w:p>
      <w:pPr>
        <w:numPr>
          <w:ilvl w:val="0"/>
          <w:numId w:val="1"/>
        </w:numPr>
        <w:spacing w:before="219" w:line="226" w:lineRule="auto"/>
        <w:ind w:left="648" w:leftChars="0" w:firstLine="0" w:firstLineChars="0"/>
        <w:outlineLvl w:val="0"/>
        <w:rPr>
          <w:rFonts w:hint="eastAsia" w:ascii="黑体" w:hAnsi="黑体" w:eastAsia="黑体" w:cs="黑体"/>
          <w:spacing w:val="8"/>
          <w:sz w:val="32"/>
          <w:szCs w:val="32"/>
        </w:rPr>
      </w:pPr>
      <w:r>
        <w:rPr>
          <w:rFonts w:hint="eastAsia" w:ascii="黑体" w:hAnsi="黑体" w:eastAsia="黑体" w:cs="黑体"/>
          <w:spacing w:val="8"/>
          <w:sz w:val="32"/>
          <w:szCs w:val="32"/>
        </w:rPr>
        <w:t>部门整体支出绩效情况</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2025年工作总结如下：</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一是聚焦主责主业，全力维护县域稳定。紧盯重要节点，强化专班统筹，并充分发挥“情指行”一体化实战、研判效能，在严厉打击各类渗透颠覆破坏活动工作中取得丰硕战果。全力开展全县重点人员管控，并密切关注重点群体动向，有力确保了今年各个重大活动及节点期间社会大局平安稳定。</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二是保持高压态势，持续深化严打整治。继续坚持“什么犯罪突出就重点打击什么犯罪”的原则，不断强化部门警种合成作战效能，打击整治效能得到明显提升。此外，我们还以情指中心“日调度、周研判”工作机制为依托，定期掌握工作进度，督促各一线部门不断向短板发力，扭转了打击涉毒及黄赌违法犯罪两项工作滞后状态。</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三是强化担当作为，全力护航经济发展。紧盯涉企执法突出问题，积极开展“趋利执法百日攻坚行动”。深入开展“三高四新 法治护航”专项行动，在加强警企联系力度，增加入企走访调研频次的基础上，优化涉企公安服务事项。</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四是优化防控体系，不断强化社会面管控。强化“派出所主防”工作，深化“三警融合”巡防机制，科学布警，动态调整巡逻勤务，提升见警率、管事率和快速反应能力。不断强化矛盾纠纷排查化解力度，定期组织民辅警走村场、入社区，继续保持了矛盾纠纷排查化解率100%。继续深化安全监管工作，加强了安全生产检查、督导督察频次。深入推进交通问题顽瘴痼疾整治和事故预防“减量控大”工作。</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五是大抓基层基础，全面夯实发展根基。我局在相继完成了禹山派出所、插旗派出所、看守所“智慧监管”升级改造、派出所综合指挥调度项目建设，为基层所队增配了4台公务用车。同时，我局城东派出所新建项目的主体工程已封顶，“情指行”一体化前端设备建设及警械装备“单北斗”升级替代工作正在稳步推进中。</w:t>
      </w:r>
    </w:p>
    <w:p>
      <w:pPr>
        <w:numPr>
          <w:ilvl w:val="0"/>
          <w:numId w:val="0"/>
        </w:numPr>
        <w:spacing w:before="101" w:line="228" w:lineRule="auto"/>
        <w:ind w:firstLine="560" w:firstLineChars="200"/>
        <w:outlineLvl w:val="0"/>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六是坚持严管厚爱，全力加强队伍建设。坚持“优”“严”并重，警营向心力、凝聚力显著增强。对涉企执法专项行动自查自纠、督导督察、线索核查中发现的违法违纪违规问题，坚持“零容忍”态度。截止目前，共对存在执法过错的民辅警进行了处理。强化爱警惠警力度，走访慰问困难民辅警及家属，发放慰问金。辅警薪资待遇逐步提高，举办了多次篮球友谊赛，顺利完成2025年民辅警子女暑期托管班相关工作。</w:t>
      </w:r>
    </w:p>
    <w:p>
      <w:pPr>
        <w:pStyle w:val="4"/>
        <w:numPr>
          <w:ilvl w:val="0"/>
          <w:numId w:val="0"/>
        </w:numPr>
        <w:ind w:left="648" w:leftChars="0"/>
        <w:rPr>
          <w:rFonts w:hint="eastAsia"/>
        </w:rPr>
      </w:pPr>
    </w:p>
    <w:p>
      <w:pPr>
        <w:numPr>
          <w:ilvl w:val="0"/>
          <w:numId w:val="1"/>
        </w:numPr>
        <w:spacing w:before="220" w:line="600" w:lineRule="exact"/>
        <w:ind w:left="648" w:leftChars="0" w:firstLine="0" w:firstLineChars="0"/>
        <w:outlineLvl w:val="0"/>
        <w:rPr>
          <w:rFonts w:hint="eastAsia" w:ascii="黑体" w:hAnsi="黑体" w:eastAsia="黑体" w:cs="黑体"/>
          <w:spacing w:val="9"/>
          <w:position w:val="21"/>
          <w:sz w:val="32"/>
          <w:szCs w:val="32"/>
        </w:rPr>
      </w:pPr>
      <w:r>
        <w:rPr>
          <w:rFonts w:hint="eastAsia" w:ascii="黑体" w:hAnsi="黑体" w:eastAsia="黑体" w:cs="黑体"/>
          <w:spacing w:val="9"/>
          <w:position w:val="21"/>
          <w:sz w:val="32"/>
          <w:szCs w:val="32"/>
        </w:rPr>
        <w:t>存在的问题及原因分析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在预算执行过程中，存在部分执行偏离绩效目标的情况，主要体现在以下方面：</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预算完成率仍有待提升。受财政紧张影响，部分项目资金、结余资金下达时间较晚，未能及时拨付使用，导致有关项目启动时间偏晚、结算支出滞后，整体预算完成率偏低，仍需进一步提高。</w:t>
      </w:r>
    </w:p>
    <w:p>
      <w:pPr>
        <w:numPr>
          <w:ilvl w:val="0"/>
          <w:numId w:val="1"/>
        </w:numPr>
        <w:spacing w:line="227" w:lineRule="auto"/>
        <w:ind w:left="648" w:leftChars="0" w:firstLine="0" w:firstLineChars="0"/>
        <w:outlineLvl w:val="0"/>
        <w:rPr>
          <w:rFonts w:hint="eastAsia" w:ascii="黑体" w:hAnsi="黑体" w:eastAsia="黑体" w:cs="黑体"/>
          <w:spacing w:val="8"/>
          <w:sz w:val="32"/>
          <w:szCs w:val="32"/>
        </w:rPr>
      </w:pPr>
      <w:r>
        <w:rPr>
          <w:rFonts w:hint="eastAsia" w:ascii="黑体" w:hAnsi="黑体" w:eastAsia="黑体" w:cs="黑体"/>
          <w:spacing w:val="8"/>
          <w:sz w:val="32"/>
          <w:szCs w:val="32"/>
        </w:rPr>
        <w:t>下一步改进措施</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val="0"/>
          <w:color w:val="000000"/>
          <w:kern w:val="2"/>
          <w:sz w:val="28"/>
          <w:szCs w:val="28"/>
          <w:lang w:val="en-US" w:eastAsia="zh-CN" w:bidi="ar-SA"/>
        </w:rPr>
      </w:pPr>
      <w:r>
        <w:rPr>
          <w:rFonts w:hint="default" w:ascii="仿宋" w:hAnsi="仿宋" w:eastAsia="仿宋" w:cs="仿宋"/>
          <w:b w:val="0"/>
          <w:color w:val="000000"/>
          <w:kern w:val="2"/>
          <w:sz w:val="28"/>
          <w:szCs w:val="28"/>
          <w:lang w:val="en-US" w:eastAsia="zh-CN" w:bidi="ar-SA"/>
        </w:rPr>
        <w:t>一是</w:t>
      </w:r>
      <w:r>
        <w:rPr>
          <w:rFonts w:hint="eastAsia" w:ascii="仿宋" w:hAnsi="仿宋" w:eastAsia="仿宋" w:cs="仿宋"/>
          <w:b w:val="0"/>
          <w:color w:val="000000"/>
          <w:kern w:val="2"/>
          <w:sz w:val="28"/>
          <w:szCs w:val="28"/>
          <w:lang w:val="en-US" w:eastAsia="zh-CN" w:bidi="ar-SA"/>
        </w:rPr>
        <w:t>将</w:t>
      </w:r>
      <w:r>
        <w:rPr>
          <w:rFonts w:hint="default" w:ascii="仿宋" w:hAnsi="仿宋" w:eastAsia="仿宋" w:cs="仿宋"/>
          <w:b w:val="0"/>
          <w:color w:val="000000"/>
          <w:kern w:val="2"/>
          <w:sz w:val="28"/>
          <w:szCs w:val="28"/>
          <w:lang w:val="en-US" w:eastAsia="zh-CN" w:bidi="ar-SA"/>
        </w:rPr>
        <w:t>预算管理纳入项目管理体系，把预算编制与执行工作贯穿项目</w:t>
      </w:r>
      <w:r>
        <w:rPr>
          <w:rFonts w:hint="eastAsia" w:ascii="仿宋" w:hAnsi="仿宋" w:eastAsia="仿宋" w:cs="仿宋"/>
          <w:b w:val="0"/>
          <w:color w:val="000000"/>
          <w:kern w:val="2"/>
          <w:sz w:val="28"/>
          <w:szCs w:val="28"/>
          <w:lang w:val="en-US" w:eastAsia="zh-CN" w:bidi="ar-SA"/>
        </w:rPr>
        <w:t>实施</w:t>
      </w:r>
      <w:r>
        <w:rPr>
          <w:rFonts w:hint="default" w:ascii="仿宋" w:hAnsi="仿宋" w:eastAsia="仿宋" w:cs="仿宋"/>
          <w:b w:val="0"/>
          <w:color w:val="000000"/>
          <w:kern w:val="2"/>
          <w:sz w:val="28"/>
          <w:szCs w:val="28"/>
          <w:lang w:val="en-US" w:eastAsia="zh-CN" w:bidi="ar-SA"/>
        </w:rPr>
        <w:t>全过程；二是加强与财政部门的沟通</w:t>
      </w:r>
      <w:r>
        <w:rPr>
          <w:rFonts w:hint="eastAsia" w:ascii="仿宋" w:hAnsi="仿宋" w:eastAsia="仿宋" w:cs="仿宋"/>
          <w:b w:val="0"/>
          <w:color w:val="000000"/>
          <w:kern w:val="2"/>
          <w:sz w:val="28"/>
          <w:szCs w:val="28"/>
          <w:lang w:val="en-US" w:eastAsia="zh-CN" w:bidi="ar-SA"/>
        </w:rPr>
        <w:t>对</w:t>
      </w:r>
      <w:r>
        <w:rPr>
          <w:rFonts w:hint="default" w:ascii="仿宋" w:hAnsi="仿宋" w:eastAsia="仿宋" w:cs="仿宋"/>
          <w:b w:val="0"/>
          <w:color w:val="000000"/>
          <w:kern w:val="2"/>
          <w:sz w:val="28"/>
          <w:szCs w:val="28"/>
          <w:lang w:val="en-US" w:eastAsia="zh-CN" w:bidi="ar-SA"/>
        </w:rPr>
        <w:t>接，及时</w:t>
      </w:r>
      <w:r>
        <w:rPr>
          <w:rFonts w:hint="eastAsia" w:ascii="仿宋" w:hAnsi="仿宋" w:eastAsia="仿宋" w:cs="仿宋"/>
          <w:b w:val="0"/>
          <w:color w:val="000000"/>
          <w:kern w:val="2"/>
          <w:sz w:val="28"/>
          <w:szCs w:val="28"/>
          <w:lang w:val="en-US" w:eastAsia="zh-CN" w:bidi="ar-SA"/>
        </w:rPr>
        <w:t>掌握</w:t>
      </w:r>
      <w:r>
        <w:rPr>
          <w:rFonts w:hint="default" w:ascii="仿宋" w:hAnsi="仿宋" w:eastAsia="仿宋" w:cs="仿宋"/>
          <w:b w:val="0"/>
          <w:color w:val="000000"/>
          <w:kern w:val="2"/>
          <w:sz w:val="28"/>
          <w:szCs w:val="28"/>
          <w:lang w:val="en-US" w:eastAsia="zh-CN" w:bidi="ar-SA"/>
        </w:rPr>
        <w:t>财政、财务规章制度，</w:t>
      </w:r>
      <w:r>
        <w:rPr>
          <w:rFonts w:hint="eastAsia" w:ascii="仿宋" w:hAnsi="仿宋" w:eastAsia="仿宋" w:cs="仿宋"/>
          <w:b w:val="0"/>
          <w:color w:val="000000"/>
          <w:kern w:val="2"/>
          <w:sz w:val="28"/>
          <w:szCs w:val="28"/>
          <w:lang w:val="en-US" w:eastAsia="zh-CN" w:bidi="ar-SA"/>
        </w:rPr>
        <w:t>严格遵守</w:t>
      </w:r>
      <w:r>
        <w:rPr>
          <w:rFonts w:hint="default" w:ascii="仿宋" w:hAnsi="仿宋" w:eastAsia="仿宋" w:cs="仿宋"/>
          <w:b w:val="0"/>
          <w:color w:val="000000"/>
          <w:kern w:val="2"/>
          <w:sz w:val="28"/>
          <w:szCs w:val="28"/>
          <w:lang w:val="en-US" w:eastAsia="zh-CN" w:bidi="ar-SA"/>
        </w:rPr>
        <w:t>财经纪律；三是对业务类项目</w:t>
      </w:r>
      <w:r>
        <w:rPr>
          <w:rFonts w:hint="eastAsia" w:ascii="仿宋" w:hAnsi="仿宋" w:eastAsia="仿宋" w:cs="仿宋"/>
          <w:b w:val="0"/>
          <w:color w:val="000000"/>
          <w:kern w:val="2"/>
          <w:sz w:val="28"/>
          <w:szCs w:val="28"/>
          <w:lang w:val="en-US" w:eastAsia="zh-CN" w:bidi="ar-SA"/>
        </w:rPr>
        <w:t>进行</w:t>
      </w:r>
      <w:r>
        <w:rPr>
          <w:rFonts w:hint="default" w:ascii="仿宋" w:hAnsi="仿宋" w:eastAsia="仿宋" w:cs="仿宋"/>
          <w:b w:val="0"/>
          <w:color w:val="000000"/>
          <w:kern w:val="2"/>
          <w:sz w:val="28"/>
          <w:szCs w:val="28"/>
          <w:lang w:val="en-US" w:eastAsia="zh-CN" w:bidi="ar-SA"/>
        </w:rPr>
        <w:t>深度整合，除</w:t>
      </w:r>
      <w:r>
        <w:rPr>
          <w:rFonts w:hint="eastAsia" w:ascii="仿宋" w:hAnsi="仿宋" w:eastAsia="仿宋" w:cs="仿宋"/>
          <w:b w:val="0"/>
          <w:color w:val="000000"/>
          <w:kern w:val="2"/>
          <w:sz w:val="28"/>
          <w:szCs w:val="28"/>
          <w:lang w:val="en-US" w:eastAsia="zh-CN" w:bidi="ar-SA"/>
        </w:rPr>
        <w:t>按政策</w:t>
      </w:r>
      <w:r>
        <w:rPr>
          <w:rFonts w:hint="default" w:ascii="仿宋" w:hAnsi="仿宋" w:eastAsia="仿宋" w:cs="仿宋"/>
          <w:b w:val="0"/>
          <w:color w:val="000000"/>
          <w:kern w:val="2"/>
          <w:sz w:val="28"/>
          <w:szCs w:val="28"/>
          <w:lang w:val="en-US" w:eastAsia="zh-CN" w:bidi="ar-SA"/>
        </w:rPr>
        <w:t>据实核定项</w:t>
      </w:r>
      <w:r>
        <w:rPr>
          <w:rFonts w:hint="eastAsia" w:ascii="仿宋" w:hAnsi="仿宋" w:eastAsia="仿宋" w:cs="仿宋"/>
          <w:b w:val="0"/>
          <w:color w:val="000000"/>
          <w:kern w:val="2"/>
          <w:sz w:val="28"/>
          <w:szCs w:val="28"/>
          <w:lang w:val="en-US" w:eastAsia="zh-CN" w:bidi="ar-SA"/>
        </w:rPr>
        <w:t>目</w:t>
      </w:r>
      <w:r>
        <w:rPr>
          <w:rFonts w:hint="default" w:ascii="仿宋" w:hAnsi="仿宋" w:eastAsia="仿宋" w:cs="仿宋"/>
          <w:b w:val="0"/>
          <w:color w:val="000000"/>
          <w:kern w:val="2"/>
          <w:sz w:val="28"/>
          <w:szCs w:val="28"/>
          <w:lang w:val="en-US" w:eastAsia="zh-CN" w:bidi="ar-SA"/>
        </w:rPr>
        <w:t>外，</w:t>
      </w:r>
      <w:r>
        <w:rPr>
          <w:rFonts w:hint="eastAsia" w:ascii="仿宋" w:hAnsi="仿宋" w:eastAsia="仿宋" w:cs="仿宋"/>
          <w:b w:val="0"/>
          <w:color w:val="000000"/>
          <w:kern w:val="2"/>
          <w:sz w:val="28"/>
          <w:szCs w:val="28"/>
          <w:lang w:val="en-US" w:eastAsia="zh-CN" w:bidi="ar-SA"/>
        </w:rPr>
        <w:t>结合大类业务统筹设立项目，保障</w:t>
      </w:r>
      <w:r>
        <w:rPr>
          <w:rFonts w:hint="default" w:ascii="仿宋" w:hAnsi="仿宋" w:eastAsia="仿宋" w:cs="仿宋"/>
          <w:b w:val="0"/>
          <w:color w:val="000000"/>
          <w:kern w:val="2"/>
          <w:sz w:val="28"/>
          <w:szCs w:val="28"/>
          <w:lang w:val="en-US" w:eastAsia="zh-CN" w:bidi="ar-SA"/>
        </w:rPr>
        <w:t>资金</w:t>
      </w:r>
      <w:r>
        <w:rPr>
          <w:rFonts w:hint="eastAsia" w:ascii="仿宋" w:hAnsi="仿宋" w:eastAsia="仿宋" w:cs="仿宋"/>
          <w:b w:val="0"/>
          <w:color w:val="000000"/>
          <w:kern w:val="2"/>
          <w:sz w:val="28"/>
          <w:szCs w:val="28"/>
          <w:lang w:val="en-US" w:eastAsia="zh-CN" w:bidi="ar-SA"/>
        </w:rPr>
        <w:t>规范高效</w:t>
      </w:r>
      <w:r>
        <w:rPr>
          <w:rFonts w:hint="default" w:ascii="仿宋" w:hAnsi="仿宋" w:eastAsia="仿宋" w:cs="仿宋"/>
          <w:b w:val="0"/>
          <w:color w:val="000000"/>
          <w:kern w:val="2"/>
          <w:sz w:val="28"/>
          <w:szCs w:val="28"/>
          <w:lang w:val="en-US" w:eastAsia="zh-CN" w:bidi="ar-SA"/>
        </w:rPr>
        <w:t>使用。</w:t>
      </w:r>
    </w:p>
    <w:p>
      <w:pPr>
        <w:numPr>
          <w:ilvl w:val="0"/>
          <w:numId w:val="1"/>
        </w:numPr>
        <w:spacing w:before="219" w:line="600" w:lineRule="exact"/>
        <w:ind w:left="648" w:leftChars="0" w:firstLine="0" w:firstLineChars="0"/>
        <w:outlineLvl w:val="0"/>
        <w:rPr>
          <w:rFonts w:hint="eastAsia" w:ascii="黑体" w:hAnsi="黑体" w:eastAsia="黑体" w:cs="黑体"/>
          <w:spacing w:val="8"/>
          <w:position w:val="21"/>
          <w:sz w:val="32"/>
          <w:szCs w:val="32"/>
        </w:rPr>
      </w:pPr>
      <w:r>
        <w:rPr>
          <w:rFonts w:hint="eastAsia" w:ascii="黑体" w:hAnsi="黑体" w:eastAsia="黑体" w:cs="黑体"/>
          <w:spacing w:val="9"/>
          <w:position w:val="21"/>
          <w:sz w:val="32"/>
          <w:szCs w:val="32"/>
        </w:rPr>
        <w:t>部门整体支出绩效自评结果拟应用和公开</w:t>
      </w:r>
      <w:r>
        <w:rPr>
          <w:rFonts w:hint="eastAsia" w:ascii="黑体" w:hAnsi="黑体" w:eastAsia="黑体" w:cs="黑体"/>
          <w:spacing w:val="8"/>
          <w:position w:val="21"/>
          <w:sz w:val="32"/>
          <w:szCs w:val="32"/>
        </w:rPr>
        <w:t>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拟应用情况：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将绩效自评结果作为下年度公安预算编制、资金统筹及警务保障安排的重要依据。针对自评发现问题建立整改台账，压实所队绩效管理责任，优化资金使用，重点保障执法办案、治安防控等履职需要，提升财政资金使用效益。</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拟公开情况：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default" w:ascii="仿宋" w:hAnsi="仿宋" w:eastAsia="仿宋" w:cs="仿宋"/>
          <w:b w:val="0"/>
          <w:color w:val="000000"/>
          <w:kern w:val="2"/>
          <w:sz w:val="28"/>
          <w:szCs w:val="28"/>
          <w:lang w:val="en-US" w:eastAsia="zh-CN" w:bidi="ar-SA"/>
        </w:rPr>
      </w:pPr>
      <w:r>
        <w:rPr>
          <w:rFonts w:hint="eastAsia" w:ascii="仿宋" w:hAnsi="仿宋" w:eastAsia="仿宋" w:cs="仿宋"/>
          <w:b w:val="0"/>
          <w:color w:val="000000"/>
          <w:kern w:val="2"/>
          <w:sz w:val="28"/>
          <w:szCs w:val="28"/>
          <w:lang w:val="en-US" w:eastAsia="zh-CN" w:bidi="ar-SA"/>
        </w:rPr>
        <w:t>严格按照政务公开及公安保密规定，绩效自评结果随同部门决算在官方平台依规公开，涉密内容作脱敏处理，主动接受监督。</w:t>
      </w:r>
    </w:p>
    <w:p>
      <w:pPr>
        <w:pStyle w:val="3"/>
        <w:rPr>
          <w:rFonts w:hint="eastAsia"/>
          <w:lang w:eastAsia="zh-CN"/>
        </w:rPr>
      </w:pPr>
    </w:p>
    <w:p>
      <w:pPr>
        <w:numPr>
          <w:ilvl w:val="0"/>
          <w:numId w:val="1"/>
        </w:numPr>
        <w:spacing w:line="226" w:lineRule="auto"/>
        <w:ind w:left="648" w:leftChars="0" w:firstLine="0" w:firstLineChars="0"/>
        <w:outlineLvl w:val="0"/>
        <w:rPr>
          <w:rFonts w:hint="eastAsia" w:ascii="黑体" w:hAnsi="黑体" w:eastAsia="黑体" w:cs="黑体"/>
          <w:spacing w:val="-3"/>
          <w:sz w:val="32"/>
          <w:szCs w:val="32"/>
        </w:rPr>
      </w:pPr>
      <w:r>
        <w:rPr>
          <w:rFonts w:hint="eastAsia" w:ascii="黑体" w:hAnsi="黑体" w:eastAsia="黑体" w:cs="黑体"/>
          <w:spacing w:val="-3"/>
          <w:sz w:val="32"/>
          <w:szCs w:val="32"/>
        </w:rPr>
        <w:t>其他需要说明的情况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35216"/>
    <w:multiLevelType w:val="singleLevel"/>
    <w:tmpl w:val="23D35216"/>
    <w:lvl w:ilvl="0" w:tentative="0">
      <w:start w:val="1"/>
      <w:numFmt w:val="chineseCounting"/>
      <w:suff w:val="nothing"/>
      <w:lvlText w:val="%1、"/>
      <w:lvlJc w:val="left"/>
      <w:rPr>
        <w:rFonts w:hint="eastAsia"/>
      </w:rPr>
    </w:lvl>
  </w:abstractNum>
  <w:abstractNum w:abstractNumId="1">
    <w:nsid w:val="28D13761"/>
    <w:multiLevelType w:val="singleLevel"/>
    <w:tmpl w:val="28D1376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1E6B20"/>
    <w:rsid w:val="0AD23872"/>
    <w:rsid w:val="11A97CE6"/>
    <w:rsid w:val="188D46CE"/>
    <w:rsid w:val="1A1F4D7C"/>
    <w:rsid w:val="211E6B20"/>
    <w:rsid w:val="2885354C"/>
    <w:rsid w:val="2A737355"/>
    <w:rsid w:val="320C5AE6"/>
    <w:rsid w:val="37E61460"/>
    <w:rsid w:val="42CC2804"/>
    <w:rsid w:val="4A846FAC"/>
    <w:rsid w:val="4C296C0A"/>
    <w:rsid w:val="4E6835B0"/>
    <w:rsid w:val="4F1439D7"/>
    <w:rsid w:val="536D57C1"/>
    <w:rsid w:val="53A83D40"/>
    <w:rsid w:val="55F14303"/>
    <w:rsid w:val="57A964CE"/>
    <w:rsid w:val="5D147A70"/>
    <w:rsid w:val="5F6C08C5"/>
    <w:rsid w:val="62151953"/>
    <w:rsid w:val="63456194"/>
    <w:rsid w:val="6A03644B"/>
    <w:rsid w:val="6B1971A8"/>
    <w:rsid w:val="6D814EDF"/>
    <w:rsid w:val="738D28C2"/>
    <w:rsid w:val="760F5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widowControl w:val="0"/>
      <w:jc w:val="left"/>
    </w:pPr>
    <w:rPr>
      <w:sz w:val="32"/>
    </w:rPr>
  </w:style>
  <w:style w:type="paragraph" w:styleId="3">
    <w:name w:val="toc 5"/>
    <w:basedOn w:val="1"/>
    <w:next w:val="1"/>
    <w:qFormat/>
    <w:uiPriority w:val="0"/>
    <w:pPr>
      <w:ind w:left="1680"/>
    </w:pPr>
  </w:style>
  <w:style w:type="paragraph" w:styleId="4">
    <w:name w:val="footnote text"/>
    <w:basedOn w:val="1"/>
    <w:next w:val="1"/>
    <w:qFormat/>
    <w:uiPriority w:val="0"/>
    <w:pPr>
      <w:snapToGrid w:val="0"/>
      <w:jc w:val="left"/>
    </w:pPr>
    <w:rPr>
      <w:sz w:val="18"/>
      <w:szCs w:val="18"/>
    </w:rPr>
  </w:style>
  <w:style w:type="paragraph" w:customStyle="1" w:styleId="7">
    <w:name w:val="正文-公1"/>
    <w:basedOn w:val="8"/>
    <w:next w:val="1"/>
    <w:qFormat/>
    <w:uiPriority w:val="0"/>
    <w:pPr>
      <w:ind w:firstLine="200" w:firstLineChars="200"/>
    </w:pPr>
  </w:style>
  <w:style w:type="paragraph" w:customStyle="1" w:styleId="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2026-05-20T05:09:00Z</dcterms:created>
  <dc:creator>Administrator</dc:creator>
  <cp:lastModifiedBy>Administrator</cp:lastModifiedBy>
  <dcterms:modified xsi:type="dcterms:W3CDTF">2026-09-09T03:37:06Z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