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18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  <w:lang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财政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  <w:lang w:eastAsia="zh-CN"/>
        </w:rPr>
        <w:t>事务中心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</w:p>
    <w:p w14:paraId="6AC87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3FBDB096">
      <w:pPr>
        <w:spacing w:line="283" w:lineRule="auto"/>
        <w:rPr>
          <w:rFonts w:ascii="Arial"/>
          <w:sz w:val="21"/>
        </w:rPr>
      </w:pPr>
    </w:p>
    <w:p w14:paraId="7BE48EF0">
      <w:pPr>
        <w:spacing w:line="284" w:lineRule="auto"/>
        <w:rPr>
          <w:rFonts w:ascii="Arial"/>
          <w:sz w:val="21"/>
        </w:rPr>
      </w:pPr>
    </w:p>
    <w:p w14:paraId="376653BC">
      <w:pPr>
        <w:pStyle w:val="2"/>
      </w:pPr>
    </w:p>
    <w:p w14:paraId="054CC73D">
      <w:pPr>
        <w:numPr>
          <w:ilvl w:val="0"/>
          <w:numId w:val="1"/>
        </w:numPr>
        <w:spacing w:before="101" w:line="228" w:lineRule="auto"/>
        <w:ind w:left="648"/>
        <w:rPr>
          <w:rFonts w:hint="eastAsia" w:ascii="黑体" w:hAnsi="黑体" w:eastAsia="黑体" w:cs="黑体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部门基本情况</w:t>
      </w:r>
    </w:p>
    <w:p w14:paraId="74CF5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负责非税收入的征收和管理，拟定统筹方案，实行统筹调节，负责资金的清算与划解，核定征收计划，编报年度预算决算。负责非税收入票据管理等工作。</w:t>
      </w:r>
    </w:p>
    <w:p w14:paraId="06479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完成县财政局交办的其他任务。</w:t>
      </w:r>
    </w:p>
    <w:p w14:paraId="5A2A803A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单位为财政局二级机构，人员编制11人，实有在职10人。</w:t>
      </w:r>
    </w:p>
    <w:p w14:paraId="538A118E">
      <w:pPr>
        <w:spacing w:before="216" w:line="226" w:lineRule="auto"/>
        <w:ind w:left="648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2"/>
          <w:sz w:val="32"/>
          <w:szCs w:val="32"/>
        </w:rPr>
        <w:t>二、一般公共预算支出情况</w:t>
      </w:r>
    </w:p>
    <w:p w14:paraId="55A43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（一）基本支出情况</w:t>
      </w:r>
    </w:p>
    <w:p w14:paraId="43440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3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2025年度基本支出183.62万元，其中人员经费支出153.03万元，主要为基本工资、津贴补贴、养老保险缴费、基本医疗保险、其他社会保障缴费、住房公积金、其他工资福利支出；非税收入征收、非税票据的购领及稽核工作经费及其他日常工作经费30.59万元。</w:t>
      </w:r>
    </w:p>
    <w:p w14:paraId="7B322175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7FFEB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项目支出情况</w:t>
      </w:r>
    </w:p>
    <w:p w14:paraId="55799C42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　　 本年度项目支出为4万元。 </w:t>
      </w:r>
    </w:p>
    <w:p w14:paraId="799B1DD4">
      <w:pPr>
        <w:numPr>
          <w:ilvl w:val="0"/>
          <w:numId w:val="0"/>
        </w:numPr>
        <w:spacing w:before="224" w:line="227" w:lineRule="auto"/>
        <w:ind w:left="648" w:leftChars="0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pacing w:val="8"/>
          <w:sz w:val="32"/>
          <w:szCs w:val="32"/>
        </w:rPr>
        <w:t>政府性基金预算支出情况</w:t>
      </w:r>
    </w:p>
    <w:p w14:paraId="2D3A925B">
      <w:pPr>
        <w:pStyle w:val="2"/>
        <w:numPr>
          <w:ilvl w:val="0"/>
          <w:numId w:val="0"/>
        </w:numPr>
        <w:ind w:left="648"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无</w:t>
      </w:r>
      <w:bookmarkStart w:id="0" w:name="_GoBack"/>
      <w:bookmarkEnd w:id="0"/>
    </w:p>
    <w:p w14:paraId="0D260B56">
      <w:pPr>
        <w:numPr>
          <w:ilvl w:val="0"/>
          <w:numId w:val="0"/>
        </w:numPr>
        <w:spacing w:before="219" w:line="600" w:lineRule="exact"/>
        <w:ind w:left="648" w:leftChars="0"/>
        <w:rPr>
          <w:rFonts w:hint="eastAsia" w:ascii="黑体" w:hAnsi="黑体" w:eastAsia="黑体" w:cs="黑体"/>
          <w:spacing w:val="7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spacing w:val="7"/>
          <w:position w:val="21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pacing w:val="7"/>
          <w:position w:val="21"/>
          <w:sz w:val="32"/>
          <w:szCs w:val="32"/>
        </w:rPr>
        <w:t>国有资本经营预算支出情况</w:t>
      </w:r>
    </w:p>
    <w:p w14:paraId="179BD738">
      <w:pPr>
        <w:pStyle w:val="2"/>
        <w:numPr>
          <w:ilvl w:val="0"/>
          <w:numId w:val="0"/>
        </w:numPr>
        <w:ind w:left="648"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无</w:t>
      </w:r>
    </w:p>
    <w:p w14:paraId="1550ECF8">
      <w:pPr>
        <w:numPr>
          <w:ilvl w:val="0"/>
          <w:numId w:val="0"/>
        </w:numPr>
        <w:spacing w:line="227" w:lineRule="auto"/>
        <w:ind w:left="648" w:leftChars="0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pacing w:val="8"/>
          <w:sz w:val="32"/>
          <w:szCs w:val="32"/>
        </w:rPr>
        <w:t>社会保险基金预算支出情况</w:t>
      </w:r>
    </w:p>
    <w:p w14:paraId="36260742">
      <w:pPr>
        <w:pStyle w:val="2"/>
        <w:numPr>
          <w:ilvl w:val="0"/>
          <w:numId w:val="0"/>
        </w:numPr>
        <w:ind w:left="648"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无</w:t>
      </w:r>
    </w:p>
    <w:p w14:paraId="224CD8D4">
      <w:pPr>
        <w:numPr>
          <w:ilvl w:val="0"/>
          <w:numId w:val="0"/>
        </w:numPr>
        <w:spacing w:before="219" w:line="226" w:lineRule="auto"/>
        <w:ind w:left="648" w:leftChars="0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pacing w:val="8"/>
          <w:sz w:val="32"/>
          <w:szCs w:val="32"/>
        </w:rPr>
        <w:t>部门整体支出绩效情况</w:t>
      </w:r>
    </w:p>
    <w:p w14:paraId="68A73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（一）全面落实减费降税减负举措</w:t>
      </w:r>
    </w:p>
    <w:p w14:paraId="57E03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为切实落实减税降费政策，推进法治化营商环境建设，我们要求各执收单位对行政事业性收费、政府性基金收入、专项收入、国有资源（资产）有偿使用收入、国有资产处置收入、罚没收入、经营服务性收入、捐赠收入等非税收入收缴情况，认真开展自查自纠。要求各部门、各单位切实提高思想认识，严格执行“收支两条线”管理规定，严格落实减税降费政策。对是否存在违规收取国家和省取消、停征、减免的行政事业性收费和政府性基金，是否违规设立非税收入项目、扩大征收范围、提高征收标准，是否存在单位资金账户坐收坐支和截留、占用、挪用以及单位账外循环非税收入等问题，坚持实事求是，不回避、不隐瞒，如实上报，切实保护了企业和个人利益。</w:t>
      </w:r>
    </w:p>
    <w:p w14:paraId="7B81CA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Chars="200"/>
        <w:jc w:val="both"/>
        <w:textAlignment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（二）</w:t>
      </w:r>
      <w:r>
        <w:rPr>
          <w:rFonts w:hint="eastAsia" w:ascii="黑体" w:hAnsi="黑体" w:eastAsia="黑体" w:cs="黑体"/>
          <w:b/>
          <w:sz w:val="32"/>
          <w:szCs w:val="32"/>
        </w:rPr>
        <w:t>定推进票据改革</w:t>
      </w:r>
    </w:p>
    <w:p w14:paraId="32100BCA">
      <w:pPr>
        <w:pStyle w:val="2"/>
        <w:numPr>
          <w:ilvl w:val="0"/>
          <w:numId w:val="0"/>
        </w:numPr>
        <w:tabs>
          <w:tab w:val="left" w:pos="0"/>
        </w:tabs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按省厅部署安排，稳步推进一般缴款书电子化改革，以数字信息代替纸质凭证，推动非税收入一般缴款书电子化转型。按改革要求，我县已切换新系统，票据申领和核销实现数字化和 “无纸化”。</w:t>
      </w:r>
    </w:p>
    <w:p w14:paraId="7194A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3" w:firstLineChars="200"/>
        <w:jc w:val="both"/>
        <w:textAlignment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（三）加强收缴执行情况分析</w:t>
      </w:r>
    </w:p>
    <w:p w14:paraId="57E00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非税收入收缴执行情况分析是科学研判非税收入形势、实施财政收入预期管理、深化非税收入管理改革的重要基础性工作。我们高度重视非税收入收缴执行情况分析工作，按照省市要求每季度按时报送非税收入收缴执行情况分析报表，从经济运行、收入征缴、政策变动等多个角度，分析收入增减原因和变动趋势，进一步健全分析报告制度，高效做好分析编报工作，确保数据准确、信息全面，并紧密结合经济运行状况、支持疫情防控及降费减负政策落实情况、财政管理措施成效等因素，深入分析非税收入完成情况和运行规律，科学研判收入变动趋势，为完善收入预期管理，确保财政收入目标任务实现提供了重要参考依据。</w:t>
      </w:r>
    </w:p>
    <w:p w14:paraId="0CA43C5C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1360DAD">
      <w:pPr>
        <w:numPr>
          <w:ilvl w:val="0"/>
          <w:numId w:val="0"/>
        </w:numPr>
        <w:spacing w:before="220" w:line="600" w:lineRule="exact"/>
        <w:ind w:left="648" w:leftChars="0"/>
        <w:rPr>
          <w:rFonts w:hint="eastAsia" w:ascii="黑体" w:hAnsi="黑体" w:eastAsia="黑体" w:cs="黑体"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spacing w:val="9"/>
          <w:position w:val="21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spacing w:val="9"/>
          <w:position w:val="21"/>
          <w:sz w:val="32"/>
          <w:szCs w:val="32"/>
        </w:rPr>
        <w:t>存在的问题及原因分析</w:t>
      </w:r>
    </w:p>
    <w:p w14:paraId="333AD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从预算的执行情况来看，我单位的预算资金执行率较高，但存在资金使用规划欠缺的问题。</w:t>
      </w:r>
    </w:p>
    <w:p w14:paraId="6EAC3D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1.绩效目标设立不够明确、细化和量化。</w:t>
      </w:r>
    </w:p>
    <w:p w14:paraId="363EC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2.本单位年龄结构老化，干部流动不畅通，一定程度影响工作积极性和主动性。</w:t>
      </w:r>
    </w:p>
    <w:p w14:paraId="4FFEFDA3">
      <w:pPr>
        <w:pStyle w:val="2"/>
        <w:numPr>
          <w:ilvl w:val="0"/>
          <w:numId w:val="0"/>
        </w:numPr>
        <w:ind w:left="648" w:leftChars="0"/>
        <w:rPr>
          <w:rFonts w:hint="eastAsia"/>
        </w:rPr>
      </w:pPr>
    </w:p>
    <w:p w14:paraId="3B85D36C">
      <w:pPr>
        <w:numPr>
          <w:ilvl w:val="0"/>
          <w:numId w:val="0"/>
        </w:numPr>
        <w:spacing w:line="227" w:lineRule="auto"/>
        <w:ind w:left="648" w:leftChars="0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spacing w:val="8"/>
          <w:sz w:val="32"/>
          <w:szCs w:val="32"/>
        </w:rPr>
        <w:t>下一步改进措施</w:t>
      </w:r>
    </w:p>
    <w:p w14:paraId="6E126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1.加强单位预算编制工作，根据人员情况、业务开展需要，逐项做出预算计划，预算合理，不留缺口。</w:t>
      </w:r>
    </w:p>
    <w:p w14:paraId="4C9593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2.加强工作人员的业务培训，提高评价水平。</w:t>
      </w:r>
    </w:p>
    <w:p w14:paraId="0429E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3.预算财务分析常态化，定期做好预算支出财务分析，做好部门整体支出预算评价工作。</w:t>
      </w:r>
    </w:p>
    <w:p w14:paraId="16CEB807">
      <w:pPr>
        <w:pStyle w:val="2"/>
        <w:numPr>
          <w:ilvl w:val="0"/>
          <w:numId w:val="0"/>
        </w:numPr>
        <w:ind w:left="648" w:leftChars="0"/>
        <w:rPr>
          <w:rFonts w:hint="eastAsia"/>
        </w:rPr>
      </w:pPr>
    </w:p>
    <w:p w14:paraId="7DA70851">
      <w:pPr>
        <w:numPr>
          <w:ilvl w:val="0"/>
          <w:numId w:val="0"/>
        </w:numPr>
        <w:spacing w:before="219" w:line="600" w:lineRule="exact"/>
        <w:ind w:left="648" w:leftChars="0"/>
        <w:rPr>
          <w:rFonts w:hint="eastAsia" w:ascii="黑体" w:hAnsi="黑体" w:eastAsia="黑体" w:cs="黑体"/>
          <w:spacing w:val="8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spacing w:val="9"/>
          <w:position w:val="21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2"/>
          <w:szCs w:val="32"/>
        </w:rPr>
        <w:t>部门整体支出绩效自评结果拟应用和公开</w:t>
      </w:r>
      <w:r>
        <w:rPr>
          <w:rFonts w:hint="eastAsia" w:ascii="黑体" w:hAnsi="黑体" w:eastAsia="黑体" w:cs="黑体"/>
          <w:spacing w:val="8"/>
          <w:position w:val="21"/>
          <w:sz w:val="32"/>
          <w:szCs w:val="32"/>
        </w:rPr>
        <w:t>情况</w:t>
      </w:r>
    </w:p>
    <w:p w14:paraId="6D44FB8B">
      <w:pPr>
        <w:pStyle w:val="2"/>
        <w:numPr>
          <w:ilvl w:val="0"/>
          <w:numId w:val="0"/>
        </w:numPr>
        <w:ind w:left="648" w:left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2025年整体支出绩效自评随2025年部门决算一起在政府门户网站公开。</w:t>
      </w:r>
    </w:p>
    <w:p w14:paraId="74FC542C">
      <w:pPr>
        <w:spacing w:line="226" w:lineRule="auto"/>
        <w:ind w:left="647"/>
        <w:rPr>
          <w:rFonts w:hint="eastAsia" w:ascii="黑体" w:hAnsi="黑体" w:eastAsia="黑体" w:cs="黑体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十、其他需要说明的情况</w:t>
      </w:r>
    </w:p>
    <w:p w14:paraId="61275234">
      <w:pPr>
        <w:pStyle w:val="2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 xml:space="preserve">           无</w:t>
      </w:r>
    </w:p>
    <w:p w14:paraId="7AF91612">
      <w:pPr>
        <w:rPr>
          <w:rFonts w:hint="eastAsia" w:ascii="黑体" w:hAnsi="黑体" w:eastAsia="黑体" w:cs="黑体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br w:type="page"/>
      </w:r>
    </w:p>
    <w:p w14:paraId="4C07F10F">
      <w:pPr>
        <w:jc w:val="both"/>
        <w:rPr>
          <w:rFonts w:hint="eastAsia" w:ascii="黑体" w:hAnsi="黑体" w:eastAsia="黑体" w:cs="黑体"/>
          <w:sz w:val="32"/>
          <w:szCs w:val="32"/>
        </w:rPr>
        <w:sectPr>
          <w:footerReference r:id="rId3" w:type="default"/>
          <w:pgSz w:w="11905" w:h="16838"/>
          <w:pgMar w:top="1984" w:right="1701" w:bottom="1984" w:left="1701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4" w:charSpace="0"/>
        </w:sectPr>
      </w:pPr>
    </w:p>
    <w:p w14:paraId="2A2673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63628">
    <w:pPr>
      <w:pStyle w:val="3"/>
      <w:spacing w:before="1" w:line="174" w:lineRule="auto"/>
      <w:ind w:left="8576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2603F">
                          <w:pPr>
                            <w:pStyle w:val="4"/>
                            <w:rPr>
                              <w:rFonts w:hint="eastAsia" w:ascii="华文仿宋" w:hAnsi="华文仿宋" w:eastAsia="华文仿宋" w:cs="华文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华文仿宋" w:hAnsi="华文仿宋" w:eastAsia="华文仿宋" w:cs="华文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仿宋" w:hAnsi="华文仿宋" w:eastAsia="华文仿宋" w:cs="华文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仿宋" w:hAnsi="华文仿宋" w:eastAsia="华文仿宋" w:cs="华文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仿宋" w:hAnsi="华文仿宋" w:eastAsia="华文仿宋" w:cs="华文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华文仿宋" w:hAnsi="华文仿宋" w:eastAsia="华文仿宋" w:cs="华文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C2603F">
                    <w:pPr>
                      <w:pStyle w:val="4"/>
                      <w:rPr>
                        <w:rFonts w:hint="eastAsia" w:ascii="华文仿宋" w:hAnsi="华文仿宋" w:eastAsia="华文仿宋" w:cs="华文仿宋"/>
                        <w:sz w:val="28"/>
                        <w:szCs w:val="28"/>
                      </w:rPr>
                    </w:pPr>
                    <w:r>
                      <w:rPr>
                        <w:rFonts w:hint="eastAsia" w:ascii="华文仿宋" w:hAnsi="华文仿宋" w:eastAsia="华文仿宋" w:cs="华文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仿宋" w:hAnsi="华文仿宋" w:eastAsia="华文仿宋" w:cs="华文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仿宋" w:hAnsi="华文仿宋" w:eastAsia="华文仿宋" w:cs="华文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仿宋" w:hAnsi="华文仿宋" w:eastAsia="华文仿宋" w:cs="华文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华文仿宋" w:hAnsi="华文仿宋" w:eastAsia="华文仿宋" w:cs="华文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A1BFCD"/>
    <w:multiLevelType w:val="singleLevel"/>
    <w:tmpl w:val="27A1BFC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7531C3"/>
    <w:multiLevelType w:val="singleLevel"/>
    <w:tmpl w:val="697531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903288"/>
    <w:rsid w:val="34B561E0"/>
    <w:rsid w:val="45A81449"/>
    <w:rsid w:val="51DF257F"/>
    <w:rsid w:val="53E977FC"/>
    <w:rsid w:val="5B1F1D55"/>
    <w:rsid w:val="69975360"/>
    <w:rsid w:val="72C1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1303</Words>
  <Characters>1336</Characters>
  <Lines>0</Lines>
  <Paragraphs>0</Paragraphs>
  <TotalTime>282</TotalTime>
  <ScaleCrop>false</ScaleCrop>
  <LinksUpToDate>false</LinksUpToDate>
  <CharactersWithSpaces>1396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萝鹃</cp:lastModifiedBy>
  <dcterms:modified xsi:type="dcterms:W3CDTF">2026-06-02T01:26:20Z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eyJoZGlkIjoiYjMxODYwOTc5OTVmOGM2ODYyNzVjMDRhMTgwYjExOWQiLCJ1c2VySWQiOiI4MzY4MTY4MzgifQ==</vt:lpwstr>
  </property>
  <property fmtid="{D5CDD505-2E9C-101B-9397-08002B2CF9AE}" pid="4" name="ICV">
    <vt:lpwstr>F8DE0C67775D4259B7B343386F006F6F_12</vt:lpwstr>
  </property>
</Properties>
</file>