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0F57">
      <w:pPr>
        <w:spacing w:line="348" w:lineRule="auto"/>
        <w:rPr>
          <w:rFonts w:ascii="黑体" w:hAnsi="黑体" w:eastAsia="黑体" w:cs="黑体"/>
          <w:bCs/>
          <w:sz w:val="32"/>
          <w:szCs w:val="32"/>
        </w:rPr>
      </w:pPr>
      <w:r>
        <w:rPr>
          <w:rFonts w:hint="eastAsia" w:ascii="黑体" w:hAnsi="黑体" w:eastAsia="黑体" w:cs="黑体"/>
          <w:bCs/>
          <w:sz w:val="32"/>
          <w:szCs w:val="32"/>
        </w:rPr>
        <w:t>附件2-1</w:t>
      </w:r>
      <w:bookmarkStart w:id="0" w:name="_GoBack"/>
      <w:bookmarkEnd w:id="0"/>
    </w:p>
    <w:p w14:paraId="62637D0B">
      <w:pPr>
        <w:spacing w:line="348" w:lineRule="auto"/>
        <w:jc w:val="center"/>
        <w:rPr>
          <w:rFonts w:eastAsia="方正小标宋简体"/>
          <w:bCs/>
          <w:sz w:val="42"/>
          <w:szCs w:val="42"/>
        </w:rPr>
      </w:pPr>
    </w:p>
    <w:p w14:paraId="5160ACCD">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14:paraId="53DF68BE">
      <w:pPr>
        <w:spacing w:line="800" w:lineRule="exact"/>
        <w:jc w:val="center"/>
        <w:rPr>
          <w:rFonts w:eastAsia="方正小标宋简体"/>
          <w:bCs/>
          <w:sz w:val="46"/>
          <w:szCs w:val="46"/>
        </w:rPr>
      </w:pPr>
      <w:r>
        <w:rPr>
          <w:rFonts w:hint="eastAsia" w:eastAsia="方正小标宋简体"/>
          <w:bCs/>
          <w:sz w:val="46"/>
          <w:szCs w:val="46"/>
        </w:rPr>
        <w:t>绩效评价自评报告</w:t>
      </w:r>
    </w:p>
    <w:p w14:paraId="761614EA">
      <w:pPr>
        <w:rPr>
          <w:rFonts w:eastAsia="仿宋_GB2312"/>
          <w:b/>
          <w:sz w:val="32"/>
        </w:rPr>
      </w:pPr>
    </w:p>
    <w:p w14:paraId="60AFED7A">
      <w:pPr>
        <w:rPr>
          <w:rFonts w:eastAsia="仿宋_GB2312"/>
          <w:b/>
          <w:sz w:val="32"/>
        </w:rPr>
      </w:pPr>
    </w:p>
    <w:p w14:paraId="14EC6EC1">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华容县发展和改革局            </w:t>
      </w:r>
    </w:p>
    <w:p w14:paraId="791A6876">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107001                </w:t>
      </w:r>
    </w:p>
    <w:p w14:paraId="32A47365">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818C88A">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50DCCE4F">
      <w:pPr>
        <w:spacing w:line="720" w:lineRule="exact"/>
        <w:ind w:firstLine="2188" w:firstLineChars="690"/>
        <w:rPr>
          <w:rFonts w:eastAsia="仿宋_GB2312"/>
          <w:sz w:val="32"/>
        </w:rPr>
      </w:pPr>
    </w:p>
    <w:p w14:paraId="2000A541">
      <w:pPr>
        <w:spacing w:line="720" w:lineRule="exact"/>
        <w:ind w:firstLine="2188" w:firstLineChars="690"/>
        <w:rPr>
          <w:rFonts w:eastAsia="仿宋_GB2312"/>
          <w:sz w:val="32"/>
        </w:rPr>
      </w:pPr>
    </w:p>
    <w:p w14:paraId="07D0AE26">
      <w:pPr>
        <w:spacing w:line="720" w:lineRule="exact"/>
        <w:ind w:firstLine="2188" w:firstLineChars="690"/>
        <w:rPr>
          <w:rFonts w:eastAsia="仿宋_GB2312"/>
          <w:sz w:val="32"/>
        </w:rPr>
      </w:pPr>
    </w:p>
    <w:p w14:paraId="4FB6E2CD">
      <w:pPr>
        <w:spacing w:line="348" w:lineRule="auto"/>
        <w:jc w:val="center"/>
        <w:rPr>
          <w:rFonts w:eastAsia="仿宋_GB2312"/>
          <w:sz w:val="32"/>
        </w:rPr>
      </w:pPr>
      <w:r>
        <w:rPr>
          <w:rFonts w:hint="eastAsia" w:eastAsia="仿宋_GB2312"/>
          <w:sz w:val="32"/>
        </w:rPr>
        <w:t>报告日期：   2021年7月27 日</w:t>
      </w:r>
    </w:p>
    <w:p w14:paraId="054338B9">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08"/>
        <w:gridCol w:w="213"/>
        <w:gridCol w:w="46"/>
        <w:gridCol w:w="1080"/>
        <w:gridCol w:w="210"/>
        <w:gridCol w:w="1145"/>
        <w:gridCol w:w="272"/>
        <w:gridCol w:w="808"/>
        <w:gridCol w:w="1479"/>
        <w:gridCol w:w="226"/>
        <w:gridCol w:w="196"/>
        <w:gridCol w:w="259"/>
        <w:gridCol w:w="1080"/>
        <w:gridCol w:w="265"/>
        <w:gridCol w:w="139"/>
        <w:gridCol w:w="316"/>
        <w:gridCol w:w="625"/>
      </w:tblGrid>
      <w:tr w14:paraId="4CB4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67" w:type="dxa"/>
            <w:gridSpan w:val="17"/>
            <w:vAlign w:val="center"/>
          </w:tcPr>
          <w:p w14:paraId="4A4DF7F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830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21" w:type="dxa"/>
            <w:gridSpan w:val="2"/>
            <w:vAlign w:val="center"/>
          </w:tcPr>
          <w:p w14:paraId="22DA69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3D5D66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黎丽萍</w:t>
            </w:r>
          </w:p>
        </w:tc>
        <w:tc>
          <w:tcPr>
            <w:tcW w:w="1479" w:type="dxa"/>
            <w:vAlign w:val="center"/>
          </w:tcPr>
          <w:p w14:paraId="02FD30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710CD2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4188323</w:t>
            </w:r>
          </w:p>
        </w:tc>
      </w:tr>
      <w:tr w14:paraId="23E34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21" w:type="dxa"/>
            <w:gridSpan w:val="2"/>
            <w:vAlign w:val="center"/>
          </w:tcPr>
          <w:p w14:paraId="71E838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286296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w:t>
            </w:r>
          </w:p>
        </w:tc>
        <w:tc>
          <w:tcPr>
            <w:tcW w:w="1479" w:type="dxa"/>
            <w:vAlign w:val="center"/>
          </w:tcPr>
          <w:p w14:paraId="776C35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0362A1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w:t>
            </w:r>
          </w:p>
        </w:tc>
      </w:tr>
      <w:tr w14:paraId="1FCC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21" w:type="dxa"/>
            <w:gridSpan w:val="2"/>
            <w:vAlign w:val="center"/>
          </w:tcPr>
          <w:p w14:paraId="3B7377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4104DE5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拟订全县国民经济和社会发展战略、中长期规划和年度计划并组织实施；2、组织编制国民经济动员、国防交通保障规划、计划；3、统筹规划和综合协调产业发展，推动全县经济结构战略性调整；4、协调平衡卫生健康、科技教育、文化旅游、体育民政等发展政策；5、推进可持续发展战略，负责节能减排的综合协调工作；6、负责全县固定资产投资管理；7、负责全县价格工作的宏观管理和综合平衡；8、完成上级交办的其他任务。</w:t>
            </w:r>
          </w:p>
        </w:tc>
      </w:tr>
      <w:tr w14:paraId="188E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21" w:type="dxa"/>
            <w:gridSpan w:val="2"/>
            <w:vAlign w:val="center"/>
          </w:tcPr>
          <w:p w14:paraId="0A4229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230B9A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79652D8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任务1:完成“十四五”规划编制年度任务</w:t>
            </w:r>
          </w:p>
          <w:p w14:paraId="71E193F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任务2:完成争项争资年度任务</w:t>
            </w:r>
          </w:p>
          <w:p w14:paraId="2CD12C8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任务3:完成华容长江大保护项目年度建设任务</w:t>
            </w:r>
          </w:p>
          <w:p w14:paraId="7C182C8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任务4:完成固定资产投资年度目标</w:t>
            </w:r>
          </w:p>
          <w:p w14:paraId="026F105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任务5:完成智慧华容PPP项目年度建设任务</w:t>
            </w:r>
          </w:p>
          <w:p w14:paraId="108880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任务6:完成易地扶贫搬迁年度任务</w:t>
            </w:r>
          </w:p>
          <w:p w14:paraId="66B5EBB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任务7:完成经济和社会体制和事业单位公车年度改革任务</w:t>
            </w:r>
          </w:p>
          <w:p w14:paraId="1CCD9E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任务8:完成年度成本调查和监测任务</w:t>
            </w:r>
          </w:p>
          <w:p w14:paraId="2370DA0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任务9:按要求做好涉案物的鉴定工作</w:t>
            </w:r>
          </w:p>
          <w:p w14:paraId="73C4EBD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任务10:完成上级交办的其他任务。</w:t>
            </w:r>
          </w:p>
        </w:tc>
      </w:tr>
      <w:tr w14:paraId="1E4F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21" w:type="dxa"/>
            <w:gridSpan w:val="2"/>
            <w:vAlign w:val="center"/>
          </w:tcPr>
          <w:p w14:paraId="2C1645D0">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666FDC8B">
            <w:pPr>
              <w:spacing w:line="360" w:lineRule="exact"/>
              <w:ind w:firstLine="480" w:firstLineChars="200"/>
              <w:jc w:val="left"/>
              <w:rPr>
                <w:rFonts w:hint="eastAsia" w:ascii="仿宋_GB2312" w:hAnsi="仿宋_GB2312" w:eastAsia="仿宋_GB2312" w:cs="仿宋_GB2312"/>
                <w:color w:val="000000"/>
                <w:sz w:val="24"/>
                <w:lang w:eastAsia="zh-CN"/>
              </w:rPr>
            </w:pPr>
            <w:r>
              <w:rPr>
                <w:rFonts w:hint="eastAsia" w:ascii="仿宋_GB2312" w:eastAsia="仿宋_GB2312"/>
                <w:sz w:val="24"/>
              </w:rPr>
              <w:t>2020年，县发改局在县委、县政府的坚强领导下，认真落实“一三五”基本思路，扎实践行“一线工作法”，较好地完成了年度各项工作任务。全年地区生产增长</w:t>
            </w:r>
            <w:r>
              <w:rPr>
                <w:rFonts w:hint="eastAsia" w:ascii="仿宋_GB2312" w:eastAsia="仿宋_GB2312"/>
                <w:sz w:val="24"/>
                <w:lang w:val="en-US" w:eastAsia="zh-CN"/>
              </w:rPr>
              <w:t>3.8</w:t>
            </w:r>
            <w:r>
              <w:rPr>
                <w:rFonts w:hint="eastAsia" w:ascii="仿宋_GB2312" w:eastAsia="仿宋_GB2312"/>
                <w:sz w:val="24"/>
              </w:rPr>
              <w:t>%</w:t>
            </w:r>
            <w:r>
              <w:rPr>
                <w:rFonts w:hint="eastAsia" w:ascii="仿宋_GB2312" w:eastAsia="仿宋_GB2312"/>
                <w:sz w:val="24"/>
                <w:lang w:val="en-US" w:eastAsia="zh-CN"/>
              </w:rPr>
              <w:t>,</w:t>
            </w:r>
            <w:r>
              <w:rPr>
                <w:rFonts w:hint="eastAsia" w:ascii="仿宋_GB2312" w:eastAsia="仿宋_GB2312"/>
                <w:sz w:val="24"/>
              </w:rPr>
              <w:t>固投增长</w:t>
            </w:r>
            <w:r>
              <w:rPr>
                <w:rFonts w:hint="eastAsia" w:ascii="仿宋_GB2312" w:eastAsia="仿宋_GB2312"/>
                <w:sz w:val="24"/>
                <w:lang w:val="en-US" w:eastAsia="zh-CN"/>
              </w:rPr>
              <w:t>9.2</w:t>
            </w:r>
            <w:r>
              <w:rPr>
                <w:rFonts w:hint="eastAsia" w:ascii="仿宋_GB2312" w:eastAsia="仿宋_GB2312"/>
                <w:sz w:val="24"/>
              </w:rPr>
              <w:t>%，六县市排名第</w:t>
            </w:r>
            <w:r>
              <w:rPr>
                <w:rFonts w:hint="eastAsia" w:ascii="仿宋_GB2312" w:eastAsia="仿宋_GB2312"/>
                <w:sz w:val="24"/>
                <w:lang w:eastAsia="zh-CN"/>
              </w:rPr>
              <w:t>二</w:t>
            </w:r>
            <w:r>
              <w:rPr>
                <w:rFonts w:hint="eastAsia" w:ascii="仿宋_GB2312" w:eastAsia="仿宋_GB2312"/>
                <w:sz w:val="24"/>
              </w:rPr>
              <w:t>；城居收入增长4.</w:t>
            </w:r>
            <w:r>
              <w:rPr>
                <w:rFonts w:hint="eastAsia" w:ascii="仿宋_GB2312" w:eastAsia="仿宋_GB2312"/>
                <w:sz w:val="24"/>
                <w:lang w:val="en-US" w:eastAsia="zh-CN"/>
              </w:rPr>
              <w:t>7</w:t>
            </w:r>
            <w:r>
              <w:rPr>
                <w:rFonts w:hint="eastAsia" w:ascii="仿宋_GB2312" w:eastAsia="仿宋_GB2312"/>
                <w:sz w:val="24"/>
              </w:rPr>
              <w:t>%，六县市排名第二。较好</w:t>
            </w:r>
            <w:r>
              <w:rPr>
                <w:rFonts w:hint="eastAsia" w:ascii="仿宋_GB2312" w:eastAsia="仿宋_GB2312"/>
                <w:sz w:val="24"/>
                <w:lang w:eastAsia="zh-CN"/>
              </w:rPr>
              <w:t>完成了</w:t>
            </w:r>
            <w:r>
              <w:rPr>
                <w:rFonts w:hint="eastAsia" w:ascii="仿宋_GB2312" w:eastAsia="仿宋_GB2312"/>
                <w:sz w:val="24"/>
              </w:rPr>
              <w:t>县委、县政府</w:t>
            </w:r>
            <w:r>
              <w:rPr>
                <w:rFonts w:hint="eastAsia" w:ascii="仿宋_GB2312" w:eastAsia="仿宋_GB2312"/>
                <w:sz w:val="24"/>
                <w:lang w:eastAsia="zh-CN"/>
              </w:rPr>
              <w:t>下达的</w:t>
            </w:r>
            <w:r>
              <w:rPr>
                <w:rFonts w:hint="eastAsia" w:ascii="仿宋_GB2312" w:eastAsia="仿宋_GB2312"/>
                <w:sz w:val="24"/>
              </w:rPr>
              <w:t>目标任务，易地扶贫搬迁顺利通过省级检查验收.</w:t>
            </w:r>
            <w:r>
              <w:rPr>
                <w:rFonts w:hint="eastAsia" w:ascii="仿宋_GB2312" w:eastAsia="仿宋_GB2312"/>
                <w:sz w:val="24"/>
                <w:lang w:val="en-US" w:eastAsia="zh-CN"/>
              </w:rPr>
              <w:t>2020年获</w:t>
            </w:r>
            <w:r>
              <w:rPr>
                <w:rFonts w:hint="eastAsia" w:ascii="仿宋_GB2312" w:hAnsi="仿宋_GB2312" w:eastAsia="仿宋_GB2312" w:cs="仿宋_GB2312"/>
                <w:color w:val="000000"/>
                <w:sz w:val="24"/>
              </w:rPr>
              <w:t>全县“综合绩效考核”一类单位，</w:t>
            </w:r>
            <w:r>
              <w:rPr>
                <w:rFonts w:hint="eastAsia" w:ascii="仿宋_GB2312" w:hAnsi="仿宋_GB2312" w:eastAsia="仿宋_GB2312" w:cs="仿宋_GB2312"/>
                <w:color w:val="000000"/>
                <w:sz w:val="24"/>
                <w:lang w:eastAsia="zh-CN"/>
              </w:rPr>
              <w:t>脱贫攻坚优胜单位、推进产业链发展优胜单位、安全生产和消防工作优胜单位。</w:t>
            </w:r>
          </w:p>
        </w:tc>
      </w:tr>
      <w:tr w14:paraId="12813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67" w:type="dxa"/>
            <w:gridSpan w:val="17"/>
            <w:vAlign w:val="center"/>
          </w:tcPr>
          <w:p w14:paraId="2A4BE7E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6381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jc w:val="center"/>
        </w:trPr>
        <w:tc>
          <w:tcPr>
            <w:tcW w:w="9767" w:type="dxa"/>
            <w:gridSpan w:val="17"/>
            <w:vAlign w:val="center"/>
          </w:tcPr>
          <w:p w14:paraId="16B263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406E66B1">
        <w:tblPrEx>
          <w:tblCellMar>
            <w:top w:w="0" w:type="dxa"/>
            <w:left w:w="15" w:type="dxa"/>
            <w:bottom w:w="0" w:type="dxa"/>
            <w:right w:w="15" w:type="dxa"/>
          </w:tblCellMar>
        </w:tblPrEx>
        <w:trPr>
          <w:trHeight w:val="422" w:hRule="atLeast"/>
          <w:jc w:val="center"/>
        </w:trPr>
        <w:tc>
          <w:tcPr>
            <w:tcW w:w="1667" w:type="dxa"/>
            <w:gridSpan w:val="3"/>
            <w:vMerge w:val="restart"/>
            <w:vAlign w:val="center"/>
          </w:tcPr>
          <w:p w14:paraId="07AF74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55E592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2A8C26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E17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9" w:hRule="atLeast"/>
          <w:jc w:val="center"/>
        </w:trPr>
        <w:tc>
          <w:tcPr>
            <w:tcW w:w="1667" w:type="dxa"/>
            <w:gridSpan w:val="3"/>
            <w:vMerge w:val="continue"/>
            <w:vAlign w:val="center"/>
          </w:tcPr>
          <w:p w14:paraId="3D747856">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7BBA1D9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35E10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79ED9F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7CE37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0C754C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7776D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086D3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B5E15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7882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67" w:type="dxa"/>
            <w:gridSpan w:val="3"/>
            <w:vAlign w:val="center"/>
          </w:tcPr>
          <w:p w14:paraId="10FADF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0B31908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2766.28</w:t>
            </w:r>
          </w:p>
        </w:tc>
        <w:tc>
          <w:tcPr>
            <w:tcW w:w="1355" w:type="dxa"/>
            <w:gridSpan w:val="2"/>
            <w:tcBorders>
              <w:left w:val="single" w:color="auto" w:sz="4" w:space="0"/>
            </w:tcBorders>
            <w:vAlign w:val="center"/>
          </w:tcPr>
          <w:p w14:paraId="352A35A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70.28</w:t>
            </w:r>
          </w:p>
        </w:tc>
        <w:tc>
          <w:tcPr>
            <w:tcW w:w="1080" w:type="dxa"/>
            <w:gridSpan w:val="2"/>
            <w:vAlign w:val="center"/>
          </w:tcPr>
          <w:p w14:paraId="11AD8F3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966.28</w:t>
            </w:r>
          </w:p>
        </w:tc>
        <w:tc>
          <w:tcPr>
            <w:tcW w:w="1705" w:type="dxa"/>
            <w:gridSpan w:val="2"/>
            <w:vAlign w:val="center"/>
          </w:tcPr>
          <w:p w14:paraId="0C18F0A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1800</w:t>
            </w:r>
          </w:p>
        </w:tc>
        <w:tc>
          <w:tcPr>
            <w:tcW w:w="1800" w:type="dxa"/>
            <w:gridSpan w:val="4"/>
            <w:vAlign w:val="center"/>
          </w:tcPr>
          <w:p w14:paraId="0A4CEC6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2DAAADF7">
            <w:pPr>
              <w:autoSpaceDN w:val="0"/>
              <w:spacing w:line="320" w:lineRule="exact"/>
              <w:jc w:val="left"/>
              <w:textAlignment w:val="center"/>
              <w:rPr>
                <w:rFonts w:ascii="仿宋_GB2312" w:hAnsi="仿宋_GB2312" w:eastAsia="仿宋_GB2312" w:cs="仿宋_GB2312"/>
                <w:color w:val="000000"/>
                <w:sz w:val="24"/>
              </w:rPr>
            </w:pPr>
          </w:p>
        </w:tc>
      </w:tr>
      <w:tr w14:paraId="5916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67" w:type="dxa"/>
            <w:gridSpan w:val="3"/>
            <w:vAlign w:val="center"/>
          </w:tcPr>
          <w:p w14:paraId="2B57BFB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3ED1352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2766.28</w:t>
            </w:r>
          </w:p>
        </w:tc>
        <w:tc>
          <w:tcPr>
            <w:tcW w:w="1355" w:type="dxa"/>
            <w:gridSpan w:val="2"/>
            <w:tcBorders>
              <w:left w:val="single" w:color="auto" w:sz="4" w:space="0"/>
            </w:tcBorders>
            <w:vAlign w:val="center"/>
          </w:tcPr>
          <w:p w14:paraId="70647DF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70.28</w:t>
            </w:r>
          </w:p>
        </w:tc>
        <w:tc>
          <w:tcPr>
            <w:tcW w:w="1080" w:type="dxa"/>
            <w:gridSpan w:val="2"/>
            <w:vAlign w:val="center"/>
          </w:tcPr>
          <w:p w14:paraId="4CD6170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966.28</w:t>
            </w:r>
          </w:p>
        </w:tc>
        <w:tc>
          <w:tcPr>
            <w:tcW w:w="1705" w:type="dxa"/>
            <w:gridSpan w:val="2"/>
            <w:vAlign w:val="center"/>
          </w:tcPr>
          <w:p w14:paraId="33F56B7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1800</w:t>
            </w:r>
          </w:p>
        </w:tc>
        <w:tc>
          <w:tcPr>
            <w:tcW w:w="1800" w:type="dxa"/>
            <w:gridSpan w:val="4"/>
            <w:vAlign w:val="center"/>
          </w:tcPr>
          <w:p w14:paraId="03ADBBE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A366679">
            <w:pPr>
              <w:autoSpaceDN w:val="0"/>
              <w:spacing w:line="320" w:lineRule="exact"/>
              <w:jc w:val="left"/>
              <w:textAlignment w:val="center"/>
              <w:rPr>
                <w:rFonts w:ascii="仿宋_GB2312" w:hAnsi="仿宋_GB2312" w:eastAsia="仿宋_GB2312" w:cs="仿宋_GB2312"/>
                <w:color w:val="000000"/>
                <w:sz w:val="24"/>
              </w:rPr>
            </w:pPr>
          </w:p>
        </w:tc>
      </w:tr>
      <w:tr w14:paraId="5454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67" w:type="dxa"/>
            <w:gridSpan w:val="3"/>
            <w:vAlign w:val="center"/>
          </w:tcPr>
          <w:p w14:paraId="1120CA6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539ABEDF">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B57778E">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2BA9209A">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12B74CB1">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E25454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39F8296">
            <w:pPr>
              <w:autoSpaceDN w:val="0"/>
              <w:spacing w:line="320" w:lineRule="exact"/>
              <w:jc w:val="left"/>
              <w:textAlignment w:val="center"/>
              <w:rPr>
                <w:rFonts w:ascii="仿宋_GB2312" w:hAnsi="仿宋_GB2312" w:eastAsia="仿宋_GB2312" w:cs="仿宋_GB2312"/>
                <w:color w:val="000000"/>
                <w:sz w:val="24"/>
              </w:rPr>
            </w:pPr>
          </w:p>
        </w:tc>
      </w:tr>
      <w:tr w14:paraId="7F19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67" w:type="dxa"/>
            <w:gridSpan w:val="3"/>
            <w:vAlign w:val="center"/>
          </w:tcPr>
          <w:p w14:paraId="3FBE39C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1EC12529">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39CE6FC">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008F37C8">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3F06FCED">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3092340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177D599C">
            <w:pPr>
              <w:autoSpaceDN w:val="0"/>
              <w:spacing w:line="320" w:lineRule="exact"/>
              <w:jc w:val="left"/>
              <w:textAlignment w:val="center"/>
              <w:rPr>
                <w:rFonts w:ascii="仿宋_GB2312" w:hAnsi="仿宋_GB2312" w:eastAsia="仿宋_GB2312" w:cs="仿宋_GB2312"/>
                <w:color w:val="000000"/>
                <w:sz w:val="24"/>
              </w:rPr>
            </w:pPr>
          </w:p>
        </w:tc>
      </w:tr>
      <w:tr w14:paraId="4272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767" w:type="dxa"/>
            <w:gridSpan w:val="17"/>
            <w:vAlign w:val="center"/>
          </w:tcPr>
          <w:p w14:paraId="3B0594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7D5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9" w:hRule="atLeast"/>
          <w:jc w:val="center"/>
        </w:trPr>
        <w:tc>
          <w:tcPr>
            <w:tcW w:w="1667" w:type="dxa"/>
            <w:gridSpan w:val="3"/>
            <w:vMerge w:val="restart"/>
            <w:vAlign w:val="center"/>
          </w:tcPr>
          <w:p w14:paraId="3CA9BB7D">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49F3B0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06CCEE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235290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990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 w:hRule="atLeast"/>
          <w:jc w:val="center"/>
        </w:trPr>
        <w:tc>
          <w:tcPr>
            <w:tcW w:w="1667" w:type="dxa"/>
            <w:gridSpan w:val="3"/>
            <w:vMerge w:val="continue"/>
            <w:vAlign w:val="center"/>
          </w:tcPr>
          <w:p w14:paraId="5EBF3ED0">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698B416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6DE7D5C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5B71FBF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0717AF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23AAA2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05D86C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738E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0" w:hRule="atLeast"/>
          <w:jc w:val="center"/>
        </w:trPr>
        <w:tc>
          <w:tcPr>
            <w:tcW w:w="1667" w:type="dxa"/>
            <w:gridSpan w:val="3"/>
            <w:vMerge w:val="continue"/>
            <w:vAlign w:val="center"/>
          </w:tcPr>
          <w:p w14:paraId="7854C134">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112553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51A5A50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B132F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3D60B9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58EA111A">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5DDAE7DB">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7748F9A9">
            <w:pPr>
              <w:autoSpaceDN w:val="0"/>
              <w:spacing w:line="320" w:lineRule="exact"/>
              <w:jc w:val="center"/>
              <w:textAlignment w:val="center"/>
              <w:rPr>
                <w:rFonts w:ascii="仿宋_GB2312" w:hAnsi="仿宋_GB2312" w:eastAsia="仿宋_GB2312" w:cs="仿宋_GB2312"/>
                <w:color w:val="000000"/>
                <w:sz w:val="24"/>
              </w:rPr>
            </w:pPr>
          </w:p>
        </w:tc>
      </w:tr>
      <w:tr w14:paraId="19C4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667" w:type="dxa"/>
            <w:gridSpan w:val="3"/>
            <w:vAlign w:val="center"/>
          </w:tcPr>
          <w:p w14:paraId="3656E804">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44C16F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2836.56</w:t>
            </w:r>
          </w:p>
        </w:tc>
        <w:tc>
          <w:tcPr>
            <w:tcW w:w="1355" w:type="dxa"/>
            <w:gridSpan w:val="2"/>
            <w:tcBorders>
              <w:left w:val="single" w:color="auto" w:sz="4" w:space="0"/>
            </w:tcBorders>
            <w:vAlign w:val="center"/>
          </w:tcPr>
          <w:p w14:paraId="2B579E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903.93</w:t>
            </w:r>
          </w:p>
        </w:tc>
        <w:tc>
          <w:tcPr>
            <w:tcW w:w="1080" w:type="dxa"/>
            <w:gridSpan w:val="2"/>
            <w:vAlign w:val="center"/>
          </w:tcPr>
          <w:p w14:paraId="1C891B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676.52</w:t>
            </w:r>
          </w:p>
        </w:tc>
        <w:tc>
          <w:tcPr>
            <w:tcW w:w="2160" w:type="dxa"/>
            <w:gridSpan w:val="4"/>
            <w:vAlign w:val="center"/>
          </w:tcPr>
          <w:p w14:paraId="02ABB7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227.41</w:t>
            </w:r>
          </w:p>
        </w:tc>
        <w:tc>
          <w:tcPr>
            <w:tcW w:w="1080" w:type="dxa"/>
            <w:vAlign w:val="center"/>
          </w:tcPr>
          <w:p w14:paraId="69A29F7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1932.63</w:t>
            </w:r>
          </w:p>
        </w:tc>
        <w:tc>
          <w:tcPr>
            <w:tcW w:w="720" w:type="dxa"/>
            <w:gridSpan w:val="3"/>
            <w:tcBorders>
              <w:right w:val="single" w:color="auto" w:sz="4" w:space="0"/>
            </w:tcBorders>
            <w:vAlign w:val="center"/>
          </w:tcPr>
          <w:p w14:paraId="7F1C804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6AF0CA1F">
            <w:pPr>
              <w:autoSpaceDN w:val="0"/>
              <w:spacing w:line="320" w:lineRule="exact"/>
              <w:jc w:val="center"/>
              <w:textAlignment w:val="center"/>
              <w:rPr>
                <w:rFonts w:ascii="仿宋_GB2312" w:hAnsi="仿宋_GB2312" w:eastAsia="仿宋_GB2312" w:cs="仿宋_GB2312"/>
                <w:color w:val="000000"/>
                <w:sz w:val="24"/>
              </w:rPr>
            </w:pPr>
          </w:p>
        </w:tc>
      </w:tr>
      <w:tr w14:paraId="1EE7C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76169E1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421668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2836.56</w:t>
            </w:r>
          </w:p>
        </w:tc>
        <w:tc>
          <w:tcPr>
            <w:tcW w:w="1355" w:type="dxa"/>
            <w:gridSpan w:val="2"/>
            <w:tcBorders>
              <w:left w:val="single" w:color="auto" w:sz="4" w:space="0"/>
            </w:tcBorders>
            <w:vAlign w:val="center"/>
          </w:tcPr>
          <w:p w14:paraId="40424C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903.93</w:t>
            </w:r>
          </w:p>
        </w:tc>
        <w:tc>
          <w:tcPr>
            <w:tcW w:w="1080" w:type="dxa"/>
            <w:gridSpan w:val="2"/>
            <w:vAlign w:val="center"/>
          </w:tcPr>
          <w:p w14:paraId="3D42CD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676.52</w:t>
            </w:r>
          </w:p>
        </w:tc>
        <w:tc>
          <w:tcPr>
            <w:tcW w:w="2160" w:type="dxa"/>
            <w:gridSpan w:val="4"/>
            <w:vAlign w:val="center"/>
          </w:tcPr>
          <w:p w14:paraId="72C383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227.41</w:t>
            </w:r>
          </w:p>
        </w:tc>
        <w:tc>
          <w:tcPr>
            <w:tcW w:w="1080" w:type="dxa"/>
            <w:vAlign w:val="center"/>
          </w:tcPr>
          <w:p w14:paraId="47DA34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1932.63</w:t>
            </w:r>
          </w:p>
        </w:tc>
        <w:tc>
          <w:tcPr>
            <w:tcW w:w="720" w:type="dxa"/>
            <w:gridSpan w:val="3"/>
            <w:tcBorders>
              <w:right w:val="single" w:color="auto" w:sz="4" w:space="0"/>
            </w:tcBorders>
            <w:vAlign w:val="center"/>
          </w:tcPr>
          <w:p w14:paraId="0BC849FC">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1ED4F48D">
            <w:pPr>
              <w:autoSpaceDN w:val="0"/>
              <w:spacing w:line="320" w:lineRule="exact"/>
              <w:jc w:val="center"/>
              <w:textAlignment w:val="center"/>
              <w:rPr>
                <w:rFonts w:ascii="仿宋_GB2312" w:hAnsi="仿宋_GB2312" w:eastAsia="仿宋_GB2312" w:cs="仿宋_GB2312"/>
                <w:color w:val="000000"/>
                <w:sz w:val="24"/>
              </w:rPr>
            </w:pPr>
          </w:p>
        </w:tc>
      </w:tr>
      <w:tr w14:paraId="607B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5E88EEA8">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04031B2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6C0B1B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C9466A1">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7B7752B9">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77953B3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1D22419B">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27EB9353">
            <w:pPr>
              <w:autoSpaceDN w:val="0"/>
              <w:spacing w:line="320" w:lineRule="exact"/>
              <w:jc w:val="center"/>
              <w:textAlignment w:val="center"/>
              <w:rPr>
                <w:rFonts w:ascii="仿宋_GB2312" w:hAnsi="仿宋_GB2312" w:eastAsia="仿宋_GB2312" w:cs="仿宋_GB2312"/>
                <w:color w:val="000000"/>
                <w:sz w:val="24"/>
              </w:rPr>
            </w:pPr>
          </w:p>
        </w:tc>
      </w:tr>
      <w:tr w14:paraId="32C37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341EF908">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00F9302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5C23B8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D4F74B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D340814">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10A71010">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194429DC">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4067C5B9">
            <w:pPr>
              <w:autoSpaceDN w:val="0"/>
              <w:spacing w:line="320" w:lineRule="exact"/>
              <w:jc w:val="center"/>
              <w:textAlignment w:val="center"/>
              <w:rPr>
                <w:rFonts w:ascii="仿宋_GB2312" w:hAnsi="仿宋_GB2312" w:eastAsia="仿宋_GB2312" w:cs="仿宋_GB2312"/>
                <w:color w:val="000000"/>
                <w:sz w:val="24"/>
              </w:rPr>
            </w:pPr>
          </w:p>
        </w:tc>
      </w:tr>
      <w:tr w14:paraId="4A61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Merge w:val="restart"/>
            <w:vAlign w:val="center"/>
          </w:tcPr>
          <w:p w14:paraId="49D781E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41F0C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03FAB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3F7D15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E298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Merge w:val="continue"/>
            <w:vAlign w:val="center"/>
          </w:tcPr>
          <w:p w14:paraId="10867C2E">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A1C206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29644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52DC8F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0D0A26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124DAC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C97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667" w:type="dxa"/>
            <w:gridSpan w:val="3"/>
            <w:vAlign w:val="center"/>
          </w:tcPr>
          <w:p w14:paraId="50C79404">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19E353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w:t>
            </w:r>
          </w:p>
        </w:tc>
        <w:tc>
          <w:tcPr>
            <w:tcW w:w="1355" w:type="dxa"/>
            <w:gridSpan w:val="2"/>
            <w:tcBorders>
              <w:left w:val="single" w:color="auto" w:sz="4" w:space="0"/>
            </w:tcBorders>
            <w:vAlign w:val="center"/>
          </w:tcPr>
          <w:p w14:paraId="796229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w:t>
            </w:r>
          </w:p>
        </w:tc>
        <w:tc>
          <w:tcPr>
            <w:tcW w:w="1080" w:type="dxa"/>
            <w:gridSpan w:val="2"/>
            <w:vAlign w:val="center"/>
          </w:tcPr>
          <w:p w14:paraId="4FAC65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14:paraId="0FDCEB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14:paraId="6E83ED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34EE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64C232A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30B161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w:t>
            </w:r>
          </w:p>
        </w:tc>
        <w:tc>
          <w:tcPr>
            <w:tcW w:w="1355" w:type="dxa"/>
            <w:gridSpan w:val="2"/>
            <w:tcBorders>
              <w:left w:val="single" w:color="auto" w:sz="4" w:space="0"/>
            </w:tcBorders>
            <w:vAlign w:val="center"/>
          </w:tcPr>
          <w:p w14:paraId="37090C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w:t>
            </w:r>
          </w:p>
        </w:tc>
        <w:tc>
          <w:tcPr>
            <w:tcW w:w="1080" w:type="dxa"/>
            <w:gridSpan w:val="2"/>
            <w:vAlign w:val="center"/>
          </w:tcPr>
          <w:p w14:paraId="793C34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14:paraId="6D0AFE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14:paraId="1C69E095">
            <w:pPr>
              <w:autoSpaceDN w:val="0"/>
              <w:spacing w:line="320" w:lineRule="exact"/>
              <w:jc w:val="center"/>
              <w:textAlignment w:val="center"/>
              <w:rPr>
                <w:rFonts w:ascii="仿宋_GB2312" w:hAnsi="仿宋_GB2312" w:eastAsia="仿宋_GB2312" w:cs="仿宋_GB2312"/>
                <w:color w:val="000000"/>
                <w:sz w:val="24"/>
              </w:rPr>
            </w:pPr>
          </w:p>
        </w:tc>
      </w:tr>
      <w:tr w14:paraId="2F3F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60C73212">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3ED274A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7105F0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B815161">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2F4F4468">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7587D9A5">
            <w:pPr>
              <w:autoSpaceDN w:val="0"/>
              <w:spacing w:line="320" w:lineRule="exact"/>
              <w:jc w:val="center"/>
              <w:textAlignment w:val="center"/>
              <w:rPr>
                <w:rFonts w:ascii="仿宋_GB2312" w:hAnsi="仿宋_GB2312" w:eastAsia="仿宋_GB2312" w:cs="仿宋_GB2312"/>
                <w:color w:val="000000"/>
                <w:sz w:val="24"/>
              </w:rPr>
            </w:pPr>
          </w:p>
        </w:tc>
      </w:tr>
      <w:tr w14:paraId="515D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283E2A03">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3C5B775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F01492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32BFDF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6E010AC4">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0D80868">
            <w:pPr>
              <w:autoSpaceDN w:val="0"/>
              <w:spacing w:line="320" w:lineRule="exact"/>
              <w:jc w:val="center"/>
              <w:textAlignment w:val="center"/>
              <w:rPr>
                <w:rFonts w:ascii="仿宋_GB2312" w:hAnsi="仿宋_GB2312" w:eastAsia="仿宋_GB2312" w:cs="仿宋_GB2312"/>
                <w:color w:val="000000"/>
                <w:sz w:val="24"/>
              </w:rPr>
            </w:pPr>
          </w:p>
        </w:tc>
      </w:tr>
      <w:tr w14:paraId="0D4B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Merge w:val="restart"/>
            <w:vAlign w:val="center"/>
          </w:tcPr>
          <w:p w14:paraId="4B6F655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8A5FCC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464BD7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43152B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7545F0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333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Merge w:val="continue"/>
            <w:vAlign w:val="center"/>
          </w:tcPr>
          <w:p w14:paraId="2B8FD3B3">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1743B2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1B2D0A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64040E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2D4BA494">
            <w:pPr>
              <w:autoSpaceDN w:val="0"/>
              <w:spacing w:line="320" w:lineRule="exact"/>
              <w:jc w:val="center"/>
              <w:textAlignment w:val="center"/>
              <w:rPr>
                <w:rFonts w:ascii="仿宋_GB2312" w:hAnsi="仿宋_GB2312" w:eastAsia="仿宋_GB2312" w:cs="仿宋_GB2312"/>
                <w:color w:val="000000"/>
                <w:sz w:val="24"/>
              </w:rPr>
            </w:pPr>
          </w:p>
        </w:tc>
      </w:tr>
      <w:tr w14:paraId="43D0F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667" w:type="dxa"/>
            <w:gridSpan w:val="3"/>
            <w:vAlign w:val="center"/>
          </w:tcPr>
          <w:p w14:paraId="51F8BBC2">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5C4847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102.68</w:t>
            </w:r>
          </w:p>
        </w:tc>
        <w:tc>
          <w:tcPr>
            <w:tcW w:w="2435" w:type="dxa"/>
            <w:gridSpan w:val="4"/>
            <w:tcBorders>
              <w:left w:val="single" w:color="auto" w:sz="4" w:space="0"/>
            </w:tcBorders>
            <w:vAlign w:val="center"/>
          </w:tcPr>
          <w:p w14:paraId="024126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102.68</w:t>
            </w:r>
          </w:p>
        </w:tc>
        <w:tc>
          <w:tcPr>
            <w:tcW w:w="3644" w:type="dxa"/>
            <w:gridSpan w:val="7"/>
            <w:vAlign w:val="center"/>
          </w:tcPr>
          <w:p w14:paraId="60E6F6D4">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008CBF7">
            <w:pPr>
              <w:autoSpaceDN w:val="0"/>
              <w:spacing w:line="320" w:lineRule="exact"/>
              <w:jc w:val="center"/>
              <w:textAlignment w:val="center"/>
              <w:rPr>
                <w:rFonts w:ascii="仿宋_GB2312" w:hAnsi="仿宋_GB2312" w:eastAsia="仿宋_GB2312" w:cs="仿宋_GB2312"/>
                <w:color w:val="000000"/>
                <w:sz w:val="24"/>
              </w:rPr>
            </w:pPr>
          </w:p>
        </w:tc>
      </w:tr>
      <w:tr w14:paraId="2CD4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152ADD2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6CE02A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102.68</w:t>
            </w:r>
          </w:p>
        </w:tc>
        <w:tc>
          <w:tcPr>
            <w:tcW w:w="2435" w:type="dxa"/>
            <w:gridSpan w:val="4"/>
            <w:tcBorders>
              <w:left w:val="single" w:color="auto" w:sz="4" w:space="0"/>
            </w:tcBorders>
            <w:vAlign w:val="center"/>
          </w:tcPr>
          <w:p w14:paraId="7FFFD8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102.68</w:t>
            </w:r>
          </w:p>
        </w:tc>
        <w:tc>
          <w:tcPr>
            <w:tcW w:w="3644" w:type="dxa"/>
            <w:gridSpan w:val="7"/>
            <w:vAlign w:val="center"/>
          </w:tcPr>
          <w:p w14:paraId="26FBD6D8">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59FDBD27">
            <w:pPr>
              <w:autoSpaceDN w:val="0"/>
              <w:spacing w:line="320" w:lineRule="exact"/>
              <w:jc w:val="center"/>
              <w:textAlignment w:val="center"/>
              <w:rPr>
                <w:rFonts w:ascii="仿宋_GB2312" w:hAnsi="仿宋_GB2312" w:eastAsia="仿宋_GB2312" w:cs="仿宋_GB2312"/>
                <w:color w:val="000000"/>
                <w:sz w:val="24"/>
              </w:rPr>
            </w:pPr>
          </w:p>
        </w:tc>
      </w:tr>
      <w:tr w14:paraId="4136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49DA4CA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03319216">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6124CD2F">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5A8A9AB7">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7560FBF5">
            <w:pPr>
              <w:autoSpaceDN w:val="0"/>
              <w:spacing w:line="320" w:lineRule="exact"/>
              <w:jc w:val="center"/>
              <w:textAlignment w:val="center"/>
              <w:rPr>
                <w:rFonts w:ascii="仿宋_GB2312" w:hAnsi="仿宋_GB2312" w:eastAsia="仿宋_GB2312" w:cs="仿宋_GB2312"/>
                <w:color w:val="000000"/>
                <w:sz w:val="24"/>
              </w:rPr>
            </w:pPr>
          </w:p>
        </w:tc>
      </w:tr>
      <w:tr w14:paraId="76632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67" w:type="dxa"/>
            <w:gridSpan w:val="3"/>
            <w:vAlign w:val="center"/>
          </w:tcPr>
          <w:p w14:paraId="26C0CEB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086ADEDC">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F8CC5E4">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4296C02D">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3D905C6">
            <w:pPr>
              <w:autoSpaceDN w:val="0"/>
              <w:spacing w:line="320" w:lineRule="exact"/>
              <w:jc w:val="center"/>
              <w:textAlignment w:val="center"/>
              <w:rPr>
                <w:rFonts w:ascii="仿宋_GB2312" w:hAnsi="仿宋_GB2312" w:eastAsia="仿宋_GB2312" w:cs="仿宋_GB2312"/>
                <w:color w:val="000000"/>
                <w:sz w:val="24"/>
              </w:rPr>
            </w:pPr>
          </w:p>
        </w:tc>
      </w:tr>
      <w:tr w14:paraId="2753C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67" w:type="dxa"/>
            <w:gridSpan w:val="17"/>
            <w:vAlign w:val="center"/>
          </w:tcPr>
          <w:p w14:paraId="69530693">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6707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08" w:type="dxa"/>
            <w:vMerge w:val="restart"/>
            <w:vAlign w:val="center"/>
          </w:tcPr>
          <w:p w14:paraId="21CF5B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21212B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6F2B17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6D22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08" w:type="dxa"/>
            <w:vMerge w:val="continue"/>
            <w:vAlign w:val="center"/>
          </w:tcPr>
          <w:p w14:paraId="61A7EC20">
            <w:pPr>
              <w:spacing w:line="320" w:lineRule="exact"/>
              <w:rPr>
                <w:rFonts w:ascii="仿宋_GB2312" w:hAnsi="仿宋_GB2312" w:eastAsia="仿宋_GB2312" w:cs="仿宋_GB2312"/>
                <w:sz w:val="24"/>
              </w:rPr>
            </w:pPr>
          </w:p>
        </w:tc>
        <w:tc>
          <w:tcPr>
            <w:tcW w:w="3774" w:type="dxa"/>
            <w:gridSpan w:val="7"/>
            <w:vAlign w:val="center"/>
          </w:tcPr>
          <w:p w14:paraId="5DF40170">
            <w:pPr>
              <w:autoSpaceDN w:val="0"/>
              <w:spacing w:line="320" w:lineRule="exact"/>
              <w:textAlignment w:val="center"/>
              <w:rPr>
                <w:rFonts w:ascii="仿宋_GB2312" w:hAnsi="仿宋_GB2312" w:eastAsia="仿宋_GB2312" w:cs="仿宋_GB2312"/>
                <w:color w:val="000000"/>
                <w:spacing w:val="-20"/>
                <w:sz w:val="24"/>
              </w:rPr>
            </w:pPr>
            <w:r>
              <w:rPr>
                <w:rFonts w:hint="eastAsia" w:ascii="仿宋_GB2312" w:hAnsi="仿宋_GB2312" w:eastAsia="仿宋_GB2312" w:cs="仿宋_GB2312"/>
                <w:color w:val="000000"/>
                <w:spacing w:val="-20"/>
                <w:sz w:val="24"/>
              </w:rPr>
              <w:t>任务1:完成“十四五”规划编制年度任务</w:t>
            </w:r>
          </w:p>
          <w:p w14:paraId="4477A1AB">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任务2:完成争项争资年度任务</w:t>
            </w:r>
          </w:p>
          <w:p w14:paraId="48EB5668">
            <w:pPr>
              <w:autoSpaceDN w:val="0"/>
              <w:spacing w:line="320" w:lineRule="exact"/>
              <w:textAlignment w:val="center"/>
              <w:rPr>
                <w:rFonts w:ascii="仿宋_GB2312" w:hAnsi="仿宋_GB2312" w:eastAsia="仿宋_GB2312" w:cs="仿宋_GB2312"/>
                <w:color w:val="000000"/>
                <w:spacing w:val="-28"/>
                <w:sz w:val="24"/>
              </w:rPr>
            </w:pPr>
            <w:r>
              <w:rPr>
                <w:rFonts w:hint="eastAsia" w:ascii="仿宋_GB2312" w:hAnsi="仿宋_GB2312" w:eastAsia="仿宋_GB2312" w:cs="仿宋_GB2312"/>
                <w:color w:val="000000"/>
                <w:spacing w:val="-28"/>
                <w:sz w:val="24"/>
              </w:rPr>
              <w:t>任务3:完成华容长江大保护项目年度建设任务</w:t>
            </w:r>
          </w:p>
          <w:p w14:paraId="43595EEB">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任务4:完成固定资产投资年度目标</w:t>
            </w:r>
          </w:p>
          <w:p w14:paraId="359E8D55">
            <w:pPr>
              <w:autoSpaceDN w:val="0"/>
              <w:spacing w:line="320" w:lineRule="exact"/>
              <w:textAlignment w:val="center"/>
              <w:rPr>
                <w:rFonts w:ascii="仿宋_GB2312" w:hAnsi="仿宋_GB2312" w:eastAsia="仿宋_GB2312" w:cs="仿宋_GB2312"/>
                <w:color w:val="000000"/>
                <w:spacing w:val="-22"/>
                <w:sz w:val="24"/>
              </w:rPr>
            </w:pPr>
            <w:r>
              <w:rPr>
                <w:rFonts w:hint="eastAsia" w:ascii="仿宋_GB2312" w:hAnsi="仿宋_GB2312" w:eastAsia="仿宋_GB2312" w:cs="仿宋_GB2312"/>
                <w:color w:val="000000"/>
                <w:spacing w:val="-22"/>
                <w:sz w:val="24"/>
              </w:rPr>
              <w:t>任务5:完成智慧华容PPP项目年度建设任务</w:t>
            </w:r>
          </w:p>
          <w:p w14:paraId="51F930F9">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任务6:完成易地扶贫搬迁年度任务</w:t>
            </w:r>
          </w:p>
          <w:p w14:paraId="30522BF1">
            <w:pPr>
              <w:autoSpaceDN w:val="0"/>
              <w:spacing w:line="320" w:lineRule="exact"/>
              <w:textAlignment w:val="center"/>
              <w:rPr>
                <w:rFonts w:ascii="仿宋_GB2312" w:hAnsi="仿宋_GB2312" w:eastAsia="仿宋_GB2312" w:cs="仿宋_GB2312"/>
                <w:color w:val="000000"/>
                <w:spacing w:val="-46"/>
                <w:sz w:val="24"/>
              </w:rPr>
            </w:pPr>
            <w:r>
              <w:rPr>
                <w:rFonts w:hint="eastAsia" w:ascii="仿宋_GB2312" w:hAnsi="仿宋_GB2312" w:eastAsia="仿宋_GB2312" w:cs="仿宋_GB2312"/>
                <w:color w:val="000000"/>
                <w:spacing w:val="-46"/>
                <w:sz w:val="24"/>
              </w:rPr>
              <w:t>任务7:完成经济和社会体制和事业单位公车年度改革任务</w:t>
            </w:r>
          </w:p>
          <w:p w14:paraId="54328C7C">
            <w:pPr>
              <w:autoSpaceDN w:val="0"/>
              <w:spacing w:line="320" w:lineRule="exact"/>
              <w:textAlignment w:val="center"/>
              <w:rPr>
                <w:rFonts w:ascii="仿宋_GB2312" w:hAnsi="仿宋_GB2312" w:eastAsia="仿宋_GB2312" w:cs="仿宋_GB2312"/>
                <w:color w:val="000000"/>
                <w:spacing w:val="-12"/>
                <w:sz w:val="24"/>
              </w:rPr>
            </w:pPr>
            <w:r>
              <w:rPr>
                <w:rFonts w:hint="eastAsia" w:ascii="仿宋_GB2312" w:hAnsi="仿宋_GB2312" w:eastAsia="仿宋_GB2312" w:cs="仿宋_GB2312"/>
                <w:color w:val="000000"/>
                <w:spacing w:val="-12"/>
                <w:sz w:val="24"/>
              </w:rPr>
              <w:t>任务8:完成年度成本调查和监测任务</w:t>
            </w:r>
          </w:p>
          <w:p w14:paraId="02AB36A9">
            <w:pPr>
              <w:autoSpaceDN w:val="0"/>
              <w:spacing w:line="320" w:lineRule="exact"/>
              <w:textAlignment w:val="center"/>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任务9:按要求做好涉案物的鉴定工作</w:t>
            </w:r>
          </w:p>
          <w:p w14:paraId="1EF11225">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任务10:完成上级交办的其他任务</w:t>
            </w:r>
          </w:p>
        </w:tc>
        <w:tc>
          <w:tcPr>
            <w:tcW w:w="4585" w:type="dxa"/>
            <w:gridSpan w:val="9"/>
            <w:vAlign w:val="center"/>
          </w:tcPr>
          <w:p w14:paraId="1B32D9C4">
            <w:pPr>
              <w:autoSpaceDN w:val="0"/>
              <w:spacing w:line="320" w:lineRule="exact"/>
              <w:textAlignment w:val="center"/>
              <w:rPr>
                <w:rFonts w:hint="eastAsia" w:ascii="仿宋_GB2312" w:hAnsi="仿宋_GB2312" w:eastAsia="仿宋_GB2312" w:cs="仿宋_GB2312"/>
                <w:color w:val="000000"/>
                <w:spacing w:val="-20"/>
                <w:sz w:val="24"/>
                <w:lang w:val="en-US" w:eastAsia="zh-CN"/>
              </w:rPr>
            </w:pPr>
            <w:r>
              <w:rPr>
                <w:rFonts w:hint="eastAsia" w:ascii="仿宋_GB2312" w:hAnsi="仿宋_GB2312" w:eastAsia="仿宋_GB2312" w:cs="仿宋_GB2312"/>
                <w:color w:val="000000"/>
                <w:sz w:val="24"/>
                <w:lang w:eastAsia="zh-CN"/>
              </w:rPr>
              <w:t>圆满完成“十四五”规划编制任务</w:t>
            </w:r>
          </w:p>
          <w:p w14:paraId="1271A83A">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超额完成年度争项争资任务</w:t>
            </w:r>
          </w:p>
          <w:p w14:paraId="217D0E7D">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完成华容长江大保护年度项目任务</w:t>
            </w:r>
          </w:p>
          <w:p w14:paraId="03217586">
            <w:pPr>
              <w:autoSpaceDN w:val="0"/>
              <w:spacing w:line="320" w:lineRule="exac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超额完成固定资产投资年度任务</w:t>
            </w:r>
          </w:p>
          <w:p w14:paraId="4A28B848">
            <w:pPr>
              <w:autoSpaceDN w:val="0"/>
              <w:spacing w:line="320" w:lineRule="exact"/>
              <w:textAlignment w:val="center"/>
              <w:rPr>
                <w:rFonts w:hint="eastAsia" w:ascii="仿宋_GB2312" w:hAnsi="仿宋_GB2312" w:eastAsia="仿宋_GB2312" w:cs="仿宋_GB2312"/>
                <w:color w:val="000000"/>
                <w:spacing w:val="-22"/>
                <w:sz w:val="24"/>
                <w:lang w:eastAsia="zh-CN"/>
              </w:rPr>
            </w:pPr>
            <w:r>
              <w:rPr>
                <w:rFonts w:hint="eastAsia" w:ascii="仿宋_GB2312" w:hAnsi="仿宋_GB2312" w:eastAsia="仿宋_GB2312" w:cs="仿宋_GB2312"/>
                <w:color w:val="000000"/>
                <w:spacing w:val="-22"/>
                <w:sz w:val="24"/>
                <w:lang w:eastAsia="zh-CN"/>
              </w:rPr>
              <w:t>完成智慧华容项目年度目标任务</w:t>
            </w:r>
          </w:p>
          <w:p w14:paraId="4132A488">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完成易地扶贫搬迁年度目标任务</w:t>
            </w:r>
          </w:p>
          <w:p w14:paraId="666ACECE">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完成年度经济和社会体制改革任务</w:t>
            </w:r>
          </w:p>
          <w:p w14:paraId="05BC9E6B">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w:t>
            </w:r>
            <w:r>
              <w:rPr>
                <w:rFonts w:hint="eastAsia" w:ascii="仿宋_GB2312" w:hAnsi="仿宋_GB2312" w:eastAsia="仿宋_GB2312" w:cs="仿宋_GB2312"/>
                <w:color w:val="000000"/>
                <w:sz w:val="24"/>
                <w:lang w:eastAsia="zh-CN"/>
              </w:rPr>
              <w:t>完成年度成本调查和监测任务</w:t>
            </w:r>
          </w:p>
          <w:p w14:paraId="159F7128">
            <w:pPr>
              <w:autoSpaceDN w:val="0"/>
              <w:spacing w:line="320" w:lineRule="exact"/>
              <w:textAlignment w:val="center"/>
              <w:rPr>
                <w:rFonts w:hint="eastAsia" w:ascii="仿宋_GB2312" w:hAnsi="仿宋_GB2312" w:eastAsia="仿宋_GB2312" w:cs="仿宋_GB2312"/>
                <w:color w:val="000000"/>
                <w:spacing w:val="-4"/>
                <w:sz w:val="24"/>
                <w:lang w:eastAsia="zh-CN"/>
              </w:rPr>
            </w:pPr>
            <w:r>
              <w:rPr>
                <w:rFonts w:hint="eastAsia" w:ascii="仿宋_GB2312" w:hAnsi="仿宋_GB2312" w:eastAsia="仿宋_GB2312" w:cs="仿宋_GB2312"/>
                <w:color w:val="000000"/>
                <w:spacing w:val="-4"/>
                <w:sz w:val="24"/>
                <w:lang w:eastAsia="zh-CN"/>
              </w:rPr>
              <w:t>完成年度涉案物认证工作</w:t>
            </w:r>
          </w:p>
          <w:p w14:paraId="7705E39D">
            <w:pPr>
              <w:autoSpaceDN w:val="0"/>
              <w:spacing w:line="320" w:lineRule="exact"/>
              <w:textAlignment w:val="center"/>
              <w:rPr>
                <w:rFonts w:hint="eastAsia" w:ascii="仿宋_GB2312" w:hAnsi="仿宋_GB2312" w:eastAsia="仿宋_GB2312" w:cs="仿宋_GB2312"/>
                <w:color w:val="000000"/>
                <w:spacing w:val="-4"/>
                <w:sz w:val="24"/>
                <w:lang w:eastAsia="zh-CN"/>
              </w:rPr>
            </w:pPr>
            <w:r>
              <w:rPr>
                <w:rFonts w:hint="eastAsia" w:ascii="仿宋_GB2312" w:hAnsi="仿宋_GB2312" w:eastAsia="仿宋_GB2312" w:cs="仿宋_GB2312"/>
                <w:color w:val="000000"/>
                <w:sz w:val="24"/>
                <w:lang w:eastAsia="zh-CN"/>
              </w:rPr>
              <w:t>完成县委、县政府交办的其他任务</w:t>
            </w:r>
          </w:p>
        </w:tc>
      </w:tr>
      <w:tr w14:paraId="380C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08" w:type="dxa"/>
            <w:vMerge w:val="restart"/>
            <w:vAlign w:val="center"/>
          </w:tcPr>
          <w:p w14:paraId="399598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1629A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61C2E1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4718F6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282D67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A41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66957B7F">
            <w:pPr>
              <w:spacing w:line="320" w:lineRule="exact"/>
              <w:rPr>
                <w:rFonts w:ascii="仿宋_GB2312" w:hAnsi="仿宋_GB2312" w:eastAsia="仿宋_GB2312" w:cs="仿宋_GB2312"/>
                <w:sz w:val="24"/>
              </w:rPr>
            </w:pPr>
          </w:p>
        </w:tc>
        <w:tc>
          <w:tcPr>
            <w:tcW w:w="1549" w:type="dxa"/>
            <w:gridSpan w:val="4"/>
            <w:vMerge w:val="restart"/>
            <w:vAlign w:val="center"/>
          </w:tcPr>
          <w:p w14:paraId="2DA951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66CA33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14:paraId="74102A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4C8E9D5A">
            <w:pPr>
              <w:autoSpaceDN w:val="0"/>
              <w:spacing w:line="320" w:lineRule="exact"/>
              <w:ind w:left="960" w:hanging="960" w:hangingChars="4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全县争项争资全市第二</w:t>
            </w:r>
          </w:p>
        </w:tc>
        <w:tc>
          <w:tcPr>
            <w:tcW w:w="2684" w:type="dxa"/>
            <w:gridSpan w:val="6"/>
            <w:vAlign w:val="center"/>
          </w:tcPr>
          <w:p w14:paraId="465AEC81">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超额完成</w:t>
            </w:r>
          </w:p>
        </w:tc>
      </w:tr>
      <w:tr w14:paraId="12E7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3BDABCF0">
            <w:pPr>
              <w:spacing w:line="320" w:lineRule="exact"/>
              <w:rPr>
                <w:rFonts w:ascii="仿宋_GB2312" w:hAnsi="仿宋_GB2312" w:eastAsia="仿宋_GB2312" w:cs="仿宋_GB2312"/>
                <w:sz w:val="24"/>
              </w:rPr>
            </w:pPr>
          </w:p>
        </w:tc>
        <w:tc>
          <w:tcPr>
            <w:tcW w:w="1549" w:type="dxa"/>
            <w:gridSpan w:val="4"/>
            <w:vMerge w:val="continue"/>
            <w:vAlign w:val="center"/>
          </w:tcPr>
          <w:p w14:paraId="494355E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B63F154">
            <w:pPr>
              <w:spacing w:line="320" w:lineRule="exact"/>
              <w:rPr>
                <w:rFonts w:ascii="仿宋_GB2312" w:hAnsi="仿宋_GB2312" w:eastAsia="仿宋_GB2312" w:cs="仿宋_GB2312"/>
                <w:sz w:val="24"/>
              </w:rPr>
            </w:pPr>
          </w:p>
        </w:tc>
        <w:tc>
          <w:tcPr>
            <w:tcW w:w="2709" w:type="dxa"/>
            <w:gridSpan w:val="4"/>
            <w:vAlign w:val="center"/>
          </w:tcPr>
          <w:p w14:paraId="1932900B">
            <w:pPr>
              <w:autoSpaceDN w:val="0"/>
              <w:spacing w:line="320" w:lineRule="exact"/>
              <w:ind w:left="960" w:hanging="960" w:hangingChars="4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发改系统争项争资全市第二</w:t>
            </w:r>
          </w:p>
        </w:tc>
        <w:tc>
          <w:tcPr>
            <w:tcW w:w="2684" w:type="dxa"/>
            <w:gridSpan w:val="6"/>
            <w:vAlign w:val="center"/>
          </w:tcPr>
          <w:p w14:paraId="2987D6E7">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超额完成目标任务</w:t>
            </w:r>
          </w:p>
        </w:tc>
      </w:tr>
      <w:tr w14:paraId="22BB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44483880">
            <w:pPr>
              <w:spacing w:line="320" w:lineRule="exact"/>
              <w:rPr>
                <w:rFonts w:ascii="仿宋_GB2312" w:hAnsi="仿宋_GB2312" w:eastAsia="仿宋_GB2312" w:cs="仿宋_GB2312"/>
                <w:sz w:val="24"/>
              </w:rPr>
            </w:pPr>
          </w:p>
        </w:tc>
        <w:tc>
          <w:tcPr>
            <w:tcW w:w="1549" w:type="dxa"/>
            <w:gridSpan w:val="4"/>
            <w:vMerge w:val="continue"/>
            <w:vAlign w:val="center"/>
          </w:tcPr>
          <w:p w14:paraId="51784F63">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8B054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1F2CE240">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地区生产总值增幅</w:t>
            </w:r>
          </w:p>
        </w:tc>
        <w:tc>
          <w:tcPr>
            <w:tcW w:w="2684" w:type="dxa"/>
            <w:gridSpan w:val="6"/>
            <w:vAlign w:val="center"/>
          </w:tcPr>
          <w:p w14:paraId="58240C94">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完成预期目标任务</w:t>
            </w:r>
          </w:p>
        </w:tc>
      </w:tr>
      <w:tr w14:paraId="2331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08" w:type="dxa"/>
            <w:vMerge w:val="continue"/>
            <w:vAlign w:val="center"/>
          </w:tcPr>
          <w:p w14:paraId="10C117EF">
            <w:pPr>
              <w:spacing w:line="320" w:lineRule="exact"/>
              <w:rPr>
                <w:rFonts w:ascii="仿宋_GB2312" w:hAnsi="仿宋_GB2312" w:eastAsia="仿宋_GB2312" w:cs="仿宋_GB2312"/>
                <w:sz w:val="24"/>
              </w:rPr>
            </w:pPr>
          </w:p>
        </w:tc>
        <w:tc>
          <w:tcPr>
            <w:tcW w:w="1549" w:type="dxa"/>
            <w:gridSpan w:val="4"/>
            <w:vMerge w:val="continue"/>
            <w:vAlign w:val="center"/>
          </w:tcPr>
          <w:p w14:paraId="21CCEFB4">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0BEE1630">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496AF526">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固定资产投资增幅</w:t>
            </w:r>
          </w:p>
        </w:tc>
        <w:tc>
          <w:tcPr>
            <w:tcW w:w="2684" w:type="dxa"/>
            <w:gridSpan w:val="6"/>
            <w:vAlign w:val="center"/>
          </w:tcPr>
          <w:p w14:paraId="6EA0086F">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超额完成预期目标任务</w:t>
            </w:r>
          </w:p>
        </w:tc>
      </w:tr>
      <w:tr w14:paraId="0B9C2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08" w:type="dxa"/>
            <w:vMerge w:val="continue"/>
            <w:vAlign w:val="center"/>
          </w:tcPr>
          <w:p w14:paraId="5D29DCC9">
            <w:pPr>
              <w:spacing w:line="320" w:lineRule="exact"/>
              <w:rPr>
                <w:rFonts w:ascii="仿宋_GB2312" w:hAnsi="仿宋_GB2312" w:eastAsia="仿宋_GB2312" w:cs="仿宋_GB2312"/>
                <w:sz w:val="24"/>
              </w:rPr>
            </w:pPr>
          </w:p>
        </w:tc>
        <w:tc>
          <w:tcPr>
            <w:tcW w:w="1549" w:type="dxa"/>
            <w:gridSpan w:val="4"/>
            <w:vMerge w:val="continue"/>
            <w:vAlign w:val="center"/>
          </w:tcPr>
          <w:p w14:paraId="7F4CBB52">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0764D68">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03E43923">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3：城镇居民收入增幅</w:t>
            </w:r>
          </w:p>
        </w:tc>
        <w:tc>
          <w:tcPr>
            <w:tcW w:w="2684" w:type="dxa"/>
            <w:gridSpan w:val="6"/>
            <w:vAlign w:val="center"/>
          </w:tcPr>
          <w:p w14:paraId="39B03EAE">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超额完成预期目标任务</w:t>
            </w:r>
          </w:p>
        </w:tc>
      </w:tr>
      <w:tr w14:paraId="3409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0E26C843">
            <w:pPr>
              <w:spacing w:line="320" w:lineRule="exact"/>
              <w:rPr>
                <w:rFonts w:ascii="仿宋_GB2312" w:hAnsi="仿宋_GB2312" w:eastAsia="仿宋_GB2312" w:cs="仿宋_GB2312"/>
                <w:sz w:val="24"/>
              </w:rPr>
            </w:pPr>
          </w:p>
        </w:tc>
        <w:tc>
          <w:tcPr>
            <w:tcW w:w="1549" w:type="dxa"/>
            <w:gridSpan w:val="4"/>
            <w:vMerge w:val="continue"/>
            <w:vAlign w:val="center"/>
          </w:tcPr>
          <w:p w14:paraId="3F4DB065">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46B612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2C7968BA">
            <w:pPr>
              <w:autoSpaceDN w:val="0"/>
              <w:spacing w:line="320" w:lineRule="exact"/>
              <w:ind w:left="720" w:hanging="720" w:hangingChars="3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按时完成“十四五”规划编制</w:t>
            </w:r>
          </w:p>
        </w:tc>
        <w:tc>
          <w:tcPr>
            <w:tcW w:w="2684" w:type="dxa"/>
            <w:gridSpan w:val="6"/>
            <w:vAlign w:val="center"/>
          </w:tcPr>
          <w:p w14:paraId="37486080">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完成预期目标任务</w:t>
            </w:r>
          </w:p>
        </w:tc>
      </w:tr>
      <w:tr w14:paraId="5EED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64FBC4A1">
            <w:pPr>
              <w:spacing w:line="320" w:lineRule="exact"/>
              <w:rPr>
                <w:rFonts w:ascii="仿宋_GB2312" w:hAnsi="仿宋_GB2312" w:eastAsia="仿宋_GB2312" w:cs="仿宋_GB2312"/>
                <w:sz w:val="24"/>
              </w:rPr>
            </w:pPr>
          </w:p>
        </w:tc>
        <w:tc>
          <w:tcPr>
            <w:tcW w:w="1549" w:type="dxa"/>
            <w:gridSpan w:val="4"/>
            <w:vMerge w:val="continue"/>
            <w:vAlign w:val="center"/>
          </w:tcPr>
          <w:p w14:paraId="1F3F853A">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117D118">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0F6F607C">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：智慧华容项目建设</w:t>
            </w:r>
          </w:p>
        </w:tc>
        <w:tc>
          <w:tcPr>
            <w:tcW w:w="2684" w:type="dxa"/>
            <w:gridSpan w:val="6"/>
            <w:vAlign w:val="center"/>
          </w:tcPr>
          <w:p w14:paraId="0A821B63">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按时间节点顺利推进</w:t>
            </w:r>
          </w:p>
        </w:tc>
      </w:tr>
      <w:tr w14:paraId="4835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713024A6">
            <w:pPr>
              <w:spacing w:line="320" w:lineRule="exact"/>
              <w:rPr>
                <w:rFonts w:ascii="仿宋_GB2312" w:hAnsi="仿宋_GB2312" w:eastAsia="仿宋_GB2312" w:cs="仿宋_GB2312"/>
                <w:sz w:val="24"/>
              </w:rPr>
            </w:pPr>
          </w:p>
        </w:tc>
        <w:tc>
          <w:tcPr>
            <w:tcW w:w="1549" w:type="dxa"/>
            <w:gridSpan w:val="4"/>
            <w:vMerge w:val="continue"/>
            <w:vAlign w:val="center"/>
          </w:tcPr>
          <w:p w14:paraId="304D015B">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4103C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19582D11">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三公经费控制严格</w:t>
            </w:r>
          </w:p>
        </w:tc>
        <w:tc>
          <w:tcPr>
            <w:tcW w:w="2684" w:type="dxa"/>
            <w:gridSpan w:val="6"/>
            <w:vAlign w:val="center"/>
          </w:tcPr>
          <w:p w14:paraId="253BDD5A">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未超预期目标</w:t>
            </w:r>
          </w:p>
        </w:tc>
      </w:tr>
      <w:tr w14:paraId="0B1E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5F985C18">
            <w:pPr>
              <w:spacing w:line="320" w:lineRule="exact"/>
              <w:rPr>
                <w:rFonts w:ascii="仿宋_GB2312" w:hAnsi="仿宋_GB2312" w:eastAsia="仿宋_GB2312" w:cs="仿宋_GB2312"/>
                <w:sz w:val="24"/>
              </w:rPr>
            </w:pPr>
          </w:p>
        </w:tc>
        <w:tc>
          <w:tcPr>
            <w:tcW w:w="1549" w:type="dxa"/>
            <w:gridSpan w:val="4"/>
            <w:vMerge w:val="continue"/>
            <w:vAlign w:val="center"/>
          </w:tcPr>
          <w:p w14:paraId="17F5CD8E">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0E4E082">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7B634F1F">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项目经费控制严格</w:t>
            </w:r>
          </w:p>
        </w:tc>
        <w:tc>
          <w:tcPr>
            <w:tcW w:w="2684" w:type="dxa"/>
            <w:gridSpan w:val="6"/>
            <w:vAlign w:val="center"/>
          </w:tcPr>
          <w:p w14:paraId="2E93ACD4">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未超预期目标</w:t>
            </w:r>
          </w:p>
        </w:tc>
      </w:tr>
      <w:tr w14:paraId="2B86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220548DD">
            <w:pPr>
              <w:spacing w:line="320" w:lineRule="exact"/>
              <w:rPr>
                <w:rFonts w:ascii="仿宋_GB2312" w:hAnsi="仿宋_GB2312" w:eastAsia="仿宋_GB2312" w:cs="仿宋_GB2312"/>
                <w:sz w:val="24"/>
              </w:rPr>
            </w:pPr>
          </w:p>
        </w:tc>
        <w:tc>
          <w:tcPr>
            <w:tcW w:w="1549" w:type="dxa"/>
            <w:gridSpan w:val="4"/>
            <w:vMerge w:val="restart"/>
            <w:vAlign w:val="center"/>
          </w:tcPr>
          <w:p w14:paraId="4B09B3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3F7E1D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vAlign w:val="center"/>
          </w:tcPr>
          <w:p w14:paraId="4DEF1026">
            <w:pPr>
              <w:autoSpaceDN w:val="0"/>
              <w:spacing w:line="320" w:lineRule="exact"/>
              <w:jc w:val="center"/>
              <w:textAlignment w:val="center"/>
              <w:rPr>
                <w:rFonts w:hint="eastAsia" w:ascii="仿宋_GB2312" w:hAnsi="仿宋_GB2312" w:eastAsia="仿宋_GB2312" w:cs="仿宋_GB2312"/>
                <w:color w:val="000000"/>
                <w:sz w:val="24"/>
              </w:rPr>
            </w:pPr>
          </w:p>
          <w:p w14:paraId="5328994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社会效益</w:t>
            </w:r>
            <w:r>
              <w:rPr>
                <w:rFonts w:hint="eastAsia" w:ascii="仿宋_GB2312" w:hAnsi="仿宋_GB2312" w:eastAsia="仿宋_GB2312" w:cs="仿宋_GB2312"/>
                <w:color w:val="000000"/>
                <w:sz w:val="24"/>
                <w:lang w:val="en-US" w:eastAsia="zh-CN"/>
              </w:rPr>
              <w:t xml:space="preserve"> </w:t>
            </w:r>
          </w:p>
          <w:p w14:paraId="2DDD8A14">
            <w:pPr>
              <w:autoSpaceDN w:val="0"/>
              <w:spacing w:line="320" w:lineRule="exact"/>
              <w:jc w:val="both"/>
              <w:textAlignment w:val="center"/>
              <w:rPr>
                <w:rFonts w:ascii="仿宋_GB2312" w:hAnsi="仿宋_GB2312" w:eastAsia="仿宋_GB2312" w:cs="仿宋_GB2312"/>
                <w:color w:val="000000"/>
                <w:sz w:val="24"/>
              </w:rPr>
            </w:pPr>
          </w:p>
        </w:tc>
        <w:tc>
          <w:tcPr>
            <w:tcW w:w="2709" w:type="dxa"/>
            <w:gridSpan w:val="4"/>
            <w:vAlign w:val="center"/>
          </w:tcPr>
          <w:p w14:paraId="3B89C2FC">
            <w:pPr>
              <w:autoSpaceDN w:val="0"/>
              <w:spacing w:line="320" w:lineRule="exact"/>
              <w:ind w:left="720" w:hanging="720" w:hangingChars="3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经济体制和社会体制改革</w:t>
            </w:r>
          </w:p>
        </w:tc>
        <w:tc>
          <w:tcPr>
            <w:tcW w:w="2684" w:type="dxa"/>
            <w:gridSpan w:val="6"/>
            <w:vAlign w:val="center"/>
          </w:tcPr>
          <w:p w14:paraId="389F62F4">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完成年度目标任务</w:t>
            </w:r>
          </w:p>
        </w:tc>
      </w:tr>
      <w:tr w14:paraId="5280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45AC515F">
            <w:pPr>
              <w:spacing w:line="320" w:lineRule="exact"/>
              <w:rPr>
                <w:rFonts w:ascii="仿宋_GB2312" w:hAnsi="仿宋_GB2312" w:eastAsia="仿宋_GB2312" w:cs="仿宋_GB2312"/>
                <w:sz w:val="24"/>
              </w:rPr>
            </w:pPr>
          </w:p>
        </w:tc>
        <w:tc>
          <w:tcPr>
            <w:tcW w:w="1549" w:type="dxa"/>
            <w:gridSpan w:val="4"/>
            <w:vMerge w:val="continue"/>
            <w:vAlign w:val="center"/>
          </w:tcPr>
          <w:p w14:paraId="520C7B4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2CC8F04">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60650770">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成本调查和市场监测</w:t>
            </w:r>
          </w:p>
        </w:tc>
        <w:tc>
          <w:tcPr>
            <w:tcW w:w="2684" w:type="dxa"/>
            <w:gridSpan w:val="6"/>
            <w:vAlign w:val="center"/>
          </w:tcPr>
          <w:p w14:paraId="461D0679">
            <w:pPr>
              <w:autoSpaceDN w:val="0"/>
              <w:spacing w:line="320" w:lineRule="exact"/>
              <w:jc w:val="both"/>
              <w:textAlignment w:val="center"/>
              <w:rPr>
                <w:rFonts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完成年度目标任务</w:t>
            </w:r>
          </w:p>
        </w:tc>
      </w:tr>
      <w:tr w14:paraId="33AD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25A7573F">
            <w:pPr>
              <w:spacing w:line="320" w:lineRule="exact"/>
              <w:rPr>
                <w:rFonts w:ascii="仿宋_GB2312" w:hAnsi="仿宋_GB2312" w:eastAsia="仿宋_GB2312" w:cs="仿宋_GB2312"/>
                <w:sz w:val="24"/>
              </w:rPr>
            </w:pPr>
          </w:p>
        </w:tc>
        <w:tc>
          <w:tcPr>
            <w:tcW w:w="1549" w:type="dxa"/>
            <w:gridSpan w:val="4"/>
            <w:vMerge w:val="continue"/>
            <w:vAlign w:val="center"/>
          </w:tcPr>
          <w:p w14:paraId="1148CAFA">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0552E003">
            <w:pPr>
              <w:autoSpaceDN w:val="0"/>
              <w:spacing w:line="320" w:lineRule="exact"/>
              <w:jc w:val="center"/>
              <w:textAlignment w:val="center"/>
              <w:rPr>
                <w:rFonts w:hint="eastAsia" w:ascii="仿宋_GB2312" w:hAnsi="仿宋_GB2312" w:eastAsia="仿宋_GB2312" w:cs="仿宋_GB2312"/>
                <w:color w:val="000000"/>
                <w:sz w:val="24"/>
              </w:rPr>
            </w:pPr>
          </w:p>
          <w:p w14:paraId="06C6A84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经济</w:t>
            </w:r>
            <w:r>
              <w:rPr>
                <w:rFonts w:hint="eastAsia" w:ascii="仿宋_GB2312" w:hAnsi="仿宋_GB2312" w:eastAsia="仿宋_GB2312" w:cs="仿宋_GB2312"/>
                <w:color w:val="000000"/>
                <w:sz w:val="24"/>
              </w:rPr>
              <w:t>效益</w:t>
            </w:r>
            <w:r>
              <w:rPr>
                <w:rFonts w:hint="eastAsia" w:ascii="仿宋_GB2312" w:hAnsi="仿宋_GB2312" w:eastAsia="仿宋_GB2312" w:cs="仿宋_GB2312"/>
                <w:color w:val="000000"/>
                <w:sz w:val="24"/>
                <w:lang w:val="en-US" w:eastAsia="zh-CN"/>
              </w:rPr>
              <w:t xml:space="preserve"> </w:t>
            </w:r>
          </w:p>
          <w:p w14:paraId="3E3C5676">
            <w:pPr>
              <w:autoSpaceDN w:val="0"/>
              <w:spacing w:line="320" w:lineRule="exact"/>
              <w:jc w:val="both"/>
              <w:textAlignment w:val="center"/>
              <w:rPr>
                <w:rFonts w:hint="eastAsia" w:ascii="仿宋_GB2312" w:hAnsi="仿宋_GB2312" w:eastAsia="仿宋_GB2312" w:cs="仿宋_GB2312"/>
                <w:color w:val="000000"/>
                <w:kern w:val="2"/>
                <w:sz w:val="24"/>
                <w:szCs w:val="24"/>
                <w:lang w:val="en-US" w:eastAsia="zh-CN" w:bidi="ar-SA"/>
              </w:rPr>
            </w:pPr>
          </w:p>
          <w:p w14:paraId="55F6FBB9">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3F890888">
            <w:pPr>
              <w:autoSpaceDN w:val="0"/>
              <w:spacing w:line="320" w:lineRule="exact"/>
              <w:ind w:left="960" w:leftChars="0" w:hanging="960" w:hangingChars="40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全县争项争资</w:t>
            </w:r>
            <w:r>
              <w:rPr>
                <w:rFonts w:hint="eastAsia" w:ascii="仿宋_GB2312" w:hAnsi="仿宋_GB2312" w:eastAsia="仿宋_GB2312" w:cs="仿宋_GB2312"/>
                <w:color w:val="000000"/>
                <w:sz w:val="24"/>
                <w:lang w:val="en-US" w:eastAsia="zh-CN"/>
              </w:rPr>
              <w:t>32.37亿元</w:t>
            </w:r>
          </w:p>
        </w:tc>
        <w:tc>
          <w:tcPr>
            <w:tcW w:w="2684" w:type="dxa"/>
            <w:gridSpan w:val="6"/>
            <w:vAlign w:val="center"/>
          </w:tcPr>
          <w:p w14:paraId="68F00212">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有效缓解县财政经济压力</w:t>
            </w:r>
          </w:p>
        </w:tc>
      </w:tr>
      <w:tr w14:paraId="3B36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08" w:type="dxa"/>
            <w:vMerge w:val="continue"/>
            <w:vAlign w:val="center"/>
          </w:tcPr>
          <w:p w14:paraId="1A708A2E">
            <w:pPr>
              <w:spacing w:line="320" w:lineRule="exact"/>
              <w:rPr>
                <w:rFonts w:ascii="仿宋_GB2312" w:hAnsi="仿宋_GB2312" w:eastAsia="仿宋_GB2312" w:cs="仿宋_GB2312"/>
                <w:sz w:val="24"/>
              </w:rPr>
            </w:pPr>
          </w:p>
        </w:tc>
        <w:tc>
          <w:tcPr>
            <w:tcW w:w="1549" w:type="dxa"/>
            <w:gridSpan w:val="4"/>
            <w:vMerge w:val="continue"/>
            <w:vAlign w:val="center"/>
          </w:tcPr>
          <w:p w14:paraId="6FBA6EB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39367569">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614A33E7">
            <w:pPr>
              <w:autoSpaceDN w:val="0"/>
              <w:spacing w:line="320" w:lineRule="exact"/>
              <w:ind w:left="720" w:hanging="720" w:hangingChars="30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发改系统争项争资</w:t>
            </w:r>
            <w:r>
              <w:rPr>
                <w:rFonts w:hint="eastAsia" w:ascii="仿宋_GB2312" w:hAnsi="仿宋_GB2312" w:eastAsia="仿宋_GB2312" w:cs="仿宋_GB2312"/>
                <w:color w:val="000000"/>
                <w:sz w:val="24"/>
                <w:lang w:val="en-US" w:eastAsia="zh-CN"/>
              </w:rPr>
              <w:t>3.52亿元</w:t>
            </w:r>
          </w:p>
        </w:tc>
        <w:tc>
          <w:tcPr>
            <w:tcW w:w="2684" w:type="dxa"/>
            <w:gridSpan w:val="6"/>
            <w:vAlign w:val="center"/>
          </w:tcPr>
          <w:p w14:paraId="11A7D2B5">
            <w:pPr>
              <w:autoSpaceDN w:val="0"/>
              <w:spacing w:line="320" w:lineRule="exact"/>
              <w:jc w:val="both"/>
              <w:textAlignment w:val="center"/>
              <w:rPr>
                <w:rFonts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达到改善民生设施和基础设施</w:t>
            </w:r>
          </w:p>
        </w:tc>
      </w:tr>
      <w:tr w14:paraId="7559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3" w:hRule="atLeast"/>
          <w:jc w:val="center"/>
        </w:trPr>
        <w:tc>
          <w:tcPr>
            <w:tcW w:w="1408" w:type="dxa"/>
            <w:vMerge w:val="continue"/>
            <w:vAlign w:val="center"/>
          </w:tcPr>
          <w:p w14:paraId="7533C1C3">
            <w:pPr>
              <w:spacing w:line="320" w:lineRule="exact"/>
              <w:rPr>
                <w:rFonts w:ascii="仿宋_GB2312" w:hAnsi="仿宋_GB2312" w:eastAsia="仿宋_GB2312" w:cs="仿宋_GB2312"/>
                <w:sz w:val="24"/>
              </w:rPr>
            </w:pPr>
          </w:p>
        </w:tc>
        <w:tc>
          <w:tcPr>
            <w:tcW w:w="1549" w:type="dxa"/>
            <w:gridSpan w:val="4"/>
            <w:vMerge w:val="continue"/>
            <w:vAlign w:val="center"/>
          </w:tcPr>
          <w:p w14:paraId="61CD1E98">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48F9404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生态效益</w:t>
            </w:r>
          </w:p>
        </w:tc>
        <w:tc>
          <w:tcPr>
            <w:tcW w:w="2709" w:type="dxa"/>
            <w:gridSpan w:val="4"/>
            <w:tcBorders>
              <w:bottom w:val="single" w:color="auto" w:sz="4" w:space="0"/>
            </w:tcBorders>
            <w:vAlign w:val="center"/>
          </w:tcPr>
          <w:p w14:paraId="1A6B0327">
            <w:pPr>
              <w:autoSpaceDN w:val="0"/>
              <w:spacing w:line="320" w:lineRule="exact"/>
              <w:ind w:left="720" w:hanging="720" w:hangingChars="3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完成了长江大保护项目建设</w:t>
            </w:r>
          </w:p>
        </w:tc>
        <w:tc>
          <w:tcPr>
            <w:tcW w:w="2684" w:type="dxa"/>
            <w:gridSpan w:val="6"/>
            <w:tcBorders>
              <w:bottom w:val="single" w:color="auto" w:sz="4" w:space="0"/>
            </w:tcBorders>
            <w:vAlign w:val="center"/>
          </w:tcPr>
          <w:p w14:paraId="3E8DF401">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改善生态环境预期目标</w:t>
            </w:r>
          </w:p>
        </w:tc>
      </w:tr>
      <w:tr w14:paraId="58E9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7" w:hRule="atLeast"/>
          <w:jc w:val="center"/>
        </w:trPr>
        <w:tc>
          <w:tcPr>
            <w:tcW w:w="1408" w:type="dxa"/>
            <w:vMerge w:val="continue"/>
            <w:vAlign w:val="center"/>
          </w:tcPr>
          <w:p w14:paraId="13A152DB">
            <w:pPr>
              <w:spacing w:line="320" w:lineRule="exact"/>
              <w:rPr>
                <w:rFonts w:ascii="仿宋_GB2312" w:hAnsi="仿宋_GB2312" w:eastAsia="仿宋_GB2312" w:cs="仿宋_GB2312"/>
                <w:sz w:val="24"/>
              </w:rPr>
            </w:pPr>
          </w:p>
        </w:tc>
        <w:tc>
          <w:tcPr>
            <w:tcW w:w="1549" w:type="dxa"/>
            <w:gridSpan w:val="4"/>
            <w:vMerge w:val="continue"/>
            <w:vAlign w:val="center"/>
          </w:tcPr>
          <w:p w14:paraId="0B9D868B">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B60934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709" w:type="dxa"/>
            <w:gridSpan w:val="4"/>
            <w:tcBorders>
              <w:top w:val="single" w:color="auto" w:sz="4" w:space="0"/>
            </w:tcBorders>
            <w:vAlign w:val="center"/>
          </w:tcPr>
          <w:p w14:paraId="323CD1B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2：易地扶贫搬迁</w:t>
            </w:r>
          </w:p>
        </w:tc>
        <w:tc>
          <w:tcPr>
            <w:tcW w:w="2684" w:type="dxa"/>
            <w:gridSpan w:val="6"/>
            <w:tcBorders>
              <w:top w:val="single" w:color="auto" w:sz="4" w:space="0"/>
              <w:bottom w:val="single" w:color="auto" w:sz="4" w:space="0"/>
            </w:tcBorders>
            <w:vAlign w:val="center"/>
          </w:tcPr>
          <w:p w14:paraId="0D8EA1C2">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改善人居环境预期目标</w:t>
            </w:r>
          </w:p>
        </w:tc>
      </w:tr>
      <w:tr w14:paraId="319C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1164B69F">
            <w:pPr>
              <w:spacing w:line="320" w:lineRule="exact"/>
              <w:rPr>
                <w:rFonts w:ascii="仿宋_GB2312" w:hAnsi="仿宋_GB2312" w:eastAsia="仿宋_GB2312" w:cs="仿宋_GB2312"/>
                <w:sz w:val="24"/>
              </w:rPr>
            </w:pPr>
          </w:p>
        </w:tc>
        <w:tc>
          <w:tcPr>
            <w:tcW w:w="1549" w:type="dxa"/>
            <w:gridSpan w:val="4"/>
            <w:vMerge w:val="continue"/>
            <w:vAlign w:val="center"/>
          </w:tcPr>
          <w:p w14:paraId="300CAA3A">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5187D1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607870BE">
            <w:pPr>
              <w:autoSpaceDN w:val="0"/>
              <w:spacing w:line="320" w:lineRule="exact"/>
              <w:ind w:left="720" w:hanging="720" w:hangingChars="3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放管服改革、工程领域改革</w:t>
            </w:r>
          </w:p>
        </w:tc>
        <w:tc>
          <w:tcPr>
            <w:tcW w:w="2684" w:type="dxa"/>
            <w:gridSpan w:val="6"/>
            <w:tcBorders>
              <w:top w:val="single" w:color="auto" w:sz="4" w:space="0"/>
            </w:tcBorders>
            <w:vAlign w:val="center"/>
          </w:tcPr>
          <w:p w14:paraId="01FE45D6">
            <w:pPr>
              <w:autoSpaceDN w:val="0"/>
              <w:spacing w:line="320" w:lineRule="exact"/>
              <w:jc w:val="both"/>
              <w:textAlignment w:val="center"/>
              <w:rPr>
                <w:rFonts w:hint="default"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社会公众满意度97%以上</w:t>
            </w:r>
          </w:p>
        </w:tc>
      </w:tr>
      <w:tr w14:paraId="101C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08" w:type="dxa"/>
            <w:vMerge w:val="continue"/>
            <w:vAlign w:val="center"/>
          </w:tcPr>
          <w:p w14:paraId="186A3DD9">
            <w:pPr>
              <w:spacing w:line="320" w:lineRule="exact"/>
              <w:rPr>
                <w:rFonts w:ascii="仿宋_GB2312" w:hAnsi="仿宋_GB2312" w:eastAsia="仿宋_GB2312" w:cs="仿宋_GB2312"/>
                <w:sz w:val="24"/>
              </w:rPr>
            </w:pPr>
          </w:p>
        </w:tc>
        <w:tc>
          <w:tcPr>
            <w:tcW w:w="1549" w:type="dxa"/>
            <w:gridSpan w:val="4"/>
            <w:vMerge w:val="continue"/>
            <w:vAlign w:val="center"/>
          </w:tcPr>
          <w:p w14:paraId="19C76D55">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D3B6EAF">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4A2301D2">
            <w:pPr>
              <w:autoSpaceDN w:val="0"/>
              <w:spacing w:line="320" w:lineRule="exact"/>
              <w:ind w:left="720" w:hanging="720" w:hangingChars="3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价格收费管理涉案物认证工作</w:t>
            </w:r>
          </w:p>
        </w:tc>
        <w:tc>
          <w:tcPr>
            <w:tcW w:w="2684" w:type="dxa"/>
            <w:gridSpan w:val="6"/>
            <w:vAlign w:val="center"/>
          </w:tcPr>
          <w:p w14:paraId="7C937D1D">
            <w:pPr>
              <w:autoSpaceDN w:val="0"/>
              <w:spacing w:line="320" w:lineRule="exact"/>
              <w:jc w:val="both"/>
              <w:textAlignment w:val="center"/>
              <w:rPr>
                <w:rFonts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服务对象满意度97%以上</w:t>
            </w:r>
          </w:p>
        </w:tc>
      </w:tr>
      <w:tr w14:paraId="23A9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57" w:type="dxa"/>
            <w:gridSpan w:val="5"/>
            <w:vAlign w:val="center"/>
          </w:tcPr>
          <w:p w14:paraId="33B6AB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495027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14:paraId="2176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57" w:type="dxa"/>
            <w:gridSpan w:val="5"/>
            <w:vAlign w:val="center"/>
          </w:tcPr>
          <w:p w14:paraId="3721AB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235405A5">
            <w:pPr>
              <w:autoSpaceDN w:val="0"/>
              <w:spacing w:line="320" w:lineRule="exact"/>
              <w:jc w:val="center"/>
              <w:textAlignment w:val="center"/>
              <w:rPr>
                <w:rFonts w:ascii="仿宋_GB2312" w:hAnsi="仿宋_GB2312" w:eastAsia="仿宋_GB2312" w:cs="仿宋_GB2312"/>
                <w:color w:val="000000"/>
                <w:sz w:val="24"/>
              </w:rPr>
            </w:pPr>
          </w:p>
        </w:tc>
      </w:tr>
      <w:tr w14:paraId="33C8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767" w:type="dxa"/>
            <w:gridSpan w:val="17"/>
            <w:vAlign w:val="center"/>
          </w:tcPr>
          <w:p w14:paraId="4C5B774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455A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21" w:type="dxa"/>
            <w:gridSpan w:val="2"/>
            <w:vAlign w:val="center"/>
          </w:tcPr>
          <w:p w14:paraId="037E26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14:paraId="690A76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5061DB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20BF59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561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21" w:type="dxa"/>
            <w:gridSpan w:val="2"/>
            <w:vAlign w:val="center"/>
          </w:tcPr>
          <w:p w14:paraId="5651B604">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方志宏</w:t>
            </w:r>
          </w:p>
        </w:tc>
        <w:tc>
          <w:tcPr>
            <w:tcW w:w="3561" w:type="dxa"/>
            <w:gridSpan w:val="6"/>
            <w:vAlign w:val="center"/>
          </w:tcPr>
          <w:p w14:paraId="694C6FD5">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vAlign w:val="center"/>
          </w:tcPr>
          <w:p w14:paraId="1CE4DD8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发改局</w:t>
            </w:r>
          </w:p>
        </w:tc>
        <w:tc>
          <w:tcPr>
            <w:tcW w:w="3106" w:type="dxa"/>
            <w:gridSpan w:val="8"/>
            <w:vAlign w:val="center"/>
          </w:tcPr>
          <w:p w14:paraId="31E182B8">
            <w:pPr>
              <w:autoSpaceDN w:val="0"/>
              <w:spacing w:line="320" w:lineRule="exact"/>
              <w:jc w:val="center"/>
              <w:textAlignment w:val="center"/>
              <w:rPr>
                <w:rFonts w:ascii="仿宋_GB2312" w:hAnsi="仿宋_GB2312" w:eastAsia="仿宋_GB2312" w:cs="仿宋_GB2312"/>
                <w:color w:val="000000"/>
                <w:sz w:val="24"/>
              </w:rPr>
            </w:pPr>
          </w:p>
        </w:tc>
      </w:tr>
      <w:tr w14:paraId="68B518AB">
        <w:tblPrEx>
          <w:tblCellMar>
            <w:top w:w="0" w:type="dxa"/>
            <w:left w:w="15" w:type="dxa"/>
            <w:bottom w:w="0" w:type="dxa"/>
            <w:right w:w="15" w:type="dxa"/>
          </w:tblCellMar>
        </w:tblPrEx>
        <w:trPr>
          <w:trHeight w:val="680" w:hRule="atLeast"/>
          <w:jc w:val="center"/>
        </w:trPr>
        <w:tc>
          <w:tcPr>
            <w:tcW w:w="1621" w:type="dxa"/>
            <w:gridSpan w:val="2"/>
            <w:vAlign w:val="center"/>
          </w:tcPr>
          <w:p w14:paraId="66ECA8F8">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吴晓</w:t>
            </w:r>
          </w:p>
        </w:tc>
        <w:tc>
          <w:tcPr>
            <w:tcW w:w="3561" w:type="dxa"/>
            <w:gridSpan w:val="6"/>
            <w:vAlign w:val="center"/>
          </w:tcPr>
          <w:p w14:paraId="6299420A">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vAlign w:val="center"/>
          </w:tcPr>
          <w:p w14:paraId="2F6EA8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发改局</w:t>
            </w:r>
          </w:p>
        </w:tc>
        <w:tc>
          <w:tcPr>
            <w:tcW w:w="3106" w:type="dxa"/>
            <w:gridSpan w:val="8"/>
            <w:vAlign w:val="center"/>
          </w:tcPr>
          <w:p w14:paraId="659650D9">
            <w:pPr>
              <w:autoSpaceDN w:val="0"/>
              <w:spacing w:line="320" w:lineRule="exact"/>
              <w:jc w:val="center"/>
              <w:textAlignment w:val="center"/>
              <w:rPr>
                <w:rFonts w:ascii="仿宋_GB2312" w:hAnsi="仿宋_GB2312" w:eastAsia="仿宋_GB2312" w:cs="仿宋_GB2312"/>
                <w:color w:val="000000"/>
                <w:sz w:val="24"/>
              </w:rPr>
            </w:pPr>
          </w:p>
        </w:tc>
      </w:tr>
      <w:tr w14:paraId="26BD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21" w:type="dxa"/>
            <w:gridSpan w:val="2"/>
            <w:vAlign w:val="center"/>
          </w:tcPr>
          <w:p w14:paraId="67DA10E7">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钟孝</w:t>
            </w:r>
          </w:p>
        </w:tc>
        <w:tc>
          <w:tcPr>
            <w:tcW w:w="3561" w:type="dxa"/>
            <w:gridSpan w:val="6"/>
            <w:vAlign w:val="center"/>
          </w:tcPr>
          <w:p w14:paraId="392EB0D7">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投资股股长</w:t>
            </w:r>
          </w:p>
        </w:tc>
        <w:tc>
          <w:tcPr>
            <w:tcW w:w="1479" w:type="dxa"/>
            <w:vAlign w:val="center"/>
          </w:tcPr>
          <w:p w14:paraId="21CBB5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发改局</w:t>
            </w:r>
          </w:p>
        </w:tc>
        <w:tc>
          <w:tcPr>
            <w:tcW w:w="3106" w:type="dxa"/>
            <w:gridSpan w:val="8"/>
            <w:vAlign w:val="center"/>
          </w:tcPr>
          <w:p w14:paraId="7BDB3EF4">
            <w:pPr>
              <w:autoSpaceDN w:val="0"/>
              <w:spacing w:line="320" w:lineRule="exact"/>
              <w:jc w:val="center"/>
              <w:textAlignment w:val="center"/>
              <w:rPr>
                <w:rFonts w:ascii="仿宋_GB2312" w:hAnsi="仿宋_GB2312" w:eastAsia="仿宋_GB2312" w:cs="仿宋_GB2312"/>
                <w:color w:val="000000"/>
                <w:sz w:val="24"/>
              </w:rPr>
            </w:pPr>
          </w:p>
        </w:tc>
      </w:tr>
      <w:tr w14:paraId="6159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21" w:type="dxa"/>
            <w:gridSpan w:val="2"/>
            <w:vAlign w:val="center"/>
          </w:tcPr>
          <w:p w14:paraId="5F7CC510">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黎丽萍</w:t>
            </w:r>
          </w:p>
        </w:tc>
        <w:tc>
          <w:tcPr>
            <w:tcW w:w="3561" w:type="dxa"/>
            <w:gridSpan w:val="6"/>
            <w:vAlign w:val="center"/>
          </w:tcPr>
          <w:p w14:paraId="4A6C40CF">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会计</w:t>
            </w:r>
          </w:p>
        </w:tc>
        <w:tc>
          <w:tcPr>
            <w:tcW w:w="1479" w:type="dxa"/>
            <w:vAlign w:val="center"/>
          </w:tcPr>
          <w:p w14:paraId="7A0EBD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发改局</w:t>
            </w:r>
          </w:p>
        </w:tc>
        <w:tc>
          <w:tcPr>
            <w:tcW w:w="3106" w:type="dxa"/>
            <w:gridSpan w:val="8"/>
            <w:vAlign w:val="center"/>
          </w:tcPr>
          <w:p w14:paraId="34C63DA1">
            <w:pPr>
              <w:autoSpaceDN w:val="0"/>
              <w:spacing w:line="320" w:lineRule="exact"/>
              <w:jc w:val="center"/>
              <w:textAlignment w:val="center"/>
              <w:rPr>
                <w:rFonts w:ascii="仿宋_GB2312" w:hAnsi="仿宋_GB2312" w:eastAsia="仿宋_GB2312" w:cs="仿宋_GB2312"/>
                <w:color w:val="000000"/>
                <w:sz w:val="24"/>
              </w:rPr>
            </w:pPr>
          </w:p>
        </w:tc>
      </w:tr>
      <w:tr w14:paraId="36A7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42" w:hRule="atLeast"/>
          <w:jc w:val="center"/>
        </w:trPr>
        <w:tc>
          <w:tcPr>
            <w:tcW w:w="9767" w:type="dxa"/>
            <w:gridSpan w:val="17"/>
            <w:vAlign w:val="center"/>
          </w:tcPr>
          <w:p w14:paraId="7C7F991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E7143B4">
            <w:pPr>
              <w:autoSpaceDN w:val="0"/>
              <w:spacing w:line="320" w:lineRule="exact"/>
              <w:jc w:val="left"/>
              <w:textAlignment w:val="center"/>
              <w:rPr>
                <w:rFonts w:ascii="仿宋_GB2312" w:hAnsi="仿宋_GB2312" w:eastAsia="仿宋_GB2312" w:cs="仿宋_GB2312"/>
                <w:color w:val="000000"/>
                <w:sz w:val="24"/>
              </w:rPr>
            </w:pPr>
          </w:p>
          <w:p w14:paraId="2C8F74E9">
            <w:pPr>
              <w:autoSpaceDN w:val="0"/>
              <w:spacing w:line="320" w:lineRule="exact"/>
              <w:jc w:val="left"/>
              <w:textAlignment w:val="center"/>
              <w:rPr>
                <w:rFonts w:ascii="仿宋_GB2312" w:hAnsi="仿宋_GB2312" w:eastAsia="仿宋_GB2312" w:cs="仿宋_GB2312"/>
                <w:color w:val="000000"/>
                <w:sz w:val="24"/>
              </w:rPr>
            </w:pPr>
          </w:p>
          <w:p w14:paraId="62F7B810">
            <w:pPr>
              <w:autoSpaceDN w:val="0"/>
              <w:spacing w:line="320" w:lineRule="exact"/>
              <w:jc w:val="left"/>
              <w:textAlignment w:val="center"/>
              <w:rPr>
                <w:rFonts w:ascii="仿宋_GB2312" w:hAnsi="仿宋_GB2312" w:eastAsia="仿宋_GB2312" w:cs="仿宋_GB2312"/>
                <w:color w:val="000000"/>
                <w:sz w:val="24"/>
              </w:rPr>
            </w:pPr>
          </w:p>
          <w:p w14:paraId="55112A7D">
            <w:pPr>
              <w:autoSpaceDN w:val="0"/>
              <w:spacing w:line="320" w:lineRule="exact"/>
              <w:jc w:val="left"/>
              <w:textAlignment w:val="center"/>
              <w:rPr>
                <w:rFonts w:ascii="仿宋_GB2312" w:hAnsi="仿宋_GB2312" w:eastAsia="仿宋_GB2312" w:cs="仿宋_GB2312"/>
                <w:color w:val="000000"/>
                <w:sz w:val="24"/>
              </w:rPr>
            </w:pPr>
          </w:p>
          <w:p w14:paraId="1367F136">
            <w:pPr>
              <w:autoSpaceDN w:val="0"/>
              <w:spacing w:line="320" w:lineRule="exact"/>
              <w:jc w:val="left"/>
              <w:textAlignment w:val="center"/>
              <w:rPr>
                <w:rFonts w:ascii="仿宋_GB2312" w:hAnsi="仿宋_GB2312" w:eastAsia="仿宋_GB2312" w:cs="仿宋_GB2312"/>
                <w:color w:val="000000"/>
                <w:sz w:val="24"/>
              </w:rPr>
            </w:pPr>
          </w:p>
          <w:p w14:paraId="65E2D3C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97C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0" w:hRule="atLeast"/>
          <w:jc w:val="center"/>
        </w:trPr>
        <w:tc>
          <w:tcPr>
            <w:tcW w:w="9767" w:type="dxa"/>
            <w:gridSpan w:val="17"/>
            <w:vAlign w:val="center"/>
          </w:tcPr>
          <w:p w14:paraId="282B27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A6CAD7D">
            <w:pPr>
              <w:autoSpaceDN w:val="0"/>
              <w:spacing w:line="320" w:lineRule="exact"/>
              <w:jc w:val="left"/>
              <w:textAlignment w:val="center"/>
              <w:rPr>
                <w:rFonts w:ascii="仿宋_GB2312" w:hAnsi="仿宋_GB2312" w:eastAsia="仿宋_GB2312" w:cs="仿宋_GB2312"/>
                <w:color w:val="000000"/>
                <w:sz w:val="24"/>
              </w:rPr>
            </w:pPr>
          </w:p>
          <w:p w14:paraId="66ACF61E">
            <w:pPr>
              <w:autoSpaceDN w:val="0"/>
              <w:spacing w:line="320" w:lineRule="exact"/>
              <w:jc w:val="left"/>
              <w:textAlignment w:val="center"/>
              <w:rPr>
                <w:rFonts w:ascii="仿宋_GB2312" w:hAnsi="仿宋_GB2312" w:eastAsia="仿宋_GB2312" w:cs="仿宋_GB2312"/>
                <w:color w:val="000000"/>
                <w:sz w:val="24"/>
              </w:rPr>
            </w:pPr>
          </w:p>
          <w:p w14:paraId="30929F68">
            <w:pPr>
              <w:autoSpaceDN w:val="0"/>
              <w:spacing w:line="320" w:lineRule="exact"/>
              <w:jc w:val="left"/>
              <w:textAlignment w:val="center"/>
              <w:rPr>
                <w:rFonts w:ascii="仿宋_GB2312" w:hAnsi="仿宋_GB2312" w:eastAsia="仿宋_GB2312" w:cs="仿宋_GB2312"/>
                <w:color w:val="000000"/>
                <w:sz w:val="24"/>
              </w:rPr>
            </w:pPr>
          </w:p>
          <w:p w14:paraId="0380FADF">
            <w:pPr>
              <w:autoSpaceDN w:val="0"/>
              <w:spacing w:line="320" w:lineRule="exact"/>
              <w:jc w:val="left"/>
              <w:textAlignment w:val="center"/>
              <w:rPr>
                <w:rFonts w:ascii="仿宋_GB2312" w:hAnsi="仿宋_GB2312" w:eastAsia="仿宋_GB2312" w:cs="仿宋_GB2312"/>
                <w:color w:val="000000"/>
                <w:sz w:val="24"/>
              </w:rPr>
            </w:pPr>
          </w:p>
          <w:p w14:paraId="3447915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A21B66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EB74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767" w:type="dxa"/>
            <w:gridSpan w:val="17"/>
            <w:vAlign w:val="center"/>
          </w:tcPr>
          <w:p w14:paraId="21B6D0FA">
            <w:pPr>
              <w:spacing w:line="320" w:lineRule="exact"/>
              <w:rPr>
                <w:rFonts w:eastAsia="仿宋_GB2312"/>
                <w:sz w:val="24"/>
              </w:rPr>
            </w:pPr>
            <w:r>
              <w:rPr>
                <w:rFonts w:hint="eastAsia" w:eastAsia="仿宋_GB2312"/>
                <w:sz w:val="24"/>
              </w:rPr>
              <w:t>财政部门归口业务科室意见：</w:t>
            </w:r>
          </w:p>
          <w:p w14:paraId="09EB31DC">
            <w:pPr>
              <w:spacing w:line="320" w:lineRule="exact"/>
              <w:rPr>
                <w:rFonts w:eastAsia="仿宋_GB2312"/>
                <w:sz w:val="24"/>
              </w:rPr>
            </w:pPr>
          </w:p>
          <w:p w14:paraId="49725E29">
            <w:pPr>
              <w:spacing w:line="320" w:lineRule="exact"/>
              <w:rPr>
                <w:rFonts w:eastAsia="仿宋_GB2312"/>
                <w:sz w:val="24"/>
              </w:rPr>
            </w:pPr>
          </w:p>
          <w:p w14:paraId="6B64B41B">
            <w:pPr>
              <w:spacing w:line="320" w:lineRule="exact"/>
              <w:rPr>
                <w:rFonts w:eastAsia="仿宋_GB2312"/>
                <w:sz w:val="24"/>
              </w:rPr>
            </w:pPr>
          </w:p>
          <w:p w14:paraId="676F710D">
            <w:pPr>
              <w:spacing w:line="320" w:lineRule="exact"/>
              <w:rPr>
                <w:rFonts w:eastAsia="仿宋_GB2312"/>
                <w:sz w:val="24"/>
              </w:rPr>
            </w:pPr>
            <w:r>
              <w:rPr>
                <w:rFonts w:hint="eastAsia" w:eastAsia="仿宋_GB2312"/>
                <w:sz w:val="24"/>
              </w:rPr>
              <w:t xml:space="preserve">                                  财政部门归口业务科室负责人（签章）：</w:t>
            </w:r>
          </w:p>
          <w:p w14:paraId="4C4D16DC">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27F5ACF4">
      <w:pPr>
        <w:rPr>
          <w:rFonts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7F9F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0D3B105B">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29CD1413">
            <w:pPr>
              <w:spacing w:line="440" w:lineRule="exact"/>
              <w:ind w:firstLine="640" w:firstLineChars="200"/>
              <w:rPr>
                <w:rFonts w:eastAsia="仿宋_GB2312"/>
                <w:sz w:val="32"/>
                <w:szCs w:val="32"/>
              </w:rPr>
            </w:pPr>
          </w:p>
          <w:p w14:paraId="73B6E3A0">
            <w:pPr>
              <w:spacing w:line="560" w:lineRule="exact"/>
              <w:ind w:firstLine="843" w:firstLineChars="300"/>
              <w:rPr>
                <w:rFonts w:hint="eastAsia" w:ascii="仿宋" w:hAnsi="仿宋" w:eastAsia="仿宋" w:cs="仿宋"/>
                <w:b/>
                <w:bCs w:val="0"/>
                <w:sz w:val="28"/>
                <w:szCs w:val="28"/>
              </w:rPr>
            </w:pPr>
            <w:r>
              <w:rPr>
                <w:rFonts w:hint="eastAsia" w:ascii="仿宋" w:hAnsi="仿宋" w:eastAsia="仿宋" w:cs="仿宋"/>
                <w:b/>
                <w:bCs w:val="0"/>
                <w:sz w:val="28"/>
                <w:szCs w:val="28"/>
              </w:rPr>
              <w:t>一、部门（单位）概况</w:t>
            </w:r>
          </w:p>
          <w:p w14:paraId="4FF7F931">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（一）部门（单位）基本情况</w:t>
            </w:r>
          </w:p>
          <w:p w14:paraId="7DDEE057">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1、职能职责</w:t>
            </w:r>
          </w:p>
          <w:p w14:paraId="3A1AF4E6">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拟订全县国民经济和社会发展战略、中长期规划和年度计划并组织实施；组织编制国民经济动员、国防交通保障规划、计划；统筹规划和综合协调产业发展，推动全县经济结构战略性调整；协调平衡卫生健康、科技教育、文化旅游、体育民政等发展政策；推进可持续发展战略，负责节能减排的综合协调工作；负责全县固定资产投资管理；负责全县价格工作的宏观管理和综合平衡；完成上级交办的其他任务。       </w:t>
            </w:r>
          </w:p>
          <w:p w14:paraId="32D8C0DA">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2、机构设置</w:t>
            </w:r>
          </w:p>
          <w:p w14:paraId="69D891A3">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bCs/>
                <w:sz w:val="28"/>
                <w:szCs w:val="28"/>
              </w:rPr>
              <w:t>县发展和改革局设12个内设机构：办公室、政策法规股（承担县招标投标监督管理委员会办公室日常工作）、固定资产投资股、农村经济股、工业外经股（加挂园区办和综合办牌子）、基础能源股（承担国民经济动员办公室、县国防动员委员会装备动员办公室日常工作）、社会发展和财贸服务业股、资源环境和节能监察股（长江经济带和洞庭湖发展办公室）、信用信息股（加挂县争项争资领导小组办公室和县经济体制改革领导小组办公室牌子）、行政审批股、收费价管股、成本调查监审股（对外称华容县成本监审股）</w:t>
            </w:r>
            <w:r>
              <w:rPr>
                <w:rFonts w:hint="eastAsia" w:ascii="仿宋" w:hAnsi="仿宋" w:eastAsia="仿宋" w:cs="仿宋"/>
                <w:sz w:val="28"/>
                <w:szCs w:val="28"/>
              </w:rPr>
              <w:t>。</w:t>
            </w:r>
          </w:p>
          <w:p w14:paraId="7EA3F276">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二、20</w:t>
            </w:r>
            <w:r>
              <w:rPr>
                <w:rFonts w:hint="eastAsia" w:ascii="仿宋" w:hAnsi="仿宋" w:eastAsia="仿宋" w:cs="仿宋"/>
                <w:b/>
                <w:bCs w:val="0"/>
                <w:sz w:val="28"/>
                <w:szCs w:val="28"/>
                <w:lang w:val="en-US" w:eastAsia="zh-CN"/>
              </w:rPr>
              <w:t>20</w:t>
            </w:r>
            <w:r>
              <w:rPr>
                <w:rFonts w:hint="eastAsia" w:ascii="仿宋" w:hAnsi="仿宋" w:eastAsia="仿宋" w:cs="仿宋"/>
                <w:b/>
                <w:bCs w:val="0"/>
                <w:sz w:val="28"/>
                <w:szCs w:val="28"/>
              </w:rPr>
              <w:t>年部门预算整体支出绩效目标完成情况</w:t>
            </w:r>
          </w:p>
          <w:p w14:paraId="04D0F70E">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重大项目（工作）扎实推进</w:t>
            </w:r>
          </w:p>
          <w:p w14:paraId="3369CE83">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1.易地扶贫搬迁工作。</w:t>
            </w:r>
            <w:r>
              <w:rPr>
                <w:rFonts w:hint="eastAsia" w:ascii="仿宋" w:hAnsi="仿宋" w:eastAsia="仿宋" w:cs="仿宋"/>
                <w:sz w:val="28"/>
                <w:szCs w:val="28"/>
              </w:rPr>
              <w:t>全面完成15个乡镇（区）易地扶贫搬迁1432户4163人，三年共拨付资金2497.8万元，对易地扶贫搬迁对象实施产业后扶，后扶率达100%。易地扶贫搬迁省级考核获2016-2019年一类单位，《华容县采取“335”措施，纵深推进易地扶贫搬迁》被国家发改委《政策指引》刊登向全国推广。</w:t>
            </w:r>
          </w:p>
          <w:p w14:paraId="03CD7ECF">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2.驻村结对帮扶工作。</w:t>
            </w:r>
            <w:r>
              <w:rPr>
                <w:rFonts w:hint="eastAsia" w:ascii="仿宋" w:hAnsi="仿宋" w:eastAsia="仿宋" w:cs="仿宋"/>
                <w:sz w:val="28"/>
                <w:szCs w:val="28"/>
              </w:rPr>
              <w:t>狠抓“三保障”、“三落实”、“三精准”，实现了全面如期脱贫的目标。</w:t>
            </w:r>
            <w:r>
              <w:rPr>
                <w:rFonts w:hint="eastAsia" w:ascii="仿宋" w:hAnsi="仿宋" w:eastAsia="仿宋" w:cs="仿宋"/>
                <w:b/>
                <w:sz w:val="28"/>
                <w:szCs w:val="28"/>
              </w:rPr>
              <w:t>一是坚持因户施策，以实现贫困户“两不愁三保障”为核心促政策落实。</w:t>
            </w:r>
            <w:r>
              <w:rPr>
                <w:rFonts w:hint="eastAsia" w:ascii="仿宋" w:hAnsi="仿宋" w:eastAsia="仿宋" w:cs="仿宋"/>
                <w:sz w:val="28"/>
                <w:szCs w:val="28"/>
              </w:rPr>
              <w:t>组织开展“收官清零行动”，切实做好结对帮扶“五查五确保”工作，对排查核查中发现的问题以及上级督查、检查中反馈的问题，坚持因户施策，精准帮扶，所有问题在规定时限内实现了见底清零。</w:t>
            </w:r>
            <w:r>
              <w:rPr>
                <w:rFonts w:hint="eastAsia" w:ascii="仿宋" w:hAnsi="仿宋" w:eastAsia="仿宋" w:cs="仿宋"/>
                <w:b/>
                <w:sz w:val="28"/>
                <w:szCs w:val="28"/>
              </w:rPr>
              <w:t>二是坚持因地制宜，以优化产业结构为重点促稳定脱贫。</w:t>
            </w:r>
            <w:r>
              <w:rPr>
                <w:rFonts w:hint="eastAsia" w:ascii="仿宋" w:hAnsi="仿宋" w:eastAsia="仿宋" w:cs="仿宋"/>
                <w:sz w:val="28"/>
                <w:szCs w:val="28"/>
              </w:rPr>
              <w:t>根据砂山村的自然条件，着力发展生态、立体、休闲农业，优化了产业布局，促进了农业增产、农民增收，壮大了集体经济。</w:t>
            </w:r>
            <w:r>
              <w:rPr>
                <w:rFonts w:hint="eastAsia" w:ascii="仿宋" w:hAnsi="仿宋" w:eastAsia="仿宋" w:cs="仿宋"/>
                <w:b/>
                <w:sz w:val="28"/>
                <w:szCs w:val="28"/>
              </w:rPr>
              <w:t>三是坚持因势而为，以实行党建引领为导向促脱贫攻坚。</w:t>
            </w:r>
            <w:r>
              <w:rPr>
                <w:rFonts w:hint="eastAsia" w:ascii="仿宋" w:hAnsi="仿宋" w:eastAsia="仿宋" w:cs="仿宋"/>
                <w:sz w:val="28"/>
                <w:szCs w:val="28"/>
              </w:rPr>
              <w:t>注重发挥村党总支在脱贫攻坚中“领头雁”作用、党员干部的结对帮扶作用、农村致富带头人的示范作用和农村无职党员的监督作用，打造了一支永不走的工作队。</w:t>
            </w:r>
          </w:p>
          <w:p w14:paraId="7A681EC7">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3.重大前期项目工作。智慧华容PPP项目。一是</w:t>
            </w:r>
            <w:r>
              <w:rPr>
                <w:rFonts w:hint="eastAsia" w:ascii="仿宋" w:hAnsi="仿宋" w:eastAsia="仿宋" w:cs="仿宋"/>
                <w:sz w:val="28"/>
                <w:szCs w:val="28"/>
              </w:rPr>
              <w:t>完成了项目公开招投标，开展了采购结果确认谈判，签订了《采购确认谈判备忘录》，并向中标社会资本方北斗集团发出了中标通知书；</w:t>
            </w:r>
            <w:r>
              <w:rPr>
                <w:rFonts w:hint="eastAsia" w:ascii="仿宋" w:hAnsi="仿宋" w:eastAsia="仿宋" w:cs="仿宋"/>
                <w:b/>
                <w:sz w:val="28"/>
                <w:szCs w:val="28"/>
              </w:rPr>
              <w:t>二是</w:t>
            </w:r>
            <w:r>
              <w:rPr>
                <w:rFonts w:hint="eastAsia" w:ascii="仿宋" w:hAnsi="仿宋" w:eastAsia="仿宋" w:cs="仿宋"/>
                <w:sz w:val="28"/>
                <w:szCs w:val="28"/>
              </w:rPr>
              <w:t>签订了项目股东合同，注册成立了岳阳北晟慧华信息技术有限公司；</w:t>
            </w:r>
            <w:r>
              <w:rPr>
                <w:rFonts w:hint="eastAsia" w:ascii="仿宋" w:hAnsi="仿宋" w:eastAsia="仿宋" w:cs="仿宋"/>
                <w:b/>
                <w:sz w:val="28"/>
                <w:szCs w:val="28"/>
              </w:rPr>
              <w:t>三是</w:t>
            </w:r>
            <w:r>
              <w:rPr>
                <w:rFonts w:hint="eastAsia" w:ascii="仿宋" w:hAnsi="仿宋" w:eastAsia="仿宋" w:cs="仿宋"/>
                <w:sz w:val="28"/>
                <w:szCs w:val="28"/>
              </w:rPr>
              <w:t>签订了PPP项目合同，完成了智慧磐石工程建设；</w:t>
            </w:r>
            <w:r>
              <w:rPr>
                <w:rFonts w:hint="eastAsia" w:ascii="仿宋" w:hAnsi="仿宋" w:eastAsia="仿宋" w:cs="仿宋"/>
                <w:b/>
                <w:sz w:val="28"/>
                <w:szCs w:val="28"/>
              </w:rPr>
              <w:t>四是</w:t>
            </w:r>
            <w:r>
              <w:rPr>
                <w:rFonts w:hint="eastAsia" w:ascii="仿宋" w:hAnsi="仿宋" w:eastAsia="仿宋" w:cs="仿宋"/>
                <w:sz w:val="28"/>
                <w:szCs w:val="28"/>
              </w:rPr>
              <w:t>完成了雪亮工程、天网地网工程、大数据中心、中心机房和纪检监察平台设计方案。</w:t>
            </w:r>
            <w:r>
              <w:rPr>
                <w:rFonts w:hint="eastAsia" w:ascii="仿宋" w:hAnsi="仿宋" w:eastAsia="仿宋" w:cs="仿宋"/>
                <w:b/>
                <w:sz w:val="28"/>
                <w:szCs w:val="28"/>
              </w:rPr>
              <w:t>监利至华容公铁两用桥及公路铁路接线项目。</w:t>
            </w:r>
            <w:r>
              <w:rPr>
                <w:rFonts w:hint="eastAsia" w:ascii="仿宋" w:hAnsi="仿宋" w:eastAsia="仿宋" w:cs="仿宋"/>
                <w:sz w:val="28"/>
                <w:szCs w:val="28"/>
              </w:rPr>
              <w:t>项目已进入国家规划，并启动规划研究；进行了桥位比选，开展了实地勘测；促进了华容、监利两地党政领导会商，签订了《关于共同推进监利至华容长江公铁两用大桥及铁路和高速公路接线工程前期工作协议》，完成了省市项目对接，参加了大桥专题评审，启动了大桥可行性研究报告编制。</w:t>
            </w:r>
          </w:p>
          <w:p w14:paraId="3761BECA">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4.“十四五”规划编制工作。一是</w:t>
            </w:r>
            <w:r>
              <w:rPr>
                <w:rFonts w:hint="eastAsia" w:ascii="仿宋" w:hAnsi="仿宋" w:eastAsia="仿宋" w:cs="仿宋"/>
                <w:sz w:val="28"/>
                <w:szCs w:val="28"/>
              </w:rPr>
              <w:t>召开了“十四五”规划编制动员会，学习传达了国家和省市会议精神，并对全县“十四五”规划编制工作进行了安排部署。</w:t>
            </w:r>
            <w:r>
              <w:rPr>
                <w:rFonts w:hint="eastAsia" w:ascii="仿宋" w:hAnsi="仿宋" w:eastAsia="仿宋" w:cs="仿宋"/>
                <w:b/>
                <w:sz w:val="28"/>
                <w:szCs w:val="28"/>
              </w:rPr>
              <w:t>二是</w:t>
            </w:r>
            <w:r>
              <w:rPr>
                <w:rFonts w:hint="eastAsia" w:ascii="仿宋" w:hAnsi="仿宋" w:eastAsia="仿宋" w:cs="仿宋"/>
                <w:sz w:val="28"/>
                <w:szCs w:val="28"/>
              </w:rPr>
              <w:t>编制了“十四五”规划编制工作方案，明确了我县“十四五”规划编制的指导思想、编制原则、规划构成、阶段步骤、编制要求、保障措施。</w:t>
            </w:r>
            <w:r>
              <w:rPr>
                <w:rFonts w:hint="eastAsia" w:ascii="仿宋" w:hAnsi="仿宋" w:eastAsia="仿宋" w:cs="仿宋"/>
                <w:b/>
                <w:sz w:val="28"/>
                <w:szCs w:val="28"/>
              </w:rPr>
              <w:t>三是</w:t>
            </w:r>
            <w:r>
              <w:rPr>
                <w:rFonts w:hint="eastAsia" w:ascii="仿宋" w:hAnsi="仿宋" w:eastAsia="仿宋" w:cs="仿宋"/>
                <w:sz w:val="28"/>
                <w:szCs w:val="28"/>
              </w:rPr>
              <w:t>开展了调查研究，省社会科院专家团队作为第三方编制机构，于4月、5月、7月、9月先后来华容乡镇、部门单位、政研中心、经研中心进行了多次调研，掌握了翔实的第一手资料。7月份以来，县委、县政府主要领导先后6次调度“十四五”规划编制工作，特别是由陶书记亲自主持3次调度会，对规划编制提出了明确指导意见。</w:t>
            </w:r>
            <w:r>
              <w:rPr>
                <w:rFonts w:hint="eastAsia" w:ascii="仿宋" w:hAnsi="仿宋" w:eastAsia="仿宋" w:cs="仿宋"/>
                <w:b/>
                <w:sz w:val="28"/>
                <w:szCs w:val="28"/>
              </w:rPr>
              <w:t>四是</w:t>
            </w:r>
            <w:r>
              <w:rPr>
                <w:rFonts w:hint="eastAsia" w:ascii="仿宋" w:hAnsi="仿宋" w:eastAsia="仿宋" w:cs="仿宋"/>
                <w:sz w:val="28"/>
                <w:szCs w:val="28"/>
              </w:rPr>
              <w:t>建立了我县“十四五”重大项目库。截止11月底，共入库“十四五”重大项目320个，总投资1500多亿元。</w:t>
            </w:r>
            <w:r>
              <w:rPr>
                <w:rFonts w:hint="eastAsia" w:ascii="仿宋" w:hAnsi="仿宋" w:eastAsia="仿宋" w:cs="仿宋"/>
                <w:b/>
                <w:sz w:val="28"/>
                <w:szCs w:val="28"/>
              </w:rPr>
              <w:t>五是</w:t>
            </w:r>
            <w:r>
              <w:rPr>
                <w:rFonts w:hint="eastAsia" w:ascii="仿宋" w:hAnsi="仿宋" w:eastAsia="仿宋" w:cs="仿宋"/>
                <w:sz w:val="28"/>
                <w:szCs w:val="28"/>
              </w:rPr>
              <w:t>完成了规划文本征求意见稿。目前，全县“十四五”规划纲要、乡镇规划、部门专项规划均已完成征求意见稿。</w:t>
            </w:r>
          </w:p>
          <w:p w14:paraId="13CA99C9">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主要业务扎实提升</w:t>
            </w:r>
          </w:p>
          <w:p w14:paraId="1BC1DFE1">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1.项目争取工作。</w:t>
            </w:r>
            <w:r>
              <w:rPr>
                <w:rFonts w:hint="eastAsia" w:ascii="仿宋" w:hAnsi="仿宋" w:eastAsia="仿宋" w:cs="仿宋"/>
                <w:sz w:val="28"/>
                <w:szCs w:val="28"/>
              </w:rPr>
              <w:t>围绕县委、县政府确定的年度目标任务，发改局第一时间收集项目信息、解读项目政策、指导项目申报，全力配合各乡镇、县直有关单位争取项目落地。1-1２月，全县共申报项目261个，申报资金38.21亿元；批复项目257个，争取资金32.31亿元，占年度任务的141%。发改系统共申报项目41个，争取资金3.52亿元，六县市排名第二。</w:t>
            </w:r>
            <w:r>
              <w:rPr>
                <w:rFonts w:hint="eastAsia" w:ascii="仿宋" w:hAnsi="仿宋" w:eastAsia="仿宋" w:cs="仿宋"/>
                <w:b/>
                <w:sz w:val="28"/>
                <w:szCs w:val="28"/>
              </w:rPr>
              <w:t>资环线：</w:t>
            </w:r>
            <w:r>
              <w:rPr>
                <w:rFonts w:hint="eastAsia" w:ascii="仿宋" w:hAnsi="仿宋" w:eastAsia="仿宋" w:cs="仿宋"/>
                <w:sz w:val="28"/>
                <w:szCs w:val="28"/>
              </w:rPr>
              <w:t>争取插旗镇垃圾资源化处理项目480万元，洞庭湖生态环境整治“五结合”工程360万元，长江大保护三峡公益基金3483万元。为了争取华夏文化遗产基金会捐建六门闸项目，我多次邀请县政府主要领导到长沙登门拜访，多次对接汇报，终于促成项目落地华容，并将六门闸排涝工程列为华夏文化遗产基金会首批捐建试点项目，总投资3.15亿元，项目已于11月月份动工建设，目前已完成投资1亿多元。</w:t>
            </w:r>
            <w:r>
              <w:rPr>
                <w:rFonts w:hint="eastAsia" w:ascii="仿宋" w:hAnsi="仿宋" w:eastAsia="仿宋" w:cs="仿宋"/>
                <w:b/>
                <w:sz w:val="28"/>
                <w:szCs w:val="28"/>
              </w:rPr>
              <w:t>农经线：</w:t>
            </w:r>
            <w:r>
              <w:rPr>
                <w:rFonts w:hint="eastAsia" w:ascii="仿宋" w:hAnsi="仿宋" w:eastAsia="仿宋" w:cs="仿宋"/>
                <w:sz w:val="28"/>
                <w:szCs w:val="28"/>
              </w:rPr>
              <w:t>争取梅田湖以工代赈资金210万元。</w:t>
            </w:r>
            <w:r>
              <w:rPr>
                <w:rFonts w:hint="eastAsia" w:ascii="仿宋" w:hAnsi="仿宋" w:eastAsia="仿宋" w:cs="仿宋"/>
                <w:b/>
                <w:sz w:val="28"/>
                <w:szCs w:val="28"/>
              </w:rPr>
              <w:t>社财线：</w:t>
            </w:r>
            <w:r>
              <w:rPr>
                <w:rFonts w:hint="eastAsia" w:ascii="仿宋" w:hAnsi="仿宋" w:eastAsia="仿宋" w:cs="仿宋"/>
                <w:sz w:val="28"/>
                <w:szCs w:val="28"/>
              </w:rPr>
              <w:t>争取殡仪馆迁建项目840万元，胜峰敬老院建设项目351万元，中医院发热门诊及传染病区改扩建工程900万元，华誉食品县乡村三级物流配送体系建设项目200万元，社会足球场地设施建设项目120万元，章华镇石伏社区两型创建项目20万元。</w:t>
            </w:r>
            <w:r>
              <w:rPr>
                <w:rFonts w:hint="eastAsia" w:ascii="仿宋" w:hAnsi="仿宋" w:eastAsia="仿宋" w:cs="仿宋"/>
                <w:b/>
                <w:sz w:val="28"/>
                <w:szCs w:val="28"/>
              </w:rPr>
              <w:t>工业外经线：</w:t>
            </w:r>
            <w:r>
              <w:rPr>
                <w:rFonts w:hint="eastAsia" w:ascii="仿宋" w:hAnsi="仿宋" w:eastAsia="仿宋" w:cs="仿宋"/>
                <w:sz w:val="28"/>
                <w:szCs w:val="28"/>
              </w:rPr>
              <w:t>争取儿童口罩专项福尔康55万元、康沃58万元，芦苇补助204.4万元，医用口罩扩能项目福尔康384万元、康沃290万元。</w:t>
            </w:r>
            <w:r>
              <w:rPr>
                <w:rFonts w:hint="eastAsia" w:ascii="仿宋" w:hAnsi="仿宋" w:eastAsia="仿宋" w:cs="仿宋"/>
                <w:b/>
                <w:sz w:val="28"/>
                <w:szCs w:val="28"/>
              </w:rPr>
              <w:t>投资线：</w:t>
            </w:r>
            <w:r>
              <w:rPr>
                <w:rFonts w:hint="eastAsia" w:ascii="仿宋" w:hAnsi="仿宋" w:eastAsia="仿宋" w:cs="仿宋"/>
                <w:sz w:val="28"/>
                <w:szCs w:val="28"/>
              </w:rPr>
              <w:t>争取城镇老旧小区改造配套设施建设项目7个4898万元，棚户区配套设施建设项目702万元，农村综合服务平台建设360万元，重大项目前期奖补资金50万元，万庾派出所建设130万元，救灾应急补助195万元。同时，协调推进了神华国华电厂、煤炭铁水联运储配基地项目建设；协调推进了重大社会项目、产业项目、农业项目、林业项目、水利项目、环保项目建设，协调推进了中小企业复工复产。</w:t>
            </w:r>
          </w:p>
          <w:p w14:paraId="2826F7D3">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2.审批服务工作。</w:t>
            </w:r>
            <w:r>
              <w:rPr>
                <w:rFonts w:hint="eastAsia" w:ascii="仿宋" w:hAnsi="仿宋" w:eastAsia="仿宋" w:cs="仿宋"/>
                <w:sz w:val="28"/>
                <w:szCs w:val="28"/>
              </w:rPr>
              <w:t>截止11月底，完成政府投资审批项目159个，投资额38.94亿元；完成政府投资概算审批10个，投资额8.46亿元；完成企业投资备案项目53个，投资额62.9亿元；企业投资核准项目2个，投资额2.39亿元。同时，指导县工业集中区完成节能评估、地质灾害危险性评估、水土保持区域评估报告编制工作；完成清理行政审批中介服务事项，并发布事项清单，做好了优化营商环境评估工作。</w:t>
            </w:r>
          </w:p>
          <w:p w14:paraId="32EF234B">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3.招投标监管工作。</w:t>
            </w:r>
            <w:r>
              <w:rPr>
                <w:rFonts w:hint="eastAsia" w:ascii="仿宋" w:hAnsi="仿宋" w:eastAsia="仿宋" w:cs="仿宋"/>
                <w:sz w:val="28"/>
                <w:szCs w:val="28"/>
              </w:rPr>
              <w:t>严格执行《招投标法》和上级招投标条例管理规定；全县招标市场继续保持规范、平稳、有序运行。全年共审核项目招标文件21份，现场监管开标项目18个，对9个开工项目进行了标后检查，调查处理招标问题线索7条，开展2次招投标领域问题专项整治工作。</w:t>
            </w:r>
          </w:p>
          <w:p w14:paraId="5BC3C260">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4.收费价管工作。一是做好疫情防控期间的价格管理。</w:t>
            </w:r>
            <w:r>
              <w:rPr>
                <w:rFonts w:hint="eastAsia" w:ascii="仿宋" w:hAnsi="仿宋" w:eastAsia="仿宋" w:cs="仿宋"/>
                <w:sz w:val="28"/>
                <w:szCs w:val="28"/>
              </w:rPr>
              <w:t>下发了《关于新冠病毒感染的肺炎疫情防控期间哄抬价格违法行为认定有关问题的通知》，对经营者在疫情防控期间价格管控提出明确要求，有效维护了市场价格稳定。</w:t>
            </w:r>
            <w:r>
              <w:rPr>
                <w:rFonts w:hint="eastAsia" w:ascii="仿宋" w:hAnsi="仿宋" w:eastAsia="仿宋" w:cs="仿宋"/>
                <w:b/>
                <w:sz w:val="28"/>
                <w:szCs w:val="28"/>
              </w:rPr>
              <w:t>二是阶段降低企业用能成本。</w:t>
            </w:r>
            <w:r>
              <w:rPr>
                <w:rFonts w:hint="eastAsia" w:ascii="仿宋" w:hAnsi="仿宋" w:eastAsia="仿宋" w:cs="仿宋"/>
                <w:sz w:val="28"/>
                <w:szCs w:val="28"/>
              </w:rPr>
              <w:t>目前为止，全县共降低企业用电成本740万元，降低非居民用气成本23.25万元。</w:t>
            </w:r>
            <w:r>
              <w:rPr>
                <w:rFonts w:hint="eastAsia" w:ascii="仿宋" w:hAnsi="仿宋" w:eastAsia="仿宋" w:cs="仿宋"/>
                <w:b/>
                <w:sz w:val="28"/>
                <w:szCs w:val="28"/>
              </w:rPr>
              <w:t>三是落实价格临时补贴发放工作。</w:t>
            </w:r>
            <w:r>
              <w:rPr>
                <w:rFonts w:hint="eastAsia" w:ascii="仿宋" w:hAnsi="仿宋" w:eastAsia="仿宋" w:cs="仿宋"/>
                <w:sz w:val="28"/>
                <w:szCs w:val="28"/>
              </w:rPr>
              <w:t>全县3.74万人纳入联动保障范围，发放价格临时补贴</w:t>
            </w:r>
            <w:r>
              <w:rPr>
                <w:rFonts w:hint="eastAsia" w:ascii="仿宋" w:hAnsi="仿宋" w:eastAsia="仿宋" w:cs="仿宋"/>
                <w:spacing w:val="-4"/>
                <w:sz w:val="28"/>
                <w:szCs w:val="28"/>
              </w:rPr>
              <w:t>1312.81万元。同时，加强了教育收费管理，调整了2020年采暖季非居民用天然气价格，开展了商品住宅明码标价备案工作。</w:t>
            </w:r>
          </w:p>
          <w:p w14:paraId="22BDAA11">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5.价格认证监测工作。</w:t>
            </w:r>
            <w:r>
              <w:rPr>
                <w:rFonts w:hint="eastAsia" w:ascii="仿宋" w:hAnsi="仿宋" w:eastAsia="仿宋" w:cs="仿宋"/>
                <w:sz w:val="28"/>
                <w:szCs w:val="28"/>
              </w:rPr>
              <w:t>对新出台的《价格认定规定》进行了再学习、再研究、再提高，停止了所有价格认定事项的收费，主动退出了民事案件价格认定、交通事故车损评估等市场性业务。截止11月底，共完成各类认定案件284家，涉案金额142万元。做到认定范围精确、认定工作精准、认定案卷精细。</w:t>
            </w:r>
          </w:p>
          <w:p w14:paraId="62012F0A">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6.价格成本调查和信息监测工作。一是开展成本监审。</w:t>
            </w:r>
            <w:r>
              <w:rPr>
                <w:rFonts w:hint="eastAsia" w:ascii="仿宋" w:hAnsi="仿宋" w:eastAsia="仿宋" w:cs="仿宋"/>
                <w:sz w:val="28"/>
                <w:szCs w:val="28"/>
              </w:rPr>
              <w:t>全年共受理《关于华容县普通高中学业水平考试收费成本》《关于华容县第二、三、五、怀乡中学学生公寓空调安装的收费成本》《关于华容县乡镇自来水供水价格的定价成本》《关于华容县长燃燃气延伸服务收费标准的成本》等项目调查和审核，共核减不合理费用560多万元。</w:t>
            </w:r>
            <w:r>
              <w:rPr>
                <w:rFonts w:hint="eastAsia" w:ascii="仿宋" w:hAnsi="仿宋" w:eastAsia="仿宋" w:cs="仿宋"/>
                <w:b/>
                <w:sz w:val="28"/>
                <w:szCs w:val="28"/>
              </w:rPr>
              <w:t>二是开展农本调查。</w:t>
            </w:r>
            <w:r>
              <w:rPr>
                <w:rFonts w:hint="eastAsia" w:ascii="仿宋" w:hAnsi="仿宋" w:eastAsia="仿宋" w:cs="仿宋"/>
                <w:sz w:val="28"/>
                <w:szCs w:val="28"/>
              </w:rPr>
              <w:t>对农民的种植意向、生猪的生产成本、粮食生产及市场情况、农资市场情况、油菜籽生产成本、棉花生产成本等进行了深入细致地调查，撰写有价值有份量的上传报告。</w:t>
            </w:r>
            <w:r>
              <w:rPr>
                <w:rFonts w:hint="eastAsia" w:ascii="仿宋" w:hAnsi="仿宋" w:eastAsia="仿宋" w:cs="仿宋"/>
                <w:b/>
                <w:sz w:val="28"/>
                <w:szCs w:val="28"/>
              </w:rPr>
              <w:t>三是开展价格监测。</w:t>
            </w:r>
            <w:r>
              <w:rPr>
                <w:rFonts w:hint="eastAsia" w:ascii="仿宋" w:hAnsi="仿宋" w:eastAsia="仿宋" w:cs="仿宋"/>
                <w:sz w:val="28"/>
                <w:szCs w:val="28"/>
              </w:rPr>
              <w:t>积极深入农村、农户、城区集贸市场、超市、个体工商户和相关加工企业进行价格监测和调查研究，全年上报国家、省、市、县价格监测数据1万余条，价格监测表800余份，信息材料50余篇。</w:t>
            </w:r>
          </w:p>
          <w:p w14:paraId="39341BB7">
            <w:pPr>
              <w:keepNext w:val="0"/>
              <w:keepLines w:val="0"/>
              <w:pageBreakBefore w:val="0"/>
              <w:widowControl/>
              <w:shd w:val="clear" w:color="auto" w:fill="FFFFFF"/>
              <w:kinsoku/>
              <w:wordWrap/>
              <w:overflowPunct/>
              <w:topLinePunct w:val="0"/>
              <w:bidi w:val="0"/>
              <w:adjustRightInd w:val="0"/>
              <w:snapToGrid/>
              <w:spacing w:line="520" w:lineRule="exact"/>
              <w:ind w:firstLine="551" w:firstLineChars="196"/>
              <w:jc w:val="left"/>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三、20</w:t>
            </w:r>
            <w:r>
              <w:rPr>
                <w:rFonts w:hint="eastAsia" w:ascii="仿宋" w:hAnsi="仿宋" w:eastAsia="仿宋" w:cs="仿宋"/>
                <w:b/>
                <w:color w:val="333333"/>
                <w:kern w:val="0"/>
                <w:sz w:val="28"/>
                <w:szCs w:val="28"/>
                <w:lang w:val="en-US" w:eastAsia="zh-CN"/>
              </w:rPr>
              <w:t>20</w:t>
            </w:r>
            <w:r>
              <w:rPr>
                <w:rFonts w:hint="eastAsia" w:ascii="仿宋" w:hAnsi="仿宋" w:eastAsia="仿宋" w:cs="仿宋"/>
                <w:b/>
                <w:color w:val="333333"/>
                <w:kern w:val="0"/>
                <w:sz w:val="28"/>
                <w:szCs w:val="28"/>
              </w:rPr>
              <w:t>年度整体支出执行情况</w:t>
            </w:r>
          </w:p>
          <w:p w14:paraId="5D705D2F">
            <w:pPr>
              <w:keepNext w:val="0"/>
              <w:keepLines w:val="0"/>
              <w:pageBreakBefore w:val="0"/>
              <w:shd w:val="clear" w:color="auto" w:fill="FFFFFF"/>
              <w:kinsoku/>
              <w:wordWrap/>
              <w:overflowPunct/>
              <w:topLinePunct w:val="0"/>
              <w:bidi w:val="0"/>
              <w:adjustRightInd w:val="0"/>
              <w:snapToGrid/>
              <w:spacing w:line="520" w:lineRule="exact"/>
              <w:ind w:firstLine="700" w:firstLineChars="250"/>
              <w:textAlignment w:val="auto"/>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color="auto" w:fill="FFFFFF"/>
              </w:rPr>
              <w:t>发改局20</w:t>
            </w:r>
            <w:r>
              <w:rPr>
                <w:rFonts w:hint="eastAsia" w:ascii="仿宋" w:hAnsi="仿宋" w:eastAsia="仿宋" w:cs="仿宋"/>
                <w:color w:val="333333"/>
                <w:kern w:val="0"/>
                <w:sz w:val="28"/>
                <w:szCs w:val="28"/>
                <w:shd w:val="clear" w:color="auto" w:fill="FFFFFF"/>
                <w:lang w:val="en-US" w:eastAsia="zh-CN"/>
              </w:rPr>
              <w:t>20</w:t>
            </w:r>
            <w:r>
              <w:rPr>
                <w:rFonts w:hint="eastAsia" w:ascii="仿宋" w:hAnsi="仿宋" w:eastAsia="仿宋" w:cs="仿宋"/>
                <w:color w:val="333333"/>
                <w:kern w:val="0"/>
                <w:sz w:val="28"/>
                <w:szCs w:val="28"/>
                <w:shd w:val="clear" w:color="auto" w:fill="FFFFFF"/>
              </w:rPr>
              <w:t>年度整体支出为</w:t>
            </w:r>
            <w:r>
              <w:rPr>
                <w:rFonts w:hint="eastAsia" w:ascii="仿宋" w:hAnsi="仿宋" w:eastAsia="仿宋" w:cs="仿宋"/>
                <w:sz w:val="28"/>
                <w:szCs w:val="28"/>
                <w:highlight w:val="white"/>
                <w:lang w:val="en-US" w:eastAsia="zh-CN"/>
              </w:rPr>
              <w:t>2836.56</w:t>
            </w:r>
            <w:r>
              <w:rPr>
                <w:rFonts w:hint="eastAsia" w:ascii="仿宋" w:hAnsi="仿宋" w:eastAsia="仿宋" w:cs="仿宋"/>
                <w:color w:val="333333"/>
                <w:kern w:val="0"/>
                <w:sz w:val="28"/>
                <w:szCs w:val="28"/>
                <w:shd w:val="clear" w:color="auto" w:fill="FFFFFF"/>
              </w:rPr>
              <w:t>万元</w:t>
            </w:r>
            <w:r>
              <w:rPr>
                <w:rFonts w:hint="eastAsia" w:ascii="仿宋" w:hAnsi="仿宋" w:eastAsia="仿宋" w:cs="仿宋"/>
                <w:color w:val="686868"/>
                <w:sz w:val="28"/>
                <w:szCs w:val="28"/>
              </w:rPr>
              <w:t>,</w:t>
            </w:r>
            <w:r>
              <w:rPr>
                <w:rFonts w:hint="eastAsia" w:ascii="仿宋" w:hAnsi="仿宋" w:eastAsia="仿宋" w:cs="仿宋"/>
                <w:color w:val="333333"/>
                <w:sz w:val="28"/>
                <w:szCs w:val="28"/>
                <w:shd w:val="clear" w:color="auto" w:fill="FFFFFF"/>
              </w:rPr>
              <w:t xml:space="preserve"> 其中：基本支出</w:t>
            </w:r>
            <w:r>
              <w:rPr>
                <w:rFonts w:hint="eastAsia" w:ascii="仿宋" w:hAnsi="仿宋" w:eastAsia="仿宋" w:cs="仿宋"/>
                <w:color w:val="333333"/>
                <w:sz w:val="28"/>
                <w:szCs w:val="28"/>
                <w:shd w:val="clear" w:color="auto" w:fill="FFFFFF"/>
                <w:lang w:val="en-US" w:eastAsia="zh-CN"/>
              </w:rPr>
              <w:t>903.93</w:t>
            </w:r>
            <w:r>
              <w:rPr>
                <w:rFonts w:hint="eastAsia" w:ascii="仿宋" w:hAnsi="仿宋" w:eastAsia="仿宋" w:cs="仿宋"/>
                <w:color w:val="333333"/>
                <w:sz w:val="28"/>
                <w:szCs w:val="28"/>
                <w:shd w:val="clear" w:color="auto" w:fill="FFFFFF"/>
              </w:rPr>
              <w:t>万元，项目支出</w:t>
            </w:r>
            <w:r>
              <w:rPr>
                <w:rFonts w:hint="eastAsia" w:ascii="仿宋" w:hAnsi="仿宋" w:eastAsia="仿宋" w:cs="仿宋"/>
                <w:sz w:val="28"/>
                <w:szCs w:val="28"/>
                <w:highlight w:val="white"/>
                <w:lang w:val="en-US" w:eastAsia="zh-CN"/>
              </w:rPr>
              <w:t>1932.63</w:t>
            </w:r>
            <w:r>
              <w:rPr>
                <w:rFonts w:hint="eastAsia" w:ascii="仿宋" w:hAnsi="仿宋" w:eastAsia="仿宋" w:cs="仿宋"/>
                <w:color w:val="333333"/>
                <w:sz w:val="28"/>
                <w:szCs w:val="28"/>
                <w:shd w:val="clear" w:color="auto" w:fill="FFFFFF"/>
              </w:rPr>
              <w:t>万元。</w:t>
            </w:r>
          </w:p>
          <w:p w14:paraId="1F60AD75">
            <w:pPr>
              <w:keepNext w:val="0"/>
              <w:keepLines w:val="0"/>
              <w:pageBreakBefore w:val="0"/>
              <w:numPr>
                <w:ilvl w:val="0"/>
                <w:numId w:val="1"/>
              </w:numPr>
              <w:kinsoku/>
              <w:wordWrap/>
              <w:overflowPunct/>
              <w:topLinePunct w:val="0"/>
              <w:autoSpaceDE w:val="0"/>
              <w:autoSpaceDN w:val="0"/>
              <w:bidi w:val="0"/>
              <w:adjustRightInd w:val="0"/>
              <w:snapToGrid/>
              <w:spacing w:line="520" w:lineRule="exact"/>
              <w:ind w:firstLine="562" w:firstLineChars="200"/>
              <w:jc w:val="left"/>
              <w:textAlignment w:val="auto"/>
              <w:rPr>
                <w:rFonts w:hint="eastAsia" w:ascii="仿宋" w:hAnsi="仿宋" w:eastAsia="仿宋" w:cs="仿宋"/>
                <w:kern w:val="0"/>
                <w:sz w:val="28"/>
                <w:szCs w:val="28"/>
                <w:highlight w:val="white"/>
                <w:lang w:eastAsia="zh-CN"/>
              </w:rPr>
            </w:pPr>
            <w:r>
              <w:rPr>
                <w:rFonts w:hint="eastAsia" w:ascii="仿宋" w:hAnsi="仿宋" w:eastAsia="仿宋" w:cs="仿宋"/>
                <w:b/>
                <w:bCs/>
                <w:color w:val="333333"/>
                <w:sz w:val="28"/>
                <w:szCs w:val="28"/>
                <w:shd w:val="clear" w:color="auto" w:fill="FFFFFF"/>
              </w:rPr>
              <w:t>基本支出</w:t>
            </w:r>
            <w:r>
              <w:rPr>
                <w:rFonts w:hint="eastAsia" w:ascii="仿宋" w:hAnsi="仿宋" w:eastAsia="仿宋" w:cs="仿宋"/>
                <w:color w:val="333333"/>
                <w:sz w:val="28"/>
                <w:szCs w:val="28"/>
                <w:shd w:val="clear" w:color="auto" w:fill="FFFFFF"/>
              </w:rPr>
              <w:t>：</w:t>
            </w:r>
            <w:r>
              <w:rPr>
                <w:rFonts w:hint="eastAsia" w:ascii="仿宋" w:hAnsi="仿宋" w:eastAsia="仿宋" w:cs="仿宋"/>
                <w:sz w:val="28"/>
                <w:szCs w:val="28"/>
                <w:highlight w:val="white"/>
                <w:lang w:val="zh-CN"/>
              </w:rPr>
              <w:t>20</w:t>
            </w:r>
            <w:r>
              <w:rPr>
                <w:rFonts w:hint="eastAsia" w:ascii="仿宋" w:hAnsi="仿宋" w:eastAsia="仿宋" w:cs="仿宋"/>
                <w:sz w:val="28"/>
                <w:szCs w:val="28"/>
                <w:highlight w:val="white"/>
                <w:lang w:val="en-US" w:eastAsia="zh-CN"/>
              </w:rPr>
              <w:t>20</w:t>
            </w:r>
            <w:r>
              <w:rPr>
                <w:rFonts w:hint="eastAsia" w:ascii="仿宋" w:hAnsi="仿宋" w:eastAsia="仿宋" w:cs="仿宋"/>
                <w:sz w:val="28"/>
                <w:szCs w:val="28"/>
                <w:highlight w:val="white"/>
                <w:lang w:val="zh-CN"/>
              </w:rPr>
              <w:t>年度</w:t>
            </w:r>
            <w:r>
              <w:rPr>
                <w:rFonts w:hint="eastAsia" w:ascii="仿宋" w:hAnsi="仿宋" w:eastAsia="仿宋" w:cs="仿宋"/>
                <w:kern w:val="0"/>
                <w:sz w:val="28"/>
                <w:szCs w:val="28"/>
                <w:highlight w:val="white"/>
              </w:rPr>
              <w:t>财政拨款基本支出</w:t>
            </w:r>
            <w:r>
              <w:rPr>
                <w:rFonts w:hint="eastAsia" w:ascii="仿宋" w:hAnsi="仿宋" w:eastAsia="仿宋" w:cs="仿宋"/>
                <w:kern w:val="0"/>
                <w:sz w:val="28"/>
                <w:szCs w:val="28"/>
                <w:highlight w:val="white"/>
                <w:lang w:val="en-US" w:eastAsia="zh-CN"/>
              </w:rPr>
              <w:t>903.93</w:t>
            </w:r>
            <w:r>
              <w:rPr>
                <w:rFonts w:hint="eastAsia" w:ascii="仿宋" w:hAnsi="仿宋" w:eastAsia="仿宋" w:cs="仿宋"/>
                <w:kern w:val="0"/>
                <w:sz w:val="28"/>
                <w:szCs w:val="28"/>
                <w:highlight w:val="white"/>
              </w:rPr>
              <w:t>万元，其中:人员经费67</w:t>
            </w:r>
            <w:r>
              <w:rPr>
                <w:rFonts w:hint="eastAsia" w:ascii="仿宋" w:hAnsi="仿宋" w:eastAsia="仿宋" w:cs="仿宋"/>
                <w:kern w:val="0"/>
                <w:sz w:val="28"/>
                <w:szCs w:val="28"/>
                <w:highlight w:val="white"/>
                <w:lang w:val="en-US" w:eastAsia="zh-CN"/>
              </w:rPr>
              <w:t>6.52</w:t>
            </w:r>
            <w:r>
              <w:rPr>
                <w:rFonts w:hint="eastAsia" w:ascii="仿宋" w:hAnsi="仿宋" w:eastAsia="仿宋" w:cs="仿宋"/>
                <w:kern w:val="0"/>
                <w:sz w:val="28"/>
                <w:szCs w:val="28"/>
                <w:highlight w:val="white"/>
              </w:rPr>
              <w:t>万元，主要包括基本工资、津贴补贴、</w:t>
            </w:r>
            <w:r>
              <w:rPr>
                <w:rFonts w:hint="eastAsia" w:ascii="仿宋" w:hAnsi="仿宋" w:eastAsia="仿宋" w:cs="仿宋"/>
                <w:kern w:val="0"/>
                <w:sz w:val="28"/>
                <w:szCs w:val="28"/>
                <w:highlight w:val="white"/>
                <w:lang w:val="zh-CN"/>
              </w:rPr>
              <w:t>奖金、绩效工资、机关事业单位基本养老保险缴费、职工基本医疗保险缴费、其他社会保障缴费、住房公积金、其他工资福利支出、抚恤金、其他对个人和家庭的补助等，公用支出</w:t>
            </w:r>
            <w:r>
              <w:rPr>
                <w:rFonts w:hint="eastAsia" w:ascii="仿宋" w:hAnsi="仿宋" w:eastAsia="仿宋" w:cs="仿宋"/>
                <w:kern w:val="0"/>
                <w:sz w:val="28"/>
                <w:szCs w:val="28"/>
                <w:highlight w:val="white"/>
                <w:lang w:val="en-US" w:eastAsia="zh-CN"/>
              </w:rPr>
              <w:t>227.41万元，</w:t>
            </w:r>
            <w:r>
              <w:rPr>
                <w:rFonts w:hint="eastAsia" w:ascii="仿宋" w:hAnsi="仿宋" w:eastAsia="仿宋" w:cs="仿宋"/>
                <w:kern w:val="0"/>
                <w:sz w:val="28"/>
                <w:szCs w:val="28"/>
                <w:highlight w:val="white"/>
              </w:rPr>
              <w:t>主要包括办公费、印刷费、咨询费、水费、电费、邮电费、差旅费、维修（护）费、会议费、培训费、公务接待费、劳务费、工会经费、福利费、其他交通费用、其他商品和服务支出、办公设备购置</w:t>
            </w:r>
            <w:r>
              <w:rPr>
                <w:rFonts w:hint="eastAsia" w:ascii="仿宋" w:hAnsi="仿宋" w:eastAsia="仿宋" w:cs="仿宋"/>
                <w:kern w:val="0"/>
                <w:sz w:val="28"/>
                <w:szCs w:val="28"/>
                <w:highlight w:val="white"/>
                <w:lang w:eastAsia="zh-CN"/>
              </w:rPr>
              <w:t>等</w:t>
            </w:r>
          </w:p>
          <w:p w14:paraId="5AF3FF48">
            <w:pPr>
              <w:keepNext w:val="0"/>
              <w:keepLines w:val="0"/>
              <w:pageBreakBefore w:val="0"/>
              <w:numPr>
                <w:ilvl w:val="0"/>
                <w:numId w:val="1"/>
              </w:numPr>
              <w:kinsoku/>
              <w:wordWrap/>
              <w:overflowPunct/>
              <w:topLinePunct w:val="0"/>
              <w:autoSpaceDE w:val="0"/>
              <w:autoSpaceDN w:val="0"/>
              <w:bidi w:val="0"/>
              <w:adjustRightInd w:val="0"/>
              <w:snapToGrid/>
              <w:spacing w:line="520" w:lineRule="exact"/>
              <w:ind w:firstLine="562" w:firstLineChars="200"/>
              <w:jc w:val="left"/>
              <w:textAlignment w:val="auto"/>
              <w:rPr>
                <w:rFonts w:hint="eastAsia" w:ascii="仿宋" w:hAnsi="仿宋" w:eastAsia="仿宋" w:cs="仿宋"/>
                <w:kern w:val="0"/>
                <w:sz w:val="28"/>
                <w:szCs w:val="28"/>
                <w:highlight w:val="white"/>
                <w:lang w:val="zh-CN" w:eastAsia="zh-CN"/>
              </w:rPr>
            </w:pPr>
            <w:r>
              <w:rPr>
                <w:rFonts w:hint="eastAsia" w:ascii="仿宋" w:hAnsi="仿宋" w:eastAsia="仿宋" w:cs="仿宋"/>
                <w:b/>
                <w:bCs/>
                <w:kern w:val="0"/>
                <w:sz w:val="28"/>
                <w:szCs w:val="28"/>
                <w:highlight w:val="white"/>
                <w:lang w:val="zh-CN" w:eastAsia="zh-CN"/>
              </w:rPr>
              <w:t>项目支出：</w:t>
            </w:r>
            <w:r>
              <w:rPr>
                <w:rFonts w:hint="eastAsia" w:ascii="仿宋" w:hAnsi="仿宋" w:eastAsia="仿宋" w:cs="仿宋"/>
                <w:kern w:val="0"/>
                <w:sz w:val="28"/>
                <w:szCs w:val="28"/>
                <w:highlight w:val="white"/>
                <w:lang w:val="en-US" w:eastAsia="zh-CN"/>
              </w:rPr>
              <w:t>1932.63万元，主要用于：驻村扶贫帮扶支出2万元、疫情防控专项支出12.4万元、突发公共卫生事件应急处理3.25万元、智慧华容建设专项支出1914.98万元</w:t>
            </w:r>
          </w:p>
          <w:p w14:paraId="34B64615">
            <w:pPr>
              <w:keepNext w:val="0"/>
              <w:keepLines w:val="0"/>
              <w:pageBreakBefore w:val="0"/>
              <w:shd w:val="clear" w:color="auto" w:fill="FFFFFF"/>
              <w:kinsoku/>
              <w:wordWrap/>
              <w:overflowPunct/>
              <w:topLinePunct w:val="0"/>
              <w:bidi w:val="0"/>
              <w:adjustRightInd w:val="0"/>
              <w:snapToGrid/>
              <w:spacing w:line="520" w:lineRule="exact"/>
              <w:ind w:firstLine="640"/>
              <w:textAlignment w:val="auto"/>
              <w:rPr>
                <w:rFonts w:hint="eastAsia" w:ascii="仿宋" w:hAnsi="仿宋" w:eastAsia="仿宋" w:cs="仿宋"/>
                <w:color w:val="686868"/>
                <w:sz w:val="28"/>
                <w:szCs w:val="28"/>
              </w:rPr>
            </w:pPr>
            <w:r>
              <w:rPr>
                <w:rFonts w:hint="eastAsia" w:ascii="仿宋" w:hAnsi="仿宋" w:eastAsia="仿宋" w:cs="仿宋"/>
                <w:b/>
                <w:bCs/>
                <w:color w:val="333333"/>
                <w:kern w:val="0"/>
                <w:sz w:val="28"/>
                <w:szCs w:val="28"/>
                <w:shd w:val="clear" w:color="auto" w:fill="FFFFFF"/>
              </w:rPr>
              <w:t>（三）三公”经费支出</w:t>
            </w:r>
            <w:r>
              <w:rPr>
                <w:rFonts w:hint="eastAsia" w:ascii="仿宋" w:hAnsi="仿宋" w:eastAsia="仿宋" w:cs="仿宋"/>
                <w:color w:val="333333"/>
                <w:kern w:val="0"/>
                <w:sz w:val="28"/>
                <w:szCs w:val="28"/>
                <w:shd w:val="clear" w:color="auto" w:fill="FFFFFF"/>
              </w:rPr>
              <w:t>：</w:t>
            </w:r>
            <w:r>
              <w:rPr>
                <w:rFonts w:hint="eastAsia" w:ascii="仿宋" w:hAnsi="仿宋" w:eastAsia="仿宋" w:cs="仿宋"/>
                <w:color w:val="333333"/>
                <w:kern w:val="0"/>
                <w:sz w:val="28"/>
                <w:szCs w:val="28"/>
                <w:shd w:val="clear" w:color="auto" w:fill="FFFFFF"/>
                <w:lang w:val="en-US" w:eastAsia="zh-CN"/>
              </w:rPr>
              <w:t>5.37</w:t>
            </w:r>
            <w:r>
              <w:rPr>
                <w:rFonts w:hint="eastAsia" w:ascii="仿宋" w:hAnsi="仿宋" w:eastAsia="仿宋" w:cs="仿宋"/>
                <w:color w:val="333333"/>
                <w:kern w:val="0"/>
                <w:sz w:val="28"/>
                <w:szCs w:val="28"/>
                <w:shd w:val="clear" w:color="auto" w:fill="FFFFFF"/>
              </w:rPr>
              <w:t>万元，</w:t>
            </w:r>
            <w:r>
              <w:rPr>
                <w:rFonts w:hint="eastAsia" w:ascii="仿宋" w:hAnsi="仿宋" w:eastAsia="仿宋" w:cs="仿宋"/>
                <w:color w:val="222222"/>
                <w:sz w:val="28"/>
                <w:szCs w:val="28"/>
                <w:shd w:val="clear" w:color="auto" w:fill="FFFFFF"/>
              </w:rPr>
              <w:t>全部为财政拨款资金，用于</w:t>
            </w:r>
            <w:r>
              <w:rPr>
                <w:rFonts w:hint="eastAsia" w:ascii="仿宋" w:hAnsi="仿宋" w:eastAsia="仿宋" w:cs="仿宋"/>
                <w:color w:val="333333"/>
                <w:kern w:val="0"/>
                <w:sz w:val="28"/>
                <w:szCs w:val="28"/>
                <w:shd w:val="clear" w:color="auto" w:fill="FFFFFF"/>
              </w:rPr>
              <w:t>公务接待</w:t>
            </w:r>
            <w:r>
              <w:rPr>
                <w:rFonts w:hint="eastAsia" w:ascii="仿宋" w:hAnsi="仿宋" w:eastAsia="仿宋" w:cs="仿宋"/>
                <w:color w:val="333333"/>
                <w:kern w:val="0"/>
                <w:sz w:val="28"/>
                <w:szCs w:val="28"/>
                <w:shd w:val="clear" w:color="auto" w:fill="FFFFFF"/>
                <w:lang w:val="en-US" w:eastAsia="zh-CN"/>
              </w:rPr>
              <w:t>5.37</w:t>
            </w:r>
            <w:r>
              <w:rPr>
                <w:rFonts w:hint="eastAsia" w:ascii="仿宋" w:hAnsi="仿宋" w:eastAsia="仿宋" w:cs="仿宋"/>
                <w:color w:val="333333"/>
                <w:kern w:val="0"/>
                <w:sz w:val="28"/>
                <w:szCs w:val="28"/>
                <w:shd w:val="clear" w:color="auto" w:fill="FFFFFF"/>
              </w:rPr>
              <w:t>万元，因公出国费、公务用车均为</w:t>
            </w:r>
            <w:r>
              <w:rPr>
                <w:rFonts w:hint="eastAsia" w:ascii="仿宋" w:hAnsi="仿宋" w:eastAsia="仿宋" w:cs="仿宋"/>
                <w:color w:val="333333"/>
                <w:kern w:val="0"/>
                <w:sz w:val="28"/>
                <w:szCs w:val="28"/>
                <w:shd w:val="clear" w:color="auto" w:fill="FFFFFF"/>
                <w:lang w:val="en-US" w:eastAsia="zh-CN"/>
              </w:rPr>
              <w:t>0，</w:t>
            </w:r>
            <w:r>
              <w:rPr>
                <w:rFonts w:hint="eastAsia" w:ascii="仿宋" w:hAnsi="仿宋" w:eastAsia="仿宋" w:cs="仿宋"/>
                <w:color w:val="333333"/>
                <w:kern w:val="0"/>
                <w:sz w:val="28"/>
                <w:szCs w:val="28"/>
                <w:shd w:val="clear" w:color="auto" w:fill="FFFFFF"/>
              </w:rPr>
              <w:t>与上年</w:t>
            </w:r>
            <w:r>
              <w:rPr>
                <w:rFonts w:hint="eastAsia" w:ascii="仿宋" w:hAnsi="仿宋" w:eastAsia="仿宋" w:cs="仿宋"/>
                <w:color w:val="333333"/>
                <w:kern w:val="0"/>
                <w:sz w:val="28"/>
                <w:szCs w:val="28"/>
                <w:shd w:val="clear" w:color="auto" w:fill="FFFFFF"/>
                <w:lang w:eastAsia="zh-CN"/>
              </w:rPr>
              <w:t>度</w:t>
            </w:r>
            <w:r>
              <w:rPr>
                <w:rFonts w:hint="eastAsia" w:ascii="仿宋" w:hAnsi="仿宋" w:eastAsia="仿宋" w:cs="仿宋"/>
                <w:color w:val="333333"/>
                <w:kern w:val="0"/>
                <w:sz w:val="28"/>
                <w:szCs w:val="28"/>
                <w:shd w:val="clear" w:color="auto" w:fill="FFFFFF"/>
                <w:lang w:val="en-US" w:eastAsia="zh-CN"/>
              </w:rPr>
              <w:t>6.29万元</w:t>
            </w:r>
            <w:r>
              <w:rPr>
                <w:rFonts w:hint="eastAsia" w:ascii="仿宋" w:hAnsi="仿宋" w:eastAsia="仿宋" w:cs="仿宋"/>
                <w:color w:val="333333"/>
                <w:kern w:val="0"/>
                <w:sz w:val="28"/>
                <w:szCs w:val="28"/>
                <w:shd w:val="clear" w:color="auto" w:fill="FFFFFF"/>
              </w:rPr>
              <w:t>相比，“三公”经费</w:t>
            </w:r>
            <w:r>
              <w:rPr>
                <w:rFonts w:hint="eastAsia" w:ascii="仿宋" w:hAnsi="仿宋" w:eastAsia="仿宋" w:cs="仿宋"/>
                <w:color w:val="333333"/>
                <w:kern w:val="0"/>
                <w:sz w:val="28"/>
                <w:szCs w:val="28"/>
                <w:shd w:val="clear" w:color="auto" w:fill="FFFFFF"/>
                <w:lang w:eastAsia="zh-CN"/>
              </w:rPr>
              <w:t>下降</w:t>
            </w:r>
            <w:r>
              <w:rPr>
                <w:rFonts w:hint="eastAsia" w:ascii="仿宋" w:hAnsi="仿宋" w:eastAsia="仿宋" w:cs="仿宋"/>
                <w:color w:val="333333"/>
                <w:kern w:val="0"/>
                <w:sz w:val="28"/>
                <w:szCs w:val="28"/>
                <w:shd w:val="clear" w:color="auto" w:fill="FFFFFF"/>
                <w:lang w:val="en-US" w:eastAsia="zh-CN"/>
              </w:rPr>
              <w:t>14.62%</w:t>
            </w:r>
            <w:r>
              <w:rPr>
                <w:rFonts w:hint="eastAsia" w:ascii="仿宋" w:hAnsi="仿宋" w:eastAsia="仿宋" w:cs="仿宋"/>
                <w:color w:val="333333"/>
                <w:kern w:val="0"/>
                <w:sz w:val="28"/>
                <w:szCs w:val="28"/>
                <w:shd w:val="clear" w:color="auto" w:fill="FFFFFF"/>
              </w:rPr>
              <w:t>，</w:t>
            </w:r>
            <w:r>
              <w:rPr>
                <w:rFonts w:hint="eastAsia" w:ascii="仿宋" w:hAnsi="仿宋" w:eastAsia="仿宋" w:cs="仿宋"/>
                <w:sz w:val="28"/>
                <w:szCs w:val="28"/>
              </w:rPr>
              <w:t>总体控制较好。</w:t>
            </w:r>
          </w:p>
          <w:p w14:paraId="2ADFF27E">
            <w:pPr>
              <w:keepNext w:val="0"/>
              <w:keepLines w:val="0"/>
              <w:pageBreakBefore w:val="0"/>
              <w:widowControl/>
              <w:shd w:val="clear" w:color="auto" w:fill="FFFFFF"/>
              <w:kinsoku/>
              <w:wordWrap/>
              <w:overflowPunct/>
              <w:topLinePunct w:val="0"/>
              <w:bidi w:val="0"/>
              <w:adjustRightInd w:val="0"/>
              <w:snapToGrid/>
              <w:spacing w:line="520" w:lineRule="exact"/>
              <w:ind w:firstLine="640"/>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四、20</w:t>
            </w:r>
            <w:r>
              <w:rPr>
                <w:rFonts w:hint="eastAsia" w:ascii="仿宋" w:hAnsi="仿宋" w:eastAsia="仿宋" w:cs="仿宋"/>
                <w:b/>
                <w:color w:val="333333"/>
                <w:kern w:val="0"/>
                <w:sz w:val="28"/>
                <w:szCs w:val="28"/>
                <w:lang w:val="en-US" w:eastAsia="zh-CN"/>
              </w:rPr>
              <w:t>20</w:t>
            </w:r>
            <w:r>
              <w:rPr>
                <w:rFonts w:hint="eastAsia" w:ascii="仿宋" w:hAnsi="仿宋" w:eastAsia="仿宋" w:cs="仿宋"/>
                <w:b/>
                <w:color w:val="333333"/>
                <w:kern w:val="0"/>
                <w:sz w:val="28"/>
                <w:szCs w:val="28"/>
              </w:rPr>
              <w:t>年度预算整体绩效评价情况</w:t>
            </w:r>
          </w:p>
          <w:p w14:paraId="5C8C3964">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
                <w:bCs w:val="0"/>
                <w:sz w:val="28"/>
                <w:szCs w:val="28"/>
                <w:lang w:eastAsia="zh-CN"/>
              </w:rPr>
            </w:pPr>
            <w:r>
              <w:rPr>
                <w:rFonts w:hint="eastAsia" w:ascii="仿宋" w:hAnsi="仿宋" w:eastAsia="仿宋" w:cs="仿宋"/>
                <w:color w:val="333333"/>
                <w:kern w:val="0"/>
                <w:sz w:val="28"/>
                <w:szCs w:val="28"/>
                <w:shd w:val="clear" w:color="auto" w:fill="FFFFFF"/>
              </w:rPr>
              <w:t>20</w:t>
            </w:r>
            <w:r>
              <w:rPr>
                <w:rFonts w:hint="eastAsia" w:ascii="仿宋" w:hAnsi="仿宋" w:eastAsia="仿宋" w:cs="仿宋"/>
                <w:color w:val="333333"/>
                <w:kern w:val="0"/>
                <w:sz w:val="28"/>
                <w:szCs w:val="28"/>
                <w:shd w:val="clear" w:color="auto" w:fill="FFFFFF"/>
                <w:lang w:val="en-US" w:eastAsia="zh-CN"/>
              </w:rPr>
              <w:t>20</w:t>
            </w:r>
            <w:r>
              <w:rPr>
                <w:rFonts w:hint="eastAsia" w:ascii="仿宋" w:hAnsi="仿宋" w:eastAsia="仿宋" w:cs="仿宋"/>
                <w:color w:val="333333"/>
                <w:kern w:val="0"/>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仿宋" w:hAnsi="仿宋" w:eastAsia="仿宋" w:cs="仿宋"/>
                <w:color w:val="333333"/>
                <w:kern w:val="0"/>
                <w:sz w:val="28"/>
                <w:szCs w:val="28"/>
                <w:shd w:val="clear" w:color="auto" w:fill="FFFFFF"/>
                <w:lang w:eastAsia="zh-CN"/>
              </w:rPr>
              <w:t>。</w:t>
            </w:r>
          </w:p>
          <w:p w14:paraId="5041A55F">
            <w:pPr>
              <w:keepNext w:val="0"/>
              <w:keepLines w:val="0"/>
              <w:pageBreakBefore w:val="0"/>
              <w:widowControl/>
              <w:shd w:val="clear" w:color="auto" w:fill="FFFFFF"/>
              <w:kinsoku/>
              <w:wordWrap/>
              <w:overflowPunct/>
              <w:topLinePunct w:val="0"/>
              <w:bidi w:val="0"/>
              <w:adjustRightInd w:val="0"/>
              <w:snapToGrid/>
              <w:spacing w:line="520" w:lineRule="exact"/>
              <w:ind w:firstLine="562" w:firstLineChars="200"/>
              <w:jc w:val="left"/>
              <w:textAlignment w:val="auto"/>
              <w:rPr>
                <w:rFonts w:hint="eastAsia" w:ascii="仿宋" w:hAnsi="仿宋" w:eastAsia="仿宋" w:cs="仿宋"/>
                <w:b/>
                <w:color w:val="333333"/>
                <w:sz w:val="28"/>
                <w:szCs w:val="28"/>
                <w:shd w:val="clear" w:color="auto" w:fill="FFFFFF"/>
                <w:lang w:eastAsia="zh-CN"/>
              </w:rPr>
            </w:pPr>
            <w:r>
              <w:rPr>
                <w:rFonts w:hint="eastAsia" w:ascii="仿宋" w:hAnsi="仿宋" w:eastAsia="仿宋" w:cs="仿宋"/>
                <w:b/>
                <w:color w:val="333333"/>
                <w:sz w:val="28"/>
                <w:szCs w:val="28"/>
                <w:shd w:val="clear" w:color="auto" w:fill="FFFFFF"/>
                <w:lang w:eastAsia="zh-CN"/>
              </w:rPr>
              <w:t>五、存在的问题</w:t>
            </w:r>
          </w:p>
          <w:p w14:paraId="7C7F8C60">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rPr>
              <w:t>由于不确定因素较多，年初预算方案编制不够精准，不够全面</w:t>
            </w:r>
            <w:r>
              <w:rPr>
                <w:rFonts w:hint="eastAsia" w:ascii="仿宋" w:hAnsi="仿宋" w:eastAsia="仿宋" w:cs="仿宋"/>
                <w:color w:val="333333"/>
                <w:kern w:val="0"/>
                <w:sz w:val="28"/>
                <w:szCs w:val="28"/>
                <w:lang w:eastAsia="zh-CN"/>
              </w:rPr>
              <w:t>导致</w:t>
            </w:r>
            <w:r>
              <w:rPr>
                <w:rFonts w:hint="eastAsia" w:ascii="仿宋" w:hAnsi="仿宋" w:eastAsia="仿宋" w:cs="仿宋"/>
                <w:color w:val="333333"/>
                <w:kern w:val="0"/>
                <w:sz w:val="28"/>
                <w:szCs w:val="28"/>
                <w:lang w:val="en-US" w:eastAsia="zh-CN" w:bidi="ar"/>
              </w:rPr>
              <w:t>项目支出预算调整率较高。主要原因是智慧华容建设项目资本金通过我局预算内拨款直接转拨付至项目单位，而导致年中项目支出调整较大。</w:t>
            </w:r>
          </w:p>
          <w:p w14:paraId="2286B2BE">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对部门整体支出绩效管理工作的认识不够深入，业务知识存在盲区。</w:t>
            </w:r>
          </w:p>
          <w:p w14:paraId="2E6A4A4E">
            <w:pPr>
              <w:keepNext w:val="0"/>
              <w:keepLines w:val="0"/>
              <w:pageBreakBefore w:val="0"/>
              <w:kinsoku/>
              <w:wordWrap/>
              <w:overflowPunct/>
              <w:topLinePunct w:val="0"/>
              <w:bidi w:val="0"/>
              <w:snapToGrid/>
              <w:spacing w:line="520" w:lineRule="exact"/>
              <w:ind w:firstLine="562" w:firstLineChars="200"/>
              <w:textAlignment w:val="auto"/>
              <w:rPr>
                <w:rFonts w:hint="eastAsia" w:ascii="仿宋" w:hAnsi="仿宋" w:eastAsia="仿宋" w:cs="仿宋"/>
                <w:b/>
                <w:bCs/>
                <w:color w:val="333333"/>
                <w:kern w:val="0"/>
                <w:sz w:val="28"/>
                <w:szCs w:val="28"/>
                <w:lang w:val="en-US" w:eastAsia="zh-CN" w:bidi="ar"/>
              </w:rPr>
            </w:pPr>
            <w:r>
              <w:rPr>
                <w:rFonts w:hint="eastAsia" w:ascii="仿宋" w:hAnsi="仿宋" w:eastAsia="仿宋" w:cs="仿宋"/>
                <w:b/>
                <w:bCs/>
                <w:color w:val="333333"/>
                <w:kern w:val="0"/>
                <w:sz w:val="28"/>
                <w:szCs w:val="28"/>
                <w:lang w:val="en-US" w:eastAsia="zh-CN" w:bidi="ar"/>
              </w:rPr>
              <w:t>六、改进措施和有关建议</w:t>
            </w:r>
          </w:p>
          <w:p w14:paraId="27AC87AF">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加强预算管理培训，做到科学合理编制部门预算，推进预算编制科学化、精准化、规范;加强业务知识学习，提升认识，突出重点，兼顾全面，做好目标绩效管理工作; 牢固树立过紧日子的大局意识，继续做好厉行节约，积极争取项目资金，缓解财政资金压力。</w:t>
            </w:r>
          </w:p>
          <w:p w14:paraId="2FA5B81D">
            <w:pPr>
              <w:spacing w:line="560" w:lineRule="exact"/>
              <w:ind w:firstLine="560" w:firstLineChars="200"/>
              <w:rPr>
                <w:rFonts w:hint="eastAsia" w:ascii="仿宋_GB2312" w:hAnsi="仿宋_GB2312" w:eastAsia="仿宋_GB2312" w:cs="仿宋_GB2312"/>
                <w:bCs/>
                <w:sz w:val="28"/>
                <w:szCs w:val="28"/>
              </w:rPr>
            </w:pPr>
          </w:p>
          <w:p w14:paraId="2C43102A">
            <w:pPr>
              <w:rPr>
                <w:rFonts w:eastAsia="楷体_GB2312"/>
                <w:bCs/>
                <w:sz w:val="28"/>
                <w:szCs w:val="28"/>
              </w:rPr>
            </w:pPr>
          </w:p>
        </w:tc>
      </w:tr>
    </w:tbl>
    <w:p w14:paraId="1CF36C6A">
      <w:pPr>
        <w:spacing w:line="348" w:lineRule="auto"/>
        <w:rPr>
          <w:rFonts w:eastAsia="楷体_GB2312"/>
          <w:bCs/>
          <w:sz w:val="28"/>
          <w:szCs w:val="28"/>
        </w:rPr>
      </w:pPr>
    </w:p>
    <w:p w14:paraId="40E79B87">
      <w:pPr>
        <w:tabs>
          <w:tab w:val="left" w:pos="4973"/>
        </w:tabs>
        <w:bidi w:val="0"/>
        <w:jc w:val="left"/>
        <w:rPr>
          <w:rFonts w:hint="eastAsia"/>
          <w:lang w:val="en-US" w:eastAsia="zh-CN"/>
        </w:rPr>
      </w:pPr>
      <w:r>
        <w:rPr>
          <w:rFonts w:eastAsia="楷体_GB2312"/>
          <w:bCs/>
          <w:sz w:val="28"/>
          <w:szCs w:val="28"/>
        </w:rPr>
        <w:br w:type="page"/>
      </w:r>
    </w:p>
    <w:p w14:paraId="365761AA">
      <w:pPr>
        <w:tabs>
          <w:tab w:val="left" w:pos="4973"/>
        </w:tabs>
        <w:bidi w:val="0"/>
        <w:jc w:val="left"/>
        <w:rPr>
          <w:rFonts w:hint="eastAsia"/>
          <w:lang w:val="en-US" w:eastAsia="zh-CN"/>
        </w:rPr>
      </w:pPr>
    </w:p>
    <w:p w14:paraId="12A541F6">
      <w:pPr>
        <w:rPr>
          <w:rFonts w:ascii="黑体" w:hAnsi="黑体" w:eastAsia="黑体"/>
          <w:sz w:val="32"/>
          <w:szCs w:val="32"/>
        </w:rPr>
      </w:pPr>
      <w:r>
        <w:rPr>
          <w:rFonts w:hint="eastAsia" w:ascii="黑体" w:hAnsi="黑体" w:eastAsia="黑体"/>
          <w:sz w:val="32"/>
          <w:szCs w:val="32"/>
        </w:rPr>
        <w:t>附件3-1</w:t>
      </w:r>
    </w:p>
    <w:p w14:paraId="197A8F07">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7851FAC">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457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14:paraId="09D2707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14:paraId="427602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25E7ADF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14:paraId="5D8F68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14:paraId="66DE93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14:paraId="4F57061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4720DC71">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14:paraId="6BC956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14:paraId="187043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4733E3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046C94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14:paraId="68F560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14:paraId="1EAA26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2543630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1EDBF8EF">
            <w:pPr>
              <w:widowControl/>
              <w:spacing w:line="240" w:lineRule="exact"/>
              <w:jc w:val="left"/>
              <w:rPr>
                <w:rFonts w:ascii="仿宋_GB2312" w:hAnsi="宋体" w:eastAsia="仿宋_GB2312" w:cs="宋体"/>
                <w:color w:val="000000"/>
                <w:kern w:val="0"/>
                <w:sz w:val="18"/>
                <w:szCs w:val="18"/>
              </w:rPr>
            </w:pPr>
          </w:p>
        </w:tc>
      </w:tr>
      <w:tr w14:paraId="21491FAD">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5FDBF4A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4733A23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6454BE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14:paraId="16F30A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14:paraId="5D0EAE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635802F9">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7A3081B6">
            <w:pPr>
              <w:widowControl/>
              <w:spacing w:line="240" w:lineRule="exact"/>
              <w:jc w:val="left"/>
              <w:rPr>
                <w:rFonts w:ascii="仿宋_GB2312" w:hAnsi="宋体" w:eastAsia="仿宋_GB2312" w:cs="宋体"/>
                <w:color w:val="000000"/>
                <w:kern w:val="0"/>
                <w:sz w:val="18"/>
                <w:szCs w:val="18"/>
              </w:rPr>
            </w:pPr>
          </w:p>
        </w:tc>
      </w:tr>
      <w:tr w14:paraId="1724181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5B6CE3F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5BC83CA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60E0CA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14:paraId="0383F4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14:paraId="0FECD6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14:paraId="71F348B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14:paraId="1A4F85F8">
            <w:pPr>
              <w:widowControl/>
              <w:spacing w:line="240" w:lineRule="exact"/>
              <w:jc w:val="left"/>
              <w:rPr>
                <w:rFonts w:ascii="仿宋_GB2312" w:hAnsi="宋体" w:eastAsia="仿宋_GB2312" w:cs="宋体"/>
                <w:color w:val="000000"/>
                <w:kern w:val="0"/>
                <w:sz w:val="18"/>
                <w:szCs w:val="18"/>
              </w:rPr>
            </w:pPr>
          </w:p>
        </w:tc>
      </w:tr>
      <w:tr w14:paraId="7B6CB697">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14:paraId="692ED8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14:paraId="0B4D21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145D70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14:paraId="0EF966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14:paraId="614C44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0BCEF8B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7CC5D4BC">
            <w:pPr>
              <w:widowControl/>
              <w:spacing w:line="240" w:lineRule="exact"/>
              <w:jc w:val="center"/>
              <w:rPr>
                <w:rFonts w:ascii="仿宋_GB2312" w:hAnsi="宋体" w:eastAsia="仿宋_GB2312" w:cs="宋体"/>
                <w:color w:val="000000"/>
                <w:kern w:val="0"/>
                <w:sz w:val="18"/>
                <w:szCs w:val="18"/>
              </w:rPr>
            </w:pPr>
          </w:p>
        </w:tc>
      </w:tr>
      <w:tr w14:paraId="6DAFBD16">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65AFA9B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70319F1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4766AE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14:paraId="27461F3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14:paraId="7AA5A3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369CBE0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67DF3E62">
            <w:pPr>
              <w:widowControl/>
              <w:spacing w:line="240" w:lineRule="exact"/>
              <w:jc w:val="center"/>
              <w:rPr>
                <w:rFonts w:ascii="仿宋_GB2312" w:hAnsi="宋体" w:eastAsia="仿宋_GB2312" w:cs="宋体"/>
                <w:color w:val="000000"/>
                <w:kern w:val="0"/>
                <w:sz w:val="18"/>
                <w:szCs w:val="18"/>
              </w:rPr>
            </w:pPr>
          </w:p>
        </w:tc>
      </w:tr>
      <w:tr w14:paraId="78A9C782">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679FD5C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7B8AFB1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66BC52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14:paraId="019713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14:paraId="41BD5A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6193429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14:paraId="5AB47E16">
            <w:pPr>
              <w:widowControl/>
              <w:spacing w:line="240" w:lineRule="exact"/>
              <w:jc w:val="center"/>
              <w:rPr>
                <w:rFonts w:ascii="仿宋_GB2312" w:hAnsi="宋体" w:eastAsia="仿宋_GB2312" w:cs="宋体"/>
                <w:color w:val="000000"/>
                <w:kern w:val="0"/>
                <w:sz w:val="18"/>
                <w:szCs w:val="18"/>
              </w:rPr>
            </w:pPr>
          </w:p>
        </w:tc>
      </w:tr>
      <w:tr w14:paraId="28A365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53AB87E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481DBFB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34EF05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14:paraId="524E06C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14:paraId="7288B4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14:paraId="2D41760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14:paraId="38B317C9">
            <w:pPr>
              <w:widowControl/>
              <w:spacing w:line="240" w:lineRule="exact"/>
              <w:jc w:val="center"/>
              <w:rPr>
                <w:rFonts w:ascii="仿宋_GB2312" w:hAnsi="宋体" w:eastAsia="仿宋_GB2312" w:cs="宋体"/>
                <w:color w:val="000000"/>
                <w:kern w:val="0"/>
                <w:sz w:val="18"/>
                <w:szCs w:val="18"/>
              </w:rPr>
            </w:pPr>
          </w:p>
        </w:tc>
      </w:tr>
      <w:tr w14:paraId="4DC72918">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31E733A8">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14:paraId="7EF253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14:paraId="287736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14:paraId="74C0B6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14:paraId="70C02E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58542F8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14:paraId="4652A66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相关管理制度得到有效执行</w:t>
            </w:r>
          </w:p>
        </w:tc>
      </w:tr>
      <w:tr w14:paraId="563724E5">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14:paraId="1833061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14:paraId="5CF013C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14:paraId="05E201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14:paraId="601E774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14:paraId="7DC088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14:paraId="4DC086E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14:paraId="100D1F9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有关专项资金管理办法的规定</w:t>
            </w:r>
          </w:p>
        </w:tc>
      </w:tr>
      <w:tr w14:paraId="44524C8C">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3B1EE91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38600CF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57660B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14:paraId="6E8D39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14:paraId="36D9C8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5E2B2C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4FFBDA23">
            <w:pPr>
              <w:widowControl/>
              <w:spacing w:line="240" w:lineRule="exact"/>
              <w:jc w:val="center"/>
              <w:rPr>
                <w:rFonts w:ascii="仿宋_GB2312" w:hAnsi="宋体" w:eastAsia="仿宋_GB2312" w:cs="宋体"/>
                <w:kern w:val="0"/>
                <w:sz w:val="18"/>
                <w:szCs w:val="18"/>
              </w:rPr>
            </w:pPr>
          </w:p>
        </w:tc>
      </w:tr>
      <w:tr w14:paraId="2C326215">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59BB570E">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14:paraId="686FD9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14:paraId="07F97E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4DF85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14:paraId="0FA87E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14:paraId="68EDC0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25E67E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14:paraId="54419277">
            <w:pPr>
              <w:widowControl/>
              <w:spacing w:line="240" w:lineRule="exact"/>
              <w:jc w:val="center"/>
              <w:rPr>
                <w:rFonts w:ascii="仿宋_GB2312" w:hAnsi="宋体" w:eastAsia="仿宋_GB2312" w:cs="宋体"/>
                <w:kern w:val="0"/>
                <w:sz w:val="18"/>
                <w:szCs w:val="18"/>
              </w:rPr>
            </w:pPr>
          </w:p>
        </w:tc>
      </w:tr>
      <w:tr w14:paraId="340BE888">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22C2B5C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14:paraId="1458847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14:paraId="66CC99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14:paraId="159E508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14:paraId="3F0AA4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2FD5F5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14:paraId="11503C3C">
            <w:pPr>
              <w:widowControl/>
              <w:spacing w:line="240" w:lineRule="exact"/>
              <w:jc w:val="center"/>
              <w:rPr>
                <w:rFonts w:ascii="仿宋_GB2312" w:hAnsi="宋体" w:eastAsia="仿宋_GB2312" w:cs="宋体"/>
                <w:kern w:val="0"/>
                <w:sz w:val="18"/>
                <w:szCs w:val="18"/>
              </w:rPr>
            </w:pPr>
          </w:p>
        </w:tc>
      </w:tr>
      <w:tr w14:paraId="639C282A">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14:paraId="0910C07C">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14:paraId="18ACE8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14:paraId="2CDA94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14:paraId="56B407B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14:paraId="6C874D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14:paraId="0B12C1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14:paraId="505472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相关资产管理制度得到有效执行</w:t>
            </w:r>
          </w:p>
        </w:tc>
      </w:tr>
    </w:tbl>
    <w:p w14:paraId="0AF488C4"/>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51960C0F">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A749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BDC0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14:paraId="613DC6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14:paraId="74062DD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14:paraId="0335EC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14:paraId="7A4CD9D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14:paraId="5430C9C4">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2D1DD7">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166E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2A661A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82141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14:paraId="7D3320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14:paraId="1C36817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14:paraId="2677C8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14:paraId="70BEC6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14:paraId="3453A614">
            <w:pPr>
              <w:widowControl/>
              <w:spacing w:line="240" w:lineRule="exact"/>
              <w:jc w:val="center"/>
              <w:rPr>
                <w:rFonts w:ascii="仿宋_GB2312" w:hAnsi="宋体" w:eastAsia="仿宋_GB2312" w:cs="宋体"/>
                <w:kern w:val="0"/>
                <w:sz w:val="18"/>
                <w:szCs w:val="18"/>
              </w:rPr>
            </w:pPr>
          </w:p>
        </w:tc>
      </w:tr>
      <w:tr w14:paraId="579F895B">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1332E80E">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5826D57E">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FC919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14:paraId="56C7B0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14:paraId="115E22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14:paraId="008E31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14:paraId="41E0C170">
            <w:pPr>
              <w:widowControl/>
              <w:spacing w:line="240" w:lineRule="exact"/>
              <w:jc w:val="center"/>
              <w:rPr>
                <w:rFonts w:ascii="仿宋_GB2312" w:hAnsi="宋体" w:eastAsia="仿宋_GB2312" w:cs="宋体"/>
                <w:kern w:val="0"/>
                <w:sz w:val="18"/>
                <w:szCs w:val="18"/>
              </w:rPr>
            </w:pPr>
          </w:p>
        </w:tc>
      </w:tr>
      <w:tr w14:paraId="5277F2DF">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14:paraId="074D86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14:paraId="63F54BD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14:paraId="3F5632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14:paraId="653FA6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14:paraId="74FF654A">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14:paraId="3F8186A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14:paraId="20D4FF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14:paraId="15F0597B">
            <w:pPr>
              <w:widowControl/>
              <w:spacing w:line="240" w:lineRule="exact"/>
              <w:jc w:val="center"/>
              <w:rPr>
                <w:rFonts w:ascii="仿宋_GB2312" w:hAnsi="宋体" w:eastAsia="仿宋_GB2312" w:cs="宋体"/>
                <w:kern w:val="0"/>
                <w:sz w:val="18"/>
                <w:szCs w:val="18"/>
              </w:rPr>
            </w:pPr>
          </w:p>
        </w:tc>
      </w:tr>
      <w:tr w14:paraId="4ACBD059">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4E8F1DD6">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05ED19A0">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467DC9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1A1B5291">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14:paraId="448222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14:paraId="7B07B1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14:paraId="19C918C3">
            <w:pPr>
              <w:widowControl/>
              <w:spacing w:line="240" w:lineRule="exact"/>
              <w:jc w:val="center"/>
              <w:rPr>
                <w:rFonts w:ascii="仿宋_GB2312" w:hAnsi="宋体" w:eastAsia="仿宋_GB2312" w:cs="宋体"/>
                <w:kern w:val="0"/>
                <w:sz w:val="18"/>
                <w:szCs w:val="18"/>
              </w:rPr>
            </w:pPr>
          </w:p>
        </w:tc>
      </w:tr>
      <w:tr w14:paraId="7A59EBD2">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0FC6E246">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2070619A">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0CFB3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367EA88E">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14:paraId="4A1C65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14:paraId="20F013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14:paraId="526F823F">
            <w:pPr>
              <w:widowControl/>
              <w:spacing w:line="240" w:lineRule="exact"/>
              <w:jc w:val="center"/>
              <w:rPr>
                <w:rFonts w:ascii="仿宋_GB2312" w:hAnsi="宋体" w:eastAsia="仿宋_GB2312" w:cs="宋体"/>
                <w:kern w:val="0"/>
                <w:sz w:val="18"/>
                <w:szCs w:val="18"/>
              </w:rPr>
            </w:pPr>
          </w:p>
        </w:tc>
      </w:tr>
      <w:tr w14:paraId="43E57469">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47E02235">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7B13143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1F5D33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148CC381">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14:paraId="6B0824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14:paraId="319001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14:paraId="0E665977">
            <w:pPr>
              <w:widowControl/>
              <w:spacing w:line="240" w:lineRule="exact"/>
              <w:jc w:val="center"/>
              <w:rPr>
                <w:rFonts w:ascii="仿宋_GB2312" w:hAnsi="宋体" w:eastAsia="仿宋_GB2312" w:cs="宋体"/>
                <w:kern w:val="0"/>
                <w:sz w:val="18"/>
                <w:szCs w:val="18"/>
              </w:rPr>
            </w:pPr>
          </w:p>
        </w:tc>
      </w:tr>
      <w:tr w14:paraId="00403A8B">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4EB68733">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62C8CB1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36C6E8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09894CF6">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14:paraId="628C51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14:paraId="318E85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14:paraId="3DDA549A">
            <w:pPr>
              <w:widowControl/>
              <w:spacing w:line="240" w:lineRule="exact"/>
              <w:jc w:val="center"/>
              <w:rPr>
                <w:rFonts w:ascii="仿宋_GB2312" w:hAnsi="宋体" w:eastAsia="仿宋_GB2312" w:cs="宋体"/>
                <w:kern w:val="0"/>
                <w:sz w:val="18"/>
                <w:szCs w:val="18"/>
              </w:rPr>
            </w:pPr>
          </w:p>
        </w:tc>
      </w:tr>
      <w:tr w14:paraId="6D4A2851">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14:paraId="613C39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14:paraId="3E765D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14:paraId="23A6D0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14:paraId="79EB744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6E742B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14:paraId="2F94A3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14:paraId="188BAF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14:paraId="4DF7A54F">
            <w:pPr>
              <w:widowControl/>
              <w:spacing w:line="240" w:lineRule="exact"/>
              <w:jc w:val="center"/>
              <w:rPr>
                <w:rFonts w:ascii="仿宋_GB2312" w:hAnsi="宋体" w:eastAsia="仿宋_GB2312" w:cs="宋体"/>
                <w:kern w:val="0"/>
                <w:sz w:val="18"/>
                <w:szCs w:val="18"/>
              </w:rPr>
            </w:pPr>
          </w:p>
        </w:tc>
      </w:tr>
      <w:tr w14:paraId="70C09126">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5CDB8694">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4576C82E">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B6EF3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3ECB3DD0">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14:paraId="6AE083F4">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14:paraId="51E1AB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14:paraId="5C310CC9">
            <w:pPr>
              <w:widowControl/>
              <w:spacing w:line="240" w:lineRule="exact"/>
              <w:jc w:val="center"/>
              <w:rPr>
                <w:rFonts w:ascii="仿宋_GB2312" w:hAnsi="宋体" w:eastAsia="仿宋_GB2312" w:cs="宋体"/>
                <w:kern w:val="0"/>
                <w:sz w:val="18"/>
                <w:szCs w:val="18"/>
              </w:rPr>
            </w:pPr>
          </w:p>
        </w:tc>
      </w:tr>
      <w:tr w14:paraId="21F358DE">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14:paraId="7E2E1EA4">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14:paraId="6C17C855">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59F006F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14:paraId="0ACF2F88">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14:paraId="720D2858">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14:paraId="7D1D62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14:paraId="6E2A2631">
            <w:pPr>
              <w:widowControl/>
              <w:spacing w:line="240" w:lineRule="exact"/>
              <w:jc w:val="center"/>
              <w:rPr>
                <w:rFonts w:ascii="仿宋_GB2312" w:hAnsi="宋体" w:eastAsia="仿宋_GB2312" w:cs="宋体"/>
                <w:kern w:val="0"/>
                <w:sz w:val="18"/>
                <w:szCs w:val="18"/>
              </w:rPr>
            </w:pPr>
          </w:p>
        </w:tc>
      </w:tr>
      <w:tr w14:paraId="7E9E7527">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14:paraId="16472D3A">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14:paraId="030D221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14:paraId="2B0480E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14:paraId="7F5E67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1F8CD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314C422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37A362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14:paraId="3A53FC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14:paraId="5D8958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14:paraId="728C1578">
            <w:pPr>
              <w:widowControl/>
              <w:spacing w:line="240" w:lineRule="exact"/>
              <w:jc w:val="center"/>
              <w:rPr>
                <w:rFonts w:ascii="仿宋_GB2312" w:hAnsi="宋体" w:eastAsia="仿宋_GB2312" w:cs="宋体"/>
                <w:kern w:val="0"/>
                <w:sz w:val="18"/>
                <w:szCs w:val="18"/>
              </w:rPr>
            </w:pPr>
          </w:p>
        </w:tc>
      </w:tr>
      <w:tr w14:paraId="143D711E">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14:paraId="0E26B3A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14:paraId="6E31996F">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14:paraId="1BB91A06">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14:paraId="0B919311">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14:paraId="78AFB41B">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14:paraId="24F7C4A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5" w:type="dxa"/>
            <w:tcBorders>
              <w:top w:val="nil"/>
              <w:left w:val="nil"/>
              <w:bottom w:val="single" w:color="auto" w:sz="4" w:space="0"/>
              <w:right w:val="single" w:color="auto" w:sz="4" w:space="0"/>
            </w:tcBorders>
            <w:noWrap/>
            <w:vAlign w:val="center"/>
          </w:tcPr>
          <w:p w14:paraId="300B7125">
            <w:pPr>
              <w:widowControl/>
              <w:spacing w:line="240" w:lineRule="exact"/>
              <w:jc w:val="center"/>
              <w:rPr>
                <w:rFonts w:ascii="仿宋_GB2312" w:hAnsi="宋体" w:eastAsia="仿宋_GB2312" w:cs="宋体"/>
                <w:b/>
                <w:bCs/>
                <w:kern w:val="0"/>
                <w:sz w:val="18"/>
                <w:szCs w:val="18"/>
              </w:rPr>
            </w:pPr>
          </w:p>
        </w:tc>
      </w:tr>
    </w:tbl>
    <w:p w14:paraId="346FACBE">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14:paraId="06DC704B">
      <w:pPr>
        <w:tabs>
          <w:tab w:val="left" w:pos="4973"/>
        </w:tabs>
        <w:bidi w:val="0"/>
        <w:jc w:val="left"/>
        <w:rPr>
          <w:rFonts w:hint="eastAsia"/>
          <w:lang w:val="en-US" w:eastAsia="zh-CN"/>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653F">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14:paraId="6F37581A">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7E05">
    <w:pPr>
      <w:framePr w:wrap="around" w:vAnchor="text" w:hAnchor="margin" w:xAlign="outside" w:y="1"/>
    </w:pPr>
    <w:r>
      <w:fldChar w:fldCharType="begin"/>
    </w:r>
    <w:r>
      <w:instrText xml:space="preserve">PAGE  </w:instrText>
    </w:r>
    <w:r>
      <w:fldChar w:fldCharType="separate"/>
    </w:r>
    <w:r>
      <w:t>- 15 -</w:t>
    </w:r>
    <w:r>
      <w:fldChar w:fldCharType="end"/>
    </w:r>
  </w:p>
  <w:p w14:paraId="4EE9FF36">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9F1C">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7</w:t>
    </w:r>
    <w:r>
      <w:rPr>
        <w:sz w:val="24"/>
        <w:szCs w:val="24"/>
      </w:rPr>
      <w:fldChar w:fldCharType="end"/>
    </w:r>
    <w:r>
      <w:rPr>
        <w:rStyle w:val="6"/>
        <w:rFonts w:hint="eastAsia"/>
        <w:sz w:val="24"/>
        <w:szCs w:val="24"/>
      </w:rPr>
      <w:t xml:space="preserve"> —</w:t>
    </w:r>
  </w:p>
  <w:p w14:paraId="01C8DF8E">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EAF41">
    <w:pPr>
      <w:pStyle w:val="3"/>
      <w:framePr w:wrap="around" w:vAnchor="text" w:hAnchor="margin" w:xAlign="outside" w:y="1"/>
      <w:rPr>
        <w:rStyle w:val="6"/>
      </w:rPr>
    </w:pPr>
    <w:r>
      <w:fldChar w:fldCharType="begin"/>
    </w:r>
    <w:r>
      <w:rPr>
        <w:rStyle w:val="6"/>
      </w:rPr>
      <w:instrText xml:space="preserve">PAGE  </w:instrText>
    </w:r>
    <w:r>
      <w:fldChar w:fldCharType="end"/>
    </w:r>
  </w:p>
  <w:p w14:paraId="4DDB905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235E"/>
    <w:multiLevelType w:val="singleLevel"/>
    <w:tmpl w:val="37FF23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llNGViMzY5ZGZiMWVhNDgzMWEwZDhmMGFiNzc5OGQifQ=="/>
  </w:docVars>
  <w:rsids>
    <w:rsidRoot w:val="2CE55C20"/>
    <w:rsid w:val="001264F1"/>
    <w:rsid w:val="003760CE"/>
    <w:rsid w:val="007B2063"/>
    <w:rsid w:val="008738D3"/>
    <w:rsid w:val="00DF7A03"/>
    <w:rsid w:val="00EF22A4"/>
    <w:rsid w:val="031B35DF"/>
    <w:rsid w:val="048462A0"/>
    <w:rsid w:val="076024BD"/>
    <w:rsid w:val="08200924"/>
    <w:rsid w:val="083749E7"/>
    <w:rsid w:val="0DE528CD"/>
    <w:rsid w:val="18725427"/>
    <w:rsid w:val="1F532564"/>
    <w:rsid w:val="254E2FC7"/>
    <w:rsid w:val="263C173A"/>
    <w:rsid w:val="2CA33441"/>
    <w:rsid w:val="2CE55C20"/>
    <w:rsid w:val="2F287302"/>
    <w:rsid w:val="30426D13"/>
    <w:rsid w:val="3A1A7669"/>
    <w:rsid w:val="3A43255A"/>
    <w:rsid w:val="3D6201A1"/>
    <w:rsid w:val="3EC46785"/>
    <w:rsid w:val="3F8A6044"/>
    <w:rsid w:val="42945A28"/>
    <w:rsid w:val="477245B4"/>
    <w:rsid w:val="4C7B0AA8"/>
    <w:rsid w:val="4DBC60A9"/>
    <w:rsid w:val="4E4F0BB0"/>
    <w:rsid w:val="547A48C4"/>
    <w:rsid w:val="5BE95901"/>
    <w:rsid w:val="688A1944"/>
    <w:rsid w:val="68A84E4E"/>
    <w:rsid w:val="6A0A15CD"/>
    <w:rsid w:val="6DF352BD"/>
    <w:rsid w:val="6E8462A7"/>
    <w:rsid w:val="705E3E6D"/>
    <w:rsid w:val="712D68AD"/>
    <w:rsid w:val="71C1048A"/>
    <w:rsid w:val="73F35F5B"/>
    <w:rsid w:val="773B6C47"/>
    <w:rsid w:val="79161F78"/>
    <w:rsid w:val="79541DD8"/>
    <w:rsid w:val="79C04582"/>
    <w:rsid w:val="7AA270D2"/>
    <w:rsid w:val="7ABA7907"/>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7694</Words>
  <Characters>8246</Characters>
  <Lines>62</Lines>
  <Paragraphs>17</Paragraphs>
  <TotalTime>4</TotalTime>
  <ScaleCrop>false</ScaleCrop>
  <LinksUpToDate>false</LinksUpToDate>
  <CharactersWithSpaces>8767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叶子欢</cp:lastModifiedBy>
  <cp:lastPrinted>2021-07-29T09:25:00Z</cp:lastPrinted>
  <dcterms:modified xsi:type="dcterms:W3CDTF">2026-06-04T09:48:57Z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F7FE84DBE33044FC90B743C0A22D6AEE_12</vt:lpwstr>
  </property>
</Properties>
</file>