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70E6">
      <w:pPr>
        <w:pStyle w:val="7"/>
        <w:tabs>
          <w:tab w:val="left" w:pos="0"/>
          <w:tab w:val="left" w:pos="420"/>
        </w:tabs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2A91F5D3">
      <w:pPr>
        <w:widowControl w:val="0"/>
        <w:wordWrap/>
        <w:adjustRightInd/>
        <w:snapToGrid/>
        <w:spacing w:before="0" w:after="0" w:line="640" w:lineRule="exact"/>
        <w:ind w:left="-115" w:leftChars="-55" w:right="-92" w:rightChars="-44" w:firstLine="140" w:firstLineChars="32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岳阳市建筑垃圾资源化利用专项规划（2025-2035）编制成果介绍</w:t>
      </w:r>
    </w:p>
    <w:p w14:paraId="5FEF2EB0">
      <w:pPr>
        <w:ind w:left="0" w:leftChars="0" w:right="-92" w:rightChars="-44" w:firstLine="0" w:firstLineChars="0"/>
        <w:jc w:val="center"/>
        <w:rPr>
          <w:rFonts w:hint="eastAsia" w:ascii="楷体" w:hAnsi="楷体" w:eastAsia="楷体" w:cs="楷体"/>
          <w:sz w:val="32"/>
          <w:szCs w:val="36"/>
          <w:lang w:val="en-US" w:eastAsia="zh-CN"/>
        </w:rPr>
      </w:pPr>
    </w:p>
    <w:p w14:paraId="6DA3D1A8">
      <w:pPr>
        <w:ind w:left="0" w:leftChars="0" w:right="-92" w:rightChars="-44" w:firstLine="0" w:firstLineChars="0"/>
        <w:jc w:val="center"/>
        <w:rPr>
          <w:rFonts w:hint="eastAsia" w:ascii="楷体" w:hAnsi="楷体" w:eastAsia="楷体" w:cs="楷体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6"/>
          <w:lang w:val="en-US" w:eastAsia="zh-CN"/>
        </w:rPr>
        <w:t>前  言</w:t>
      </w:r>
    </w:p>
    <w:p w14:paraId="7E378719">
      <w:pPr>
        <w:numPr>
          <w:ilvl w:val="0"/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垃圾资源化利用是推进生态文明建设、发展循环经济、建设“无废城市”的重要举措，也是提升城市治理现代化水平、守护长江与洞庭湖生态安全、推动城乡建设绿色低碳转型的关键抓手。为深入贯彻习近平生态文明思想，全面落实国家、省关于建筑垃圾治理与资源化利用的决策部署，紧扣岳阳建设省域副中心城市、长江经济带绿色发展示范区、“七个岳阳”建设的总体定位，切实规范建筑垃圾产生、储存、运输和资源化利用处置，提高建筑垃圾资源化利用率、完善监管体系，依据相关法律法规、技术标准及上位规划，结合岳阳市城市建设、产业发展与生态环境保护实际，特编制本规划。本规划立足2024年现状底数，科学预测建筑垃圾产生趋势，聚焦减量化、资源化、无害化核心方向，统筹全域收运体系、处置设施布局、资源化利用路径、智慧监管与政策保障，明确近远期发展目标、重点任务与实施路径，着力构建“政府引导、市场运作、科技支撑、全程监管”的建筑垃圾资源化利用新格局，推动建筑垃圾从“末端填埋”向“全程循环、变废为宝”转型，为岳阳高质量发展提供坚实支撑。</w:t>
      </w:r>
    </w:p>
    <w:p w14:paraId="1260759E">
      <w:pPr>
        <w:numPr>
          <w:ilvl w:val="0"/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一、规划范围与期限</w:t>
      </w:r>
    </w:p>
    <w:p w14:paraId="4F4B1E62">
      <w:pPr>
        <w:numPr>
          <w:ilvl w:val="0"/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划范围为岳阳市行政辖区，行政区面积14858平方公里，包括岳阳楼区（含经开区园区）、云溪区、君山区、南湖新区、岳阳临港高新区（原湖南城陵矶新港区）、屈原管理区、平江县、岳阳县、华容县、湘阴县、临湘市、汨罗市。</w:t>
      </w:r>
    </w:p>
    <w:p w14:paraId="2F750A05">
      <w:pPr>
        <w:numPr>
          <w:ilvl w:val="0"/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本规划基准年为2024年，规划期限为2025—2035年，近期目标为2030年，远期目标为2035年。</w:t>
      </w:r>
    </w:p>
    <w:p w14:paraId="7F23EF01">
      <w:pPr>
        <w:numPr>
          <w:ilvl w:val="0"/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二、规划目标及指标</w:t>
      </w:r>
    </w:p>
    <w:p w14:paraId="758AB8E8">
      <w:pPr>
        <w:numPr>
          <w:ilvl w:val="0"/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以减量化、资源化、无害化为核心，构建全链条资源化利用体系，岳阳市建筑垃圾资源化利用规划指标如下。</w:t>
      </w:r>
    </w:p>
    <w:p w14:paraId="27F9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表1岳阳市建筑垃圾资源化利用规划</w:t>
      </w:r>
      <w:r>
        <w:rPr>
          <w:rFonts w:hint="eastAsia"/>
          <w:b/>
          <w:bCs/>
          <w:sz w:val="28"/>
          <w:szCs w:val="28"/>
          <w:lang w:val="en-US" w:eastAsia="zh-CN"/>
        </w:rPr>
        <w:t>指标</w:t>
      </w:r>
    </w:p>
    <w:tbl>
      <w:tblPr>
        <w:tblStyle w:val="9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617"/>
        <w:gridCol w:w="2306"/>
        <w:gridCol w:w="2306"/>
        <w:gridCol w:w="1474"/>
      </w:tblGrid>
      <w:tr w14:paraId="7D89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3" w:type="dxa"/>
            <w:vAlign w:val="center"/>
          </w:tcPr>
          <w:p w14:paraId="55DD492A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hAnsi="Times New Roman" w:eastAsia="等线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等线" w:eastAsia="等线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17" w:type="dxa"/>
            <w:vAlign w:val="center"/>
          </w:tcPr>
          <w:p w14:paraId="6BD14C6B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hAnsi="Times New Roman" w:eastAsia="等线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等线" w:eastAsia="等线"/>
                <w:b/>
                <w:sz w:val="28"/>
                <w:szCs w:val="28"/>
                <w:lang w:val="en-US" w:eastAsia="zh-CN"/>
              </w:rPr>
              <w:t>指标名称</w:t>
            </w:r>
          </w:p>
        </w:tc>
        <w:tc>
          <w:tcPr>
            <w:tcW w:w="0" w:type="auto"/>
            <w:vAlign w:val="center"/>
          </w:tcPr>
          <w:p w14:paraId="0A1D8F12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hAnsi="Times New Roman" w:eastAsia="等线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等线" w:eastAsia="等线"/>
                <w:b/>
                <w:sz w:val="28"/>
                <w:szCs w:val="28"/>
                <w:lang w:val="en-US" w:eastAsia="zh-CN"/>
              </w:rPr>
              <w:t>近期（20</w:t>
            </w:r>
            <w:r>
              <w:rPr>
                <w:rFonts w:hint="eastAsia" w:ascii="等线" w:eastAsia="等线"/>
                <w:b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等线" w:eastAsia="等线"/>
                <w:b/>
                <w:sz w:val="28"/>
                <w:szCs w:val="28"/>
                <w:lang w:val="en-US" w:eastAsia="zh-CN"/>
              </w:rPr>
              <w:t>年）</w:t>
            </w:r>
          </w:p>
        </w:tc>
        <w:tc>
          <w:tcPr>
            <w:tcW w:w="0" w:type="auto"/>
            <w:vAlign w:val="center"/>
          </w:tcPr>
          <w:p w14:paraId="653E2C10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hAnsi="Times New Roman" w:eastAsia="等线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等线" w:eastAsia="等线"/>
                <w:b/>
                <w:sz w:val="28"/>
                <w:szCs w:val="28"/>
                <w:lang w:val="en-US" w:eastAsia="zh-CN"/>
              </w:rPr>
              <w:t>远期</w:t>
            </w:r>
            <w:r>
              <w:rPr>
                <w:rFonts w:hint="eastAsia" w:ascii="等线" w:eastAsia="等线"/>
                <w:b/>
                <w:sz w:val="28"/>
                <w:szCs w:val="28"/>
                <w:lang w:val="en-US" w:eastAsia="zh-CN"/>
              </w:rPr>
              <w:t>（2035年）</w:t>
            </w:r>
          </w:p>
        </w:tc>
        <w:tc>
          <w:tcPr>
            <w:tcW w:w="1473" w:type="dxa"/>
            <w:vAlign w:val="center"/>
          </w:tcPr>
          <w:p w14:paraId="52699C04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eastAsia="等线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eastAsia="等线"/>
                <w:b/>
                <w:sz w:val="28"/>
                <w:szCs w:val="28"/>
                <w:lang w:val="en-US" w:eastAsia="zh-CN"/>
              </w:rPr>
              <w:t>指标属性</w:t>
            </w:r>
          </w:p>
        </w:tc>
      </w:tr>
      <w:tr w14:paraId="0BBB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3" w:type="dxa"/>
            <w:vAlign w:val="center"/>
          </w:tcPr>
          <w:p w14:paraId="50E81A1C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7" w:type="dxa"/>
            <w:vMerge w:val="restart"/>
            <w:vAlign w:val="center"/>
          </w:tcPr>
          <w:p w14:paraId="152236F0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建筑垃圾综合利用率</w:t>
            </w:r>
          </w:p>
        </w:tc>
        <w:tc>
          <w:tcPr>
            <w:tcW w:w="0" w:type="auto"/>
            <w:vAlign w:val="center"/>
          </w:tcPr>
          <w:p w14:paraId="3DFFE326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0" w:type="auto"/>
            <w:vAlign w:val="center"/>
          </w:tcPr>
          <w:p w14:paraId="6DBF6418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90%</w:t>
            </w:r>
          </w:p>
        </w:tc>
        <w:tc>
          <w:tcPr>
            <w:tcW w:w="1473" w:type="dxa"/>
            <w:vAlign w:val="center"/>
          </w:tcPr>
          <w:p w14:paraId="633D1DE8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约束性</w:t>
            </w:r>
          </w:p>
        </w:tc>
      </w:tr>
      <w:tr w14:paraId="5C5B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3" w:type="dxa"/>
            <w:vAlign w:val="center"/>
          </w:tcPr>
          <w:p w14:paraId="70169440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17" w:type="dxa"/>
            <w:vMerge w:val="continue"/>
            <w:vAlign w:val="center"/>
          </w:tcPr>
          <w:p w14:paraId="1FEBB2E0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1DB8592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85%</w:t>
            </w:r>
          </w:p>
        </w:tc>
        <w:tc>
          <w:tcPr>
            <w:tcW w:w="0" w:type="auto"/>
            <w:vAlign w:val="center"/>
          </w:tcPr>
          <w:p w14:paraId="2F841E7A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95%</w:t>
            </w:r>
          </w:p>
        </w:tc>
        <w:tc>
          <w:tcPr>
            <w:tcW w:w="1473" w:type="dxa"/>
            <w:vAlign w:val="center"/>
          </w:tcPr>
          <w:p w14:paraId="5A34D5FF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预期性</w:t>
            </w:r>
          </w:p>
        </w:tc>
      </w:tr>
      <w:tr w14:paraId="58F8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3" w:type="dxa"/>
            <w:vAlign w:val="center"/>
          </w:tcPr>
          <w:p w14:paraId="05835635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17" w:type="dxa"/>
            <w:vMerge w:val="restart"/>
            <w:vAlign w:val="center"/>
          </w:tcPr>
          <w:p w14:paraId="64F23A01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建筑垃圾资源化利用率</w:t>
            </w:r>
          </w:p>
        </w:tc>
        <w:tc>
          <w:tcPr>
            <w:tcW w:w="0" w:type="auto"/>
            <w:vAlign w:val="center"/>
          </w:tcPr>
          <w:p w14:paraId="574A9E1A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60%</w:t>
            </w:r>
          </w:p>
        </w:tc>
        <w:tc>
          <w:tcPr>
            <w:tcW w:w="0" w:type="auto"/>
            <w:vAlign w:val="center"/>
          </w:tcPr>
          <w:p w14:paraId="6072B0EE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70%</w:t>
            </w:r>
          </w:p>
        </w:tc>
        <w:tc>
          <w:tcPr>
            <w:tcW w:w="1473" w:type="dxa"/>
            <w:vAlign w:val="center"/>
          </w:tcPr>
          <w:p w14:paraId="27F76F62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约束性</w:t>
            </w:r>
          </w:p>
        </w:tc>
      </w:tr>
      <w:tr w14:paraId="4B34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3" w:type="dxa"/>
            <w:vAlign w:val="center"/>
          </w:tcPr>
          <w:p w14:paraId="76F38F28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17" w:type="dxa"/>
            <w:vMerge w:val="continue"/>
            <w:vAlign w:val="center"/>
          </w:tcPr>
          <w:p w14:paraId="2C63ACFB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 w14:paraId="28CAB2E2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70%</w:t>
            </w:r>
          </w:p>
        </w:tc>
        <w:tc>
          <w:tcPr>
            <w:tcW w:w="2306" w:type="dxa"/>
            <w:vAlign w:val="center"/>
          </w:tcPr>
          <w:p w14:paraId="5DD65981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1473" w:type="dxa"/>
            <w:vAlign w:val="center"/>
          </w:tcPr>
          <w:p w14:paraId="33305EB3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预期性</w:t>
            </w:r>
          </w:p>
        </w:tc>
      </w:tr>
    </w:tbl>
    <w:p w14:paraId="314399E4">
      <w:pPr>
        <w:numPr>
          <w:ilvl w:val="0"/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三、规划原则</w:t>
      </w:r>
    </w:p>
    <w:p w14:paraId="095A85D0">
      <w:pPr>
        <w:numPr>
          <w:ilvl w:val="0"/>
          <w:numId w:val="0"/>
        </w:numPr>
        <w:wordWrap/>
        <w:adjustRightInd/>
        <w:snapToGrid/>
        <w:spacing w:line="24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坚持政府引导，市场参与；坚持科学发展，创新转型；坚持统一规划，合理布局；坚持分类处理、长效管理；坚持远近结合、以近为主。</w:t>
      </w:r>
    </w:p>
    <w:p w14:paraId="1C2C4F57">
      <w:pPr>
        <w:numPr>
          <w:ilvl w:val="0"/>
          <w:numId w:val="1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规划主要内容</w:t>
      </w:r>
    </w:p>
    <w:p w14:paraId="17E12254">
      <w:pPr>
        <w:numPr>
          <w:ilvl w:val="0"/>
          <w:numId w:val="0"/>
        </w:numPr>
        <w:wordWrap/>
        <w:adjustRightInd/>
        <w:snapToGrid/>
        <w:spacing w:line="24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（一）建筑垃圾资源化利用路径规划。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不同类型建筑垃圾明确资源化路径：工程垃圾、拆除垃圾加工再生骨料、再生混凝土、再生砂浆等建材产品；工程渣土制备流态固化土、烧结砖等；工程泥浆经脱水减量化后用于路基填料、生态修复；装修垃圾经精细分选后分质利用。同步开展再生产品市场分析，明确干混砂浆、路面材料、透水砖等产品的市场需求与应用场景，支撑产业规模化发展。</w:t>
      </w:r>
    </w:p>
    <w:p w14:paraId="64B852DA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（二）建筑垃圾收运体系规划。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“产生点—收集点—转运调配场（中转场）—处理厂”四级收运网络，按服务半径规范布局转运调配场与装修垃圾收集点，明确建设标准与时序。结合城区与县域特征，分区规划收运线路，实行夜间为主、错峰清运，优先选择主干道、避开生态敏感区，降低交通与环境影响。</w:t>
      </w:r>
    </w:p>
    <w:p w14:paraId="140972C1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（三）建筑垃圾处理设施规划。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资源化利用厂、消纳场等设施功能与选址要求，按服务半径10-20公里、最远不超过30公里优化全域布局。中心城区依托市中心城区建筑垃圾资源化利用项目提升处理能力，各县市结合实际新建、改扩建资源化利用厂，配套临时消纳场与转运调配设施，分期推进建设，至规划期末，新建6个建筑垃圾资源化利用厂，实现全域建筑垃圾资源化利用网络全覆盖。</w:t>
      </w:r>
    </w:p>
    <w:p w14:paraId="1A4C0206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（四）建筑垃圾监管及信息化规划。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法规政策与部门、属地协同监管体系，出台建筑垃圾管理办法，搭建市、县两级建筑垃圾信息监管平台，运用大数据、物联网等实现产生、运输、处置、利用全环节可视化管控。建立建筑垃圾电子联单制度，实现来源可查、去向可追、责任可究，强化全过程闭环监管。</w:t>
      </w:r>
    </w:p>
    <w:p w14:paraId="135243B7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（五）实施保障措施。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部门属地协同监管、运输管理、处置收费、特许经营、产业扶持五大方面构建保障体系，明确用地、税收、资金等扶持政策，强化监督与技术指导，加强宣传引导，确保规划落地见效，推动建筑垃圾资源化利用产业高质量发展。</w:t>
      </w:r>
    </w:p>
    <w:p w14:paraId="578AF9A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Style w:val="11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/>
        </w:rPr>
        <w:t>六</w:t>
      </w:r>
      <w:r>
        <w:rPr>
          <w:rStyle w:val="11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</w:t>
      </w:r>
      <w:r>
        <w:rPr>
          <w:rStyle w:val="11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/>
        </w:rPr>
        <w:t>分期建设规划。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期，完成市中心城区建筑垃圾资源化利用项目（二期）建设和临湘市、岳阳县、平江县建筑垃圾资源化利用项目建设；完成湘阴县临时消纳场资源化利用处置设施升级改造、华容县建筑垃圾临时堆场改造等；完善汨罗市、屈原管理区等县市区转运调配设施和收运网络；市中心城区及其他各县市区分别建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筑垃圾信息监管平台，实现全过程实时监管；全面完成全市电子联单系统部署，实现来源可溯、责任可究；培育3-5家规模化资源化利用企业，使全市再生产品年产能突破100万吨。远期，新建华容县建筑垃圾资源化利用厂，提高平江县建筑垃圾资源化利用厂处置能力，完善岳阳县建筑垃圾转运调配等设施建设，推动全域建筑垃圾资源化利用工作提质增效。</w:t>
      </w:r>
    </w:p>
    <w:p w14:paraId="09DB1BB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F20063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288925</wp:posOffset>
            </wp:positionV>
            <wp:extent cx="4845685" cy="3267710"/>
            <wp:effectExtent l="0" t="0" r="12065" b="8890"/>
            <wp:wrapTopAndBottom/>
            <wp:docPr id="3" name="图片 3" descr="岳阳市建筑垃圾资源化利用处置设施近远期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岳阳市建筑垃圾资源化利用处置设施近远期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说明：本材料是为方便公众了解《岳阳市建筑垃圾资源化利用专项规划（2025-2035）》的参考性文件；本规划内容若有更新，将时公布，本材料自动作废；本材料版权及解释权归岳阳市城市管理和综合执法局所有。</w:t>
      </w:r>
    </w:p>
    <w:p w14:paraId="51C85BCC">
      <w:pPr>
        <w:ind w:firstLine="480" w:firstLineChars="200"/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0810E"/>
    <w:multiLevelType w:val="singleLevel"/>
    <w:tmpl w:val="A7C0810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991"/>
    <w:rsid w:val="00A06C97"/>
    <w:rsid w:val="07EC2E3C"/>
    <w:rsid w:val="0A790162"/>
    <w:rsid w:val="0BA759C6"/>
    <w:rsid w:val="0EB21149"/>
    <w:rsid w:val="111D3D5E"/>
    <w:rsid w:val="131E7C21"/>
    <w:rsid w:val="16161BB3"/>
    <w:rsid w:val="188D5FB1"/>
    <w:rsid w:val="1ABE3550"/>
    <w:rsid w:val="35633E8E"/>
    <w:rsid w:val="38201ED3"/>
    <w:rsid w:val="3A662CD0"/>
    <w:rsid w:val="503D2397"/>
    <w:rsid w:val="514F1FA1"/>
    <w:rsid w:val="5620252F"/>
    <w:rsid w:val="616415CD"/>
    <w:rsid w:val="6633530D"/>
    <w:rsid w:val="6AF7685A"/>
    <w:rsid w:val="6D2B2613"/>
    <w:rsid w:val="74562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Times New Roman" w:hAnsi="Times New Roman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rFonts w:cs="汉仪字酷堂长林体W"/>
      <w:kern w:val="2"/>
      <w:sz w:val="36"/>
      <w:szCs w:val="36"/>
      <w:u w:val="none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1572</Words>
  <Characters>1637</Characters>
  <Lines>15</Lines>
  <Paragraphs>4</Paragraphs>
  <TotalTime>34</TotalTime>
  <ScaleCrop>false</ScaleCrop>
  <LinksUpToDate>false</LinksUpToDate>
  <CharactersWithSpaces>1637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2019-12-09T15:26:00Z</dcterms:created>
  <dc:creator>chencn1994</dc:creator>
  <cp:lastModifiedBy>Case</cp:lastModifiedBy>
  <cp:lastPrinted>2026-04-20T08:30:32Z</cp:lastPrinted>
  <dcterms:modified xsi:type="dcterms:W3CDTF">2026-04-20T09:15:00Z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>
    <vt:lpwstr>6</vt:lpwstr>
  </property>
  <property fmtid="{D5CDD505-2E9C-101B-9397-08002B2CF9AE}" pid="4" name="ICV">
    <vt:lpwstr>F8124AA9D44947298503FC5D2E68B9E9_13</vt:lpwstr>
  </property>
  <property fmtid="{D5CDD505-2E9C-101B-9397-08002B2CF9AE}" pid="5" name="KSOTemplateDocerSaveRecord">
    <vt:lpwstr>eyJoZGlkIjoiYmI5YTkyYzQzOTZmYTVmYTU3NWUyMjBiN2M3OGRlM2IiLCJ1c2VySWQiOiI5MjgyMDQ0MDMifQ==</vt:lpwstr>
  </property>
</Properties>
</file>