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BFE95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  <w:t>年度</w:t>
      </w:r>
    </w:p>
    <w:p w14:paraId="79582242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  <w:lang w:eastAsia="zh-CN"/>
        </w:rPr>
        <w:t>华容县养老和工伤保险服务中心</w:t>
      </w:r>
      <w:r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  <w:t>（单位）部门决算</w:t>
      </w:r>
    </w:p>
    <w:p w14:paraId="3908DBD5">
      <w:pPr>
        <w:pStyle w:val="14"/>
        <w:spacing w:line="500" w:lineRule="exact"/>
        <w:jc w:val="both"/>
        <w:rPr>
          <w:b/>
          <w:color w:val="auto"/>
          <w:sz w:val="36"/>
          <w:szCs w:val="28"/>
          <w:highlight w:val="none"/>
        </w:rPr>
      </w:pPr>
    </w:p>
    <w:p w14:paraId="589A2C42">
      <w:pPr>
        <w:pStyle w:val="14"/>
        <w:spacing w:line="500" w:lineRule="exact"/>
        <w:jc w:val="center"/>
        <w:rPr>
          <w:b/>
          <w:color w:val="auto"/>
          <w:sz w:val="36"/>
          <w:szCs w:val="28"/>
          <w:highlight w:val="none"/>
        </w:rPr>
      </w:pPr>
      <w:r>
        <w:rPr>
          <w:rFonts w:hint="eastAsia"/>
          <w:b/>
          <w:color w:val="auto"/>
          <w:sz w:val="36"/>
          <w:szCs w:val="28"/>
          <w:highlight w:val="none"/>
        </w:rPr>
        <w:t>目录</w:t>
      </w:r>
    </w:p>
    <w:p w14:paraId="47750B22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第一部分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color w:val="auto"/>
          <w:sz w:val="28"/>
          <w:szCs w:val="28"/>
          <w:highlight w:val="none"/>
          <w:lang w:eastAsia="zh-CN"/>
        </w:rPr>
        <w:t>华容县养老和工伤保险服务中心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单位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概况</w:t>
      </w:r>
    </w:p>
    <w:p w14:paraId="7B925186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一、部门职责</w:t>
      </w:r>
    </w:p>
    <w:p w14:paraId="6BEDFFA8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二、机构设置</w:t>
      </w:r>
    </w:p>
    <w:p w14:paraId="06ED1B11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第二部分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部门决算表</w:t>
      </w:r>
    </w:p>
    <w:p w14:paraId="7C31E8CD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一、收入支出决算总表</w:t>
      </w:r>
    </w:p>
    <w:p w14:paraId="06BF785C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二、收入决算表</w:t>
      </w:r>
    </w:p>
    <w:p w14:paraId="525A37B2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三、支出决算表</w:t>
      </w:r>
    </w:p>
    <w:p w14:paraId="53E44260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四、财政拨款收入支出决算总表</w:t>
      </w:r>
    </w:p>
    <w:p w14:paraId="7AA56633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五、一般公共预算财政拨款支出决算表</w:t>
      </w:r>
    </w:p>
    <w:p w14:paraId="5A33F33E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六、一般公共预算财政拨款基本支出决算明细表</w:t>
      </w:r>
    </w:p>
    <w:p w14:paraId="40309611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七、政府性基金预算财政拨款收入支出决算表</w:t>
      </w:r>
    </w:p>
    <w:p w14:paraId="02B68204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八、国有资本经营预算财政拨款支出决算表</w:t>
      </w:r>
    </w:p>
    <w:p w14:paraId="3A2F5EE7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九、财政拨款“三公”经费支出决算表</w:t>
      </w:r>
    </w:p>
    <w:p w14:paraId="5E701EF3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第三部分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部门决算情况说明</w:t>
      </w:r>
    </w:p>
    <w:p w14:paraId="24C119E1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一、收入支出决算总体情况说明</w:t>
      </w:r>
    </w:p>
    <w:p w14:paraId="2CD6D5EC">
      <w:pPr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二、收入决算情况说明</w:t>
      </w:r>
    </w:p>
    <w:p w14:paraId="679DEBFB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三、支出决算情况说明</w:t>
      </w:r>
    </w:p>
    <w:p w14:paraId="0756264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四、财政拨款收入支出决算总体情况说明</w:t>
      </w:r>
    </w:p>
    <w:p w14:paraId="542CF966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五、一般公共预算财政拨款支出决算情况说明</w:t>
      </w:r>
    </w:p>
    <w:p w14:paraId="778E1819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六、一般公共预算财政拨款基本支出决算情况说明</w:t>
      </w:r>
    </w:p>
    <w:p w14:paraId="71C92C7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七、财政拨款三公经费支出决算情况说明</w:t>
      </w:r>
    </w:p>
    <w:p w14:paraId="4A33080C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八、政府性基金预算收入支出决算情况</w:t>
      </w:r>
    </w:p>
    <w:p w14:paraId="487E6535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九、国有资本经营预算财政拨款支出决算情况</w:t>
      </w:r>
    </w:p>
    <w:p w14:paraId="32EE2A85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/>
          <w:color w:val="auto"/>
          <w:highlight w:val="none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十、关于机关运行经费支出说明</w:t>
      </w:r>
    </w:p>
    <w:p w14:paraId="48D9BCAD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十一、一般性支出情况说明</w:t>
      </w:r>
    </w:p>
    <w:p w14:paraId="56B24421">
      <w:pPr>
        <w:autoSpaceDE w:val="0"/>
        <w:autoSpaceDN w:val="0"/>
        <w:adjustRightInd w:val="0"/>
        <w:spacing w:line="500" w:lineRule="exact"/>
        <w:ind w:firstLine="700" w:firstLineChars="25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eastAsia="zh-CN"/>
        </w:rPr>
        <w:t>十二、关于政府采购支出说明</w:t>
      </w:r>
    </w:p>
    <w:p w14:paraId="61F22858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十三、关于国有资产占用情况说明</w:t>
      </w:r>
    </w:p>
    <w:p w14:paraId="6B5E4B23">
      <w:pPr>
        <w:pStyle w:val="14"/>
        <w:spacing w:line="500" w:lineRule="exact"/>
        <w:ind w:firstLine="700" w:firstLineChars="25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十四、关于2023年度预算绩效情况的说明</w:t>
      </w:r>
    </w:p>
    <w:p w14:paraId="1D6EBD7D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第四部分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名词解释</w:t>
      </w:r>
    </w:p>
    <w:p w14:paraId="6070D7F3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第</w:t>
      </w:r>
      <w:r>
        <w:rPr>
          <w:rFonts w:hint="eastAsia" w:hAnsi="黑体" w:cs="黑体"/>
          <w:b w:val="0"/>
          <w:bCs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  <w:t>部分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hAnsi="黑体" w:cs="黑体"/>
          <w:b w:val="0"/>
          <w:bCs/>
          <w:color w:val="auto"/>
          <w:sz w:val="28"/>
          <w:szCs w:val="28"/>
          <w:highlight w:val="none"/>
          <w:lang w:eastAsia="zh-CN"/>
        </w:rPr>
        <w:t>附件</w:t>
      </w:r>
    </w:p>
    <w:p w14:paraId="6D6958DD">
      <w:pPr>
        <w:pStyle w:val="14"/>
        <w:spacing w:line="500" w:lineRule="exact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</w:rPr>
      </w:pPr>
    </w:p>
    <w:p w14:paraId="474DF8D6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 xml:space="preserve">第一部分 </w:t>
      </w:r>
    </w:p>
    <w:p w14:paraId="40D075C6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84"/>
          <w:szCs w:val="8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eastAsia="zh-CN"/>
        </w:rPr>
        <w:t>华容县养老和工伤保险服务中心（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单位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eastAsia="zh-CN"/>
        </w:rPr>
        <w:t>）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概况</w:t>
      </w:r>
    </w:p>
    <w:p w14:paraId="1B4352DC">
      <w:pPr>
        <w:pStyle w:val="15"/>
        <w:numPr>
          <w:ilvl w:val="0"/>
          <w:numId w:val="2"/>
        </w:numPr>
        <w:ind w:firstLineChars="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部门职责</w:t>
      </w:r>
    </w:p>
    <w:p w14:paraId="439456F5">
      <w:pPr>
        <w:numPr>
          <w:ilvl w:val="0"/>
          <w:numId w:val="3"/>
        </w:numPr>
        <w:autoSpaceDN w:val="0"/>
        <w:spacing w:line="320" w:lineRule="exact"/>
        <w:jc w:val="left"/>
        <w:textAlignment w:val="center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负责宣传贯彻国家及部、省、市相关政策，组织落实全县社会养老保险目标任务。</w:t>
      </w:r>
    </w:p>
    <w:p w14:paraId="4829A129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highlight w:val="none"/>
          <w:lang w:val="en-US" w:eastAsia="zh-CN"/>
        </w:rPr>
        <w:t>负责全县社会养老保险经办管理服务工作，研究建立相关管理服务体系和内控制度。</w:t>
      </w:r>
    </w:p>
    <w:p w14:paraId="56B8CD29">
      <w:pPr>
        <w:widowControl/>
        <w:spacing w:line="600" w:lineRule="exact"/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32"/>
          <w:szCs w:val="32"/>
          <w:highlight w:val="none"/>
        </w:rPr>
        <w:t>二、机构设置及决算单位构成</w:t>
      </w:r>
    </w:p>
    <w:p w14:paraId="7D7E4A9C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</w:rPr>
        <w:t>（一）内设机构设置。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华容县养老和工伤保险服务中心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</w:rPr>
        <w:t>内设机构包括：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财务室、办公室、各业务股室。</w:t>
      </w:r>
    </w:p>
    <w:p w14:paraId="693D3419">
      <w:pPr>
        <w:widowControl/>
        <w:spacing w:line="600" w:lineRule="exact"/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</w:rPr>
        <w:t>（二）决算单位构成。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华容县养老和工伤保险服务中心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</w:rPr>
        <w:t>年部门决算汇总公开单位构成包括：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华容县养老和工伤保险服务中心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</w:rPr>
        <w:t>单位本级</w:t>
      </w:r>
      <w:r>
        <w:rPr>
          <w:rFonts w:hint="eastAsia" w:ascii="Times New Roman" w:hAnsi="Times New Roman" w:eastAsia="仿宋_GB2312" w:cs="仿宋_GB2312"/>
          <w:bCs/>
          <w:color w:val="auto"/>
          <w:kern w:val="0"/>
          <w:sz w:val="32"/>
          <w:szCs w:val="32"/>
          <w:highlight w:val="none"/>
          <w:lang w:eastAsia="zh-CN"/>
        </w:rPr>
        <w:t>。</w:t>
      </w:r>
    </w:p>
    <w:p w14:paraId="021F775D">
      <w:pPr>
        <w:jc w:val="left"/>
        <w:rPr>
          <w:rFonts w:ascii="仿宋_GB2312" w:eastAsia="仿宋_GB2312" w:hAnsiTheme="minorEastAsia"/>
          <w:color w:val="auto"/>
          <w:sz w:val="28"/>
          <w:szCs w:val="32"/>
          <w:highlight w:val="none"/>
        </w:rPr>
      </w:pPr>
    </w:p>
    <w:p w14:paraId="663BCC11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第二部分</w:t>
      </w:r>
    </w:p>
    <w:p w14:paraId="3CE835E0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部门决算表</w:t>
      </w:r>
    </w:p>
    <w:p w14:paraId="13506AA8">
      <w:pPr>
        <w:pStyle w:val="14"/>
        <w:jc w:val="center"/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详见附件表格</w:t>
      </w:r>
    </w:p>
    <w:p w14:paraId="5CA924B8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</w:p>
    <w:p w14:paraId="4B3A077C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第三部分</w:t>
      </w:r>
    </w:p>
    <w:p w14:paraId="47E48468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年度部门决算情况说明</w:t>
      </w:r>
    </w:p>
    <w:p w14:paraId="0C8312DC">
      <w:pPr>
        <w:widowControl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一、收入支出决算总体情况说明</w:t>
      </w:r>
    </w:p>
    <w:p w14:paraId="5C7E80F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年度收、支总计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万元。与上年相比，减少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6.39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1.15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公用经费厉行节俭。</w:t>
      </w:r>
    </w:p>
    <w:p w14:paraId="01746B2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二、收入决算情况说明</w:t>
      </w:r>
    </w:p>
    <w:p w14:paraId="3A8025A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年度收入合计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万元，其中：财政拨款收入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%；上级补助收入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%；事业收入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%；经营收入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%；附属单位上缴收入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%；其他收入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</w:t>
      </w:r>
    </w:p>
    <w:p w14:paraId="2170E3C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三、支出决算情况说明</w:t>
      </w:r>
    </w:p>
    <w:p w14:paraId="1B37CFE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年度支出合计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万元，其中：基本支出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%；项目支出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%；上缴上级支出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%；经营支出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%；对附属单位补助支出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</w:t>
      </w:r>
    </w:p>
    <w:p w14:paraId="65F6250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四、财政拨款收入支出决算总体情况说明</w:t>
      </w:r>
    </w:p>
    <w:p w14:paraId="7FB7FED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  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年度财政拨款收、支总计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万元，与上年相比，减少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6.39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1.15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公用经费厉行节俭。</w:t>
      </w:r>
    </w:p>
    <w:p w14:paraId="3FC097A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五、一般公共预算财政拨款支出决算情况说明</w:t>
      </w:r>
    </w:p>
    <w:p w14:paraId="4E3180D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（一）一般公共预算财政拨款支出决算总体情况</w:t>
      </w:r>
    </w:p>
    <w:p w14:paraId="41927EB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年度财政拨款支出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万元，占本年支出合计的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%，与上年相比，财政拨款支出减少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6.39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1.15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%，主要是因为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公用经费厉行节俭。</w:t>
      </w:r>
    </w:p>
    <w:p w14:paraId="638F032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480" w:firstLineChars="15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（二）一般公共预算财政拨款支出决算结构情况</w:t>
      </w:r>
    </w:p>
    <w:p w14:paraId="77FE58F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年度财政拨款支出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20.36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（类）支出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433.78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79.58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%;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资源勘探工业信息等支出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（类）支出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0.26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0.06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</w:t>
      </w:r>
    </w:p>
    <w:p w14:paraId="0729A75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highlight w:val="none"/>
        </w:rPr>
        <w:t>（三）一般公共预算财政拨款支出决算具体情况</w:t>
      </w:r>
    </w:p>
    <w:p w14:paraId="6FB5AFE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年度财政拨款支出年初预算数为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21626.72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万元，支出决算数为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545.04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2.52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%，其中：</w:t>
      </w:r>
    </w:p>
    <w:p w14:paraId="4A94AD2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1、一般公共服务（类）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税收事务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其他税收事务支出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（项）。</w:t>
      </w:r>
    </w:p>
    <w:p w14:paraId="186D8E7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111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eastAsia="宋体"/>
          <w:color w:val="auto"/>
          <w:highlight w:val="none"/>
          <w:lang w:val="en-US" w:eastAsia="zh-CN"/>
        </w:rPr>
        <w:t>由于年初预算为0，无法计算百分比。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决算数大于年初预算数的主要原因是：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年初预算已纳入社会保障和就业支出大类。</w:t>
      </w:r>
    </w:p>
    <w:p w14:paraId="4AC6C8E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社会保障和就业支出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人力资源和社会保障管理事务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行政运行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（项）。</w:t>
      </w:r>
    </w:p>
    <w:p w14:paraId="0A566E6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21626.72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433.78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万元，完成年初预算的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%，决算数小于年初预算数的主要原因是：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20219.5万元为基金上级补助纳入经费预算，决算数未包含基金上级补助。</w:t>
      </w:r>
    </w:p>
    <w:p w14:paraId="6F70798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资源勘探工业信息等支出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（类）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其他资源勘探工业信息等支出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（款）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资源勘探工业信息等支出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（项）。</w:t>
      </w:r>
    </w:p>
    <w:p w14:paraId="4E83F3C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年初预算为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0.26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eastAsia="宋体"/>
          <w:color w:val="auto"/>
          <w:highlight w:val="none"/>
          <w:lang w:val="en-US" w:eastAsia="zh-CN"/>
        </w:rPr>
        <w:t>由于年初预算为0，无法计算百分比。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决算数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大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于年初预算数的主要原因是：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本项目为退休人员核工业代发项目。</w:t>
      </w:r>
    </w:p>
    <w:p w14:paraId="16208B8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六、一般公共预算财政拨款基本支出决算情况说明</w:t>
      </w:r>
    </w:p>
    <w:p w14:paraId="0177564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年度财政拨款基本支出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544.78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万元，其中：</w:t>
      </w:r>
    </w:p>
    <w:p w14:paraId="3BDCD4F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人员经费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382.59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万元，占基本支出的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70.23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%,主要包括基本工资、津贴补贴、奖金、伙食补助费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、养老保险、医保、公积金等。</w:t>
      </w:r>
    </w:p>
    <w:p w14:paraId="5991937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color w:val="auto"/>
          <w:sz w:val="32"/>
          <w:szCs w:val="32"/>
          <w:highlight w:val="none"/>
        </w:rPr>
        <w:t>公用经费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162.19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万元，占基本支出的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29.77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%，主要包括办公费、印刷费、咨询费、手续费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37B1D2B0">
      <w:pPr>
        <w:pStyle w:val="1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财政拨款三公经费支出决算情况说明</w:t>
      </w:r>
    </w:p>
    <w:p w14:paraId="40B1FF9F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</w:rPr>
        <w:t>（一）“三公”经费财政拨款支出决算总体情况说明</w:t>
      </w:r>
    </w:p>
    <w:p w14:paraId="1747957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“三公”经费财政拨款支出预算为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%，决算数大于预算数的主要原因是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上级迎检接待费，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与上年相比增加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%,增长的主要原因是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上级迎检接待费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。其中：</w:t>
      </w:r>
    </w:p>
    <w:p w14:paraId="0904C86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因公出国（境）费支出预算为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%，与上年相比减少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</w:t>
      </w:r>
    </w:p>
    <w:p w14:paraId="663E4CF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公务接待费支出预算为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.14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由于年初预算为0，无法计算百分比。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决算数大于预算数的主要原因是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上级迎检接待费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，与上年相比增加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0.14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由于上年数为0，无法计算百分比。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增长的主要原因是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上级迎检接待费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3699E32B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公务用车购置费支出预算为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%，与上年相比减少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</w:t>
      </w:r>
    </w:p>
    <w:p w14:paraId="0E417D4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公务用车运行维护费支出预算为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万元，完成预算的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%，与上年相比减少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万元，减少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</w:t>
      </w:r>
    </w:p>
    <w:p w14:paraId="7EA8BBE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</w:pPr>
    </w:p>
    <w:p w14:paraId="35A1ACB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 w:val="0"/>
          <w:color w:val="auto"/>
          <w:sz w:val="32"/>
          <w:szCs w:val="32"/>
          <w:highlight w:val="none"/>
        </w:rPr>
        <w:t>（二）“三公”经费财政拨款支出决算具体情况说明</w:t>
      </w:r>
    </w:p>
    <w:p w14:paraId="71C24FB0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年度“三公”经费财政拨款支出决算中，公务接待费支出决算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.14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%,因公出国（境）费支出决算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%,公务用车购置费及运行维护费支出决算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%。其中：</w:t>
      </w:r>
    </w:p>
    <w:p w14:paraId="4CE102D0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ascii="Times New Roman" w:hAnsi="Times New Roman" w:eastAsia="仿宋_GB2312"/>
          <w:b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因公出国（境）费支出决算为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万元，全年安排因公出国（境）团组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个，累计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人次：</w:t>
      </w:r>
    </w:p>
    <w:p w14:paraId="76142B0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2、公务接待费支出决算为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.14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万元，全年共接待来访团组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个、来宾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人次，主要是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上级迎检接待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发生的接待支出。</w:t>
      </w:r>
    </w:p>
    <w:p w14:paraId="4D94E95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800" w:firstLineChars="25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3、公务用车购置费及运行维护费支出决算为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万元，其中：公务用车购置费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（单位本级或某二级机构）更新公务用车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辆。公务用车运行维护费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万元，截止202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年12月31日，我单位开支财政拨款的公务用车保有量为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辆。</w:t>
      </w:r>
    </w:p>
    <w:p w14:paraId="6EC1349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</w:rPr>
        <w:t>八、政府性基金预算收入支出决算情况</w:t>
      </w:r>
    </w:p>
    <w:p w14:paraId="6552AFB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 xml:space="preserve">     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年度政府性基金预算财政拨款收入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万元；年初结转和结余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万元；支出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万元，其中基本支出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万元，项目支出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万元；年末结转和结余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万元。</w:t>
      </w:r>
      <w:r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highlight w:val="none"/>
          <w:lang w:val="en-US" w:eastAsia="zh-CN" w:bidi="ar-SA"/>
        </w:rPr>
        <w:t>本单位无政府性基金收支</w:t>
      </w:r>
    </w:p>
    <w:p w14:paraId="5CB626FA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lang w:eastAsia="zh-CN"/>
        </w:rPr>
        <w:t>九、国有资本经营预算财政拨款支出决算情况</w:t>
      </w:r>
    </w:p>
    <w:p w14:paraId="57AE9AF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2023年本单位没有使用国有资本经营预算安排的支出。</w:t>
      </w:r>
    </w:p>
    <w:p w14:paraId="16CE01C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b/>
          <w:color w:val="auto"/>
          <w:sz w:val="32"/>
          <w:szCs w:val="32"/>
          <w:highlight w:val="none"/>
          <w:lang w:eastAsia="zh-CN"/>
        </w:rPr>
        <w:t>十、关于机关运行经费支出说明</w:t>
      </w:r>
    </w:p>
    <w:p w14:paraId="17411FA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本部门202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年度机关运行经费支出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162.19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万元，比上年决算数增加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11.71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万元，增长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7.78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%。主要原因是：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本年其他商品和服务支出增幅较大。</w:t>
      </w:r>
    </w:p>
    <w:p w14:paraId="08201ED2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十一、一般性支出情况说明</w:t>
      </w:r>
    </w:p>
    <w:p w14:paraId="28C6D05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年本部门开支会议费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万元；开支培训费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1.66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万元，用于开展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全县城乡居民经办人员业务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培训，人数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210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人，内容为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全县城乡居民经办人员业务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培训；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未举办节庆、晚会、论坛、赛事等活动，开支0万元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。</w:t>
      </w:r>
    </w:p>
    <w:p w14:paraId="0FC654E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十二、关于政府采购支出说明</w:t>
      </w:r>
    </w:p>
    <w:p w14:paraId="1E21758D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/>
          <w:bCs/>
          <w:i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本部门202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年度政府采购支出总额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85.82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万元，其中：政府采购货物支出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32.08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万元、政府采购工程支出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万元、政府采购服务支出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53.73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万元。授予中小企业合同金额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85.82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万元，占政府采购支出总额的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%，其中：授予小微企业合同金额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85.82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万元，占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授予中小企业合同金额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100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%。货物采购授予中小企业合同金额占货物支出金额的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37.38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%，工程采购授予中小企业合同金额占工程支出金额的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%，服务采购授予中小企业合同金额占服务支出金额的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62.62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%。</w:t>
      </w:r>
    </w:p>
    <w:p w14:paraId="17911383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十三、关于国有资产占用情况说明</w:t>
      </w:r>
    </w:p>
    <w:p w14:paraId="316ECF9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截至202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年12月31日，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部门（单位）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共有车辆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辆，其中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，副部（省）级及以上领导用车0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负责人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机要通信用车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辆、应急保障用车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辆、执法执勤用车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辆、特种专业技术用车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离退休干部服务用车0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辆、其他用车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辆；单位价值100万元以上设备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eastAsia="zh-CN"/>
        </w:rPr>
        <w:t>（不含车辆）0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</w:rPr>
        <w:t>台（套）。</w:t>
      </w:r>
    </w:p>
    <w:p w14:paraId="197B278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hAnsi="黑体" w:cs="黑体"/>
          <w:b w:val="0"/>
          <w:bCs/>
          <w:color w:val="auto"/>
          <w:sz w:val="32"/>
          <w:szCs w:val="32"/>
          <w:highlight w:val="none"/>
          <w:lang w:eastAsia="zh-CN"/>
        </w:rPr>
        <w:t>十四、关于2023年度预算绩效情况的说明</w:t>
      </w:r>
    </w:p>
    <w:p w14:paraId="4998157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（一）绩效管理工作开展情况</w:t>
      </w:r>
    </w:p>
    <w:p w14:paraId="5DADE49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部门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（单位）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整体支出绩效情况</w:t>
      </w:r>
    </w:p>
    <w:p w14:paraId="5469C4F5">
      <w:pPr>
        <w:pStyle w:val="14"/>
        <w:spacing w:line="600" w:lineRule="exact"/>
        <w:ind w:left="638" w:leftChars="304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部门整体支出年度绩效目标</w:t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br w:type="textWrapping"/>
      </w: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目标1：完成全县养老保险参保人数目标任务；</w:t>
      </w:r>
    </w:p>
    <w:p w14:paraId="284B12D7">
      <w:pPr>
        <w:autoSpaceDN w:val="0"/>
        <w:spacing w:line="320" w:lineRule="exact"/>
        <w:ind w:firstLine="640" w:firstLineChars="200"/>
        <w:jc w:val="left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</w:p>
    <w:p w14:paraId="784AF1B0">
      <w:pPr>
        <w:autoSpaceDN w:val="0"/>
        <w:spacing w:line="320" w:lineRule="exact"/>
        <w:ind w:firstLine="640" w:firstLineChars="200"/>
        <w:jc w:val="left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目标2：每月及时、足额发放退休人员养老金；</w:t>
      </w:r>
    </w:p>
    <w:p w14:paraId="4EAC1AC9">
      <w:pPr>
        <w:autoSpaceDN w:val="0"/>
        <w:spacing w:line="320" w:lineRule="exact"/>
        <w:ind w:firstLine="640" w:firstLineChars="200"/>
        <w:jc w:val="left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</w:p>
    <w:p w14:paraId="3F0FC595">
      <w:pPr>
        <w:autoSpaceDN w:val="0"/>
        <w:spacing w:line="320" w:lineRule="exact"/>
        <w:ind w:firstLine="640" w:firstLineChars="200"/>
        <w:jc w:val="left"/>
        <w:textAlignment w:val="center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目标3：提高经办人员服务质量，提升经办服务水平；</w:t>
      </w:r>
    </w:p>
    <w:p w14:paraId="3844D491">
      <w:pPr>
        <w:pStyle w:val="14"/>
        <w:spacing w:line="600" w:lineRule="exact"/>
        <w:ind w:firstLine="640" w:firstLineChars="200"/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b w:val="0"/>
          <w:bCs w:val="0"/>
          <w:color w:val="auto"/>
          <w:sz w:val="32"/>
          <w:szCs w:val="32"/>
          <w:highlight w:val="none"/>
        </w:rPr>
        <w:t>目标4：加强经办机构信息化水平</w:t>
      </w:r>
    </w:p>
    <w:p w14:paraId="713B8814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ind w:firstLine="640" w:firstLineChars="200"/>
        <w:jc w:val="left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</w:rPr>
        <w:t>存在的问题及原因分析</w:t>
      </w:r>
    </w:p>
    <w:p w14:paraId="4E842AE7">
      <w:pPr>
        <w:autoSpaceDE w:val="0"/>
        <w:autoSpaceDN w:val="0"/>
        <w:adjustRightInd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  <w:t>一是进一步加强厉行节约机制，提高单位三保支出的保障能力。</w:t>
      </w:r>
    </w:p>
    <w:p w14:paraId="1FAC4161">
      <w:pPr>
        <w:autoSpaceDE w:val="0"/>
        <w:autoSpaceDN w:val="0"/>
        <w:adjustRightInd w:val="0"/>
        <w:ind w:firstLine="640" w:firstLineChars="200"/>
        <w:jc w:val="left"/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color w:val="auto"/>
          <w:kern w:val="0"/>
          <w:sz w:val="32"/>
          <w:szCs w:val="32"/>
          <w:highlight w:val="none"/>
        </w:rPr>
        <w:t>二是预算编制与实际支出项目有的存在差异，有待进一步优化预算，提高预算编制的准确性。</w:t>
      </w:r>
    </w:p>
    <w:p w14:paraId="4B19D20F">
      <w:pPr>
        <w:pStyle w:val="14"/>
        <w:jc w:val="both"/>
        <w:rPr>
          <w:color w:val="auto"/>
          <w:sz w:val="72"/>
          <w:szCs w:val="72"/>
          <w:highlight w:val="none"/>
        </w:rPr>
      </w:pPr>
    </w:p>
    <w:p w14:paraId="5DF709C2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第四部分</w:t>
      </w:r>
    </w:p>
    <w:p w14:paraId="148F5941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名词解释</w:t>
      </w:r>
    </w:p>
    <w:p w14:paraId="7ED09C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14:paraId="05B073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" w:lineRule="atLeast"/>
        <w:ind w:left="0" w:right="0" w:firstLine="420"/>
        <w:jc w:val="both"/>
        <w:textAlignment w:val="center"/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CESI仿宋-GB2312" w:hAnsi="CESI仿宋-GB2312" w:eastAsia="CESI仿宋-GB2312" w:cs="CESI仿宋-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</w:r>
    </w:p>
    <w:p w14:paraId="18F54FD4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第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eastAsia="zh-CN"/>
        </w:rPr>
        <w:t>五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  <w:t>部分</w:t>
      </w:r>
    </w:p>
    <w:p w14:paraId="3855E717">
      <w:pPr>
        <w:pStyle w:val="14"/>
        <w:jc w:val="center"/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eastAsia="zh-CN"/>
        </w:rPr>
        <w:t>附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8"/>
          <w:szCs w:val="48"/>
          <w:highlight w:val="none"/>
          <w:lang w:eastAsia="zh-CN"/>
        </w:rPr>
        <w:t>件</w:t>
      </w:r>
    </w:p>
    <w:p w14:paraId="3FF19F0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一、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华容县0部门（单位）2023年度部门决算公开表格</w:t>
      </w:r>
    </w:p>
    <w:p w14:paraId="68E19D28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highlight w:val="none"/>
          <w:lang w:eastAsia="zh-CN"/>
        </w:rPr>
        <w:t>二、</w:t>
      </w: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2023年度部门(单位)整体支出绩效自评报告。</w:t>
      </w:r>
    </w:p>
    <w:p w14:paraId="40365570">
      <w:pPr>
        <w:pStyle w:val="14"/>
        <w:ind w:firstLine="1280" w:firstLineChars="400"/>
        <w:rPr>
          <w:rFonts w:hint="eastAsia" w:cs="黑体" w:asciiTheme="minorEastAsia" w:hAnsiTheme="minorEastAsia" w:eastAsiaTheme="minorEastAsia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cs="黑体" w:asciiTheme="minorEastAsia" w:hAnsiTheme="minorEastAsia" w:eastAsiaTheme="minorEastAsia"/>
          <w:color w:val="auto"/>
          <w:kern w:val="0"/>
          <w:sz w:val="32"/>
          <w:szCs w:val="32"/>
          <w:highlight w:val="none"/>
          <w:lang w:val="en-US" w:eastAsia="zh-CN" w:bidi="ar-SA"/>
        </w:rPr>
        <w:t>………</w:t>
      </w:r>
    </w:p>
    <w:p w14:paraId="53C06376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36244E46">
      <w:pPr>
        <w:pStyle w:val="14"/>
        <w:jc w:val="center"/>
        <w:rPr>
          <w:color w:val="auto"/>
          <w:sz w:val="72"/>
          <w:szCs w:val="72"/>
          <w:highlight w:val="none"/>
        </w:rPr>
      </w:pPr>
    </w:p>
    <w:p w14:paraId="5A816A95">
      <w:pPr>
        <w:pStyle w:val="14"/>
        <w:jc w:val="center"/>
        <w:rPr>
          <w:color w:val="auto"/>
          <w:sz w:val="72"/>
          <w:szCs w:val="72"/>
          <w:highlight w:val="none"/>
        </w:rPr>
      </w:pPr>
    </w:p>
    <w:p w14:paraId="45BB64E0">
      <w:pPr>
        <w:jc w:val="left"/>
        <w:rPr>
          <w:rFonts w:cs="黑体" w:asciiTheme="minorEastAsia" w:hAnsiTheme="minorEastAsia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75DDBC8-53B7-49A9-AF4F-E92EEBC724F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39FF516-5372-4796-BEA8-50C6A7FBEA5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ADC46FF-2A48-40DA-AA1E-681F3D09346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4" w:fontKey="{2FD3E7F1-6DB6-4BC1-A4C8-A2396BDCCEB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81624F3-2F02-4725-9DED-ABDCA016DA1B}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8A92B2"/>
    <w:multiLevelType w:val="singleLevel"/>
    <w:tmpl w:val="908A92B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E94DE6A"/>
    <w:multiLevelType w:val="singleLevel"/>
    <w:tmpl w:val="BE94DE6A"/>
    <w:lvl w:ilvl="0" w:tentative="0">
      <w:start w:val="1"/>
      <w:numFmt w:val="decimal"/>
      <w:pStyle w:val="2"/>
      <w:lvlText w:val="%1."/>
      <w:lvlJc w:val="left"/>
      <w:pPr>
        <w:widowControl/>
        <w:tabs>
          <w:tab w:val="left" w:pos="360"/>
        </w:tabs>
        <w:ind w:left="360" w:hanging="360"/>
        <w:textAlignment w:val="baseline"/>
      </w:pPr>
    </w:lvl>
  </w:abstractNum>
  <w:abstractNum w:abstractNumId="2">
    <w:nsid w:val="DC3060D5"/>
    <w:multiLevelType w:val="singleLevel"/>
    <w:tmpl w:val="DC3060D5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373518C1"/>
    <w:multiLevelType w:val="multilevel"/>
    <w:tmpl w:val="373518C1"/>
    <w:lvl w:ilvl="0" w:tentative="0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2I2YTM4MzJlNjhmNGU5ZGMyMTAxNTcyNGFlMDIifQ=="/>
    <w:docVar w:name="KSO_WPS_MARK_KEY" w:val="7a81dccc-1fea-492e-b29a-3017a7ac785e"/>
  </w:docVars>
  <w:rsids>
    <w:rsidRoot w:val="004506F9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82373"/>
    <w:rsid w:val="001A67DB"/>
    <w:rsid w:val="001C3C29"/>
    <w:rsid w:val="001D51E5"/>
    <w:rsid w:val="001E080D"/>
    <w:rsid w:val="001E53D0"/>
    <w:rsid w:val="001F0C3B"/>
    <w:rsid w:val="00202C82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D06FF"/>
    <w:rsid w:val="00DD5FE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15962D28"/>
    <w:rsid w:val="1D97DEFF"/>
    <w:rsid w:val="1DFF72E5"/>
    <w:rsid w:val="1EFC6F07"/>
    <w:rsid w:val="2FDF85B8"/>
    <w:rsid w:val="2FFFEE04"/>
    <w:rsid w:val="34DF85B0"/>
    <w:rsid w:val="3A0E4972"/>
    <w:rsid w:val="3B8F36BC"/>
    <w:rsid w:val="491FF225"/>
    <w:rsid w:val="49AA5A5B"/>
    <w:rsid w:val="4E336E7E"/>
    <w:rsid w:val="4E395582"/>
    <w:rsid w:val="4FFD214C"/>
    <w:rsid w:val="5777D4F5"/>
    <w:rsid w:val="59DD8326"/>
    <w:rsid w:val="5DEF592A"/>
    <w:rsid w:val="5FC6BB1E"/>
    <w:rsid w:val="5FF720F1"/>
    <w:rsid w:val="646D0D23"/>
    <w:rsid w:val="67AF5D43"/>
    <w:rsid w:val="67FF5C0B"/>
    <w:rsid w:val="6B8C6F93"/>
    <w:rsid w:val="6D281506"/>
    <w:rsid w:val="6EFC0924"/>
    <w:rsid w:val="6FB74722"/>
    <w:rsid w:val="6FEF8B7E"/>
    <w:rsid w:val="71A6591B"/>
    <w:rsid w:val="731A0A41"/>
    <w:rsid w:val="737D59BA"/>
    <w:rsid w:val="77C37683"/>
    <w:rsid w:val="79FF515B"/>
    <w:rsid w:val="7E9E1962"/>
    <w:rsid w:val="7E9F11B4"/>
    <w:rsid w:val="7F37EC1E"/>
    <w:rsid w:val="7F7DCD9D"/>
    <w:rsid w:val="7F970A6F"/>
    <w:rsid w:val="7FC1FFF3"/>
    <w:rsid w:val="7FC69637"/>
    <w:rsid w:val="7FDF8620"/>
    <w:rsid w:val="7FFB242F"/>
    <w:rsid w:val="7FFDB408"/>
    <w:rsid w:val="7FFE4EEB"/>
    <w:rsid w:val="95FB2B98"/>
    <w:rsid w:val="9A639BC2"/>
    <w:rsid w:val="9FF7D786"/>
    <w:rsid w:val="ABBFB23D"/>
    <w:rsid w:val="BFEF38F7"/>
    <w:rsid w:val="C3B4DA5A"/>
    <w:rsid w:val="CBFF70E0"/>
    <w:rsid w:val="CFF50B82"/>
    <w:rsid w:val="CFFFAD89"/>
    <w:rsid w:val="DFFE359E"/>
    <w:rsid w:val="DFFE4FFD"/>
    <w:rsid w:val="EEABED75"/>
    <w:rsid w:val="F56FDF51"/>
    <w:rsid w:val="F6B69F17"/>
    <w:rsid w:val="F77F1D61"/>
    <w:rsid w:val="F7FED3A9"/>
    <w:rsid w:val="F8C9DB26"/>
    <w:rsid w:val="F97E8EAE"/>
    <w:rsid w:val="FB36E1A6"/>
    <w:rsid w:val="FB3BE134"/>
    <w:rsid w:val="FCFF4275"/>
    <w:rsid w:val="FD7FEEEA"/>
    <w:rsid w:val="FDBD46D2"/>
    <w:rsid w:val="FDFFB577"/>
    <w:rsid w:val="FEEA50FE"/>
    <w:rsid w:val="FEFF10A2"/>
    <w:rsid w:val="FF7D47A9"/>
    <w:rsid w:val="FF7FB423"/>
    <w:rsid w:val="FFBFCDA6"/>
    <w:rsid w:val="FFCF21CB"/>
    <w:rsid w:val="FFFF1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Number"/>
    <w:basedOn w:val="1"/>
    <w:qFormat/>
    <w:uiPriority w:val="0"/>
    <w:pPr>
      <w:numPr>
        <w:ilvl w:val="0"/>
        <w:numId w:val="1"/>
      </w:numPr>
      <w:jc w:val="both"/>
      <w:textAlignment w:val="baseline"/>
    </w:p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next w:val="5"/>
    <w:unhideWhenUsed/>
    <w:qFormat/>
    <w:uiPriority w:val="99"/>
    <w:pPr>
      <w:widowControl/>
      <w:spacing w:after="120"/>
      <w:ind w:left="420" w:leftChars="200"/>
      <w:jc w:val="left"/>
    </w:pPr>
    <w:rPr>
      <w:rFonts w:ascii="宋体" w:hAnsi="宋体" w:eastAsia="宋体" w:cs="宋体"/>
      <w:kern w:val="0"/>
      <w:sz w:val="24"/>
    </w:rPr>
  </w:style>
  <w:style w:type="paragraph" w:styleId="5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paragraph" w:styleId="6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next w:val="5"/>
    <w:semiHidden/>
    <w:qFormat/>
    <w:uiPriority w:val="0"/>
    <w:pPr>
      <w:snapToGrid w:val="0"/>
      <w:jc w:val="left"/>
    </w:pPr>
    <w:rPr>
      <w:sz w:val="18"/>
      <w:szCs w:val="18"/>
    </w:r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7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3629</Words>
  <Characters>3957</Characters>
  <Lines>63</Lines>
  <Paragraphs>18</Paragraphs>
  <TotalTime>1</TotalTime>
  <ScaleCrop>false</ScaleCrop>
  <LinksUpToDate>false</LinksUpToDate>
  <CharactersWithSpaces>3974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2020-07-08T10:32:00Z</dcterms:created>
  <dc:creator>李航 null</dc:creator>
  <cp:lastModifiedBy>李天乐</cp:lastModifiedBy>
  <cp:lastPrinted>2024-08-08T18:20:00Z</cp:lastPrinted>
  <dcterms:modified xsi:type="dcterms:W3CDTF">2026-01-04T14:22:05Z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EA488EF09E024D2A972FD637B1694D73</vt:lpwstr>
  </property>
  <property fmtid="{D5CDD505-2E9C-101B-9397-08002B2CF9AE}" pid="4" name="KSOTemplateDocerSaveRecord">
    <vt:lpwstr>eyJoZGlkIjoiYWNjNTk2OTRjYzEzNTI3Yzk4MDU3ZTg2ZjlhODM2NDAiLCJ1c2VySWQiOiIxNDkyNDM0OTU4In0=</vt:lpwstr>
  </property>
</Properties>
</file>