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2023年度部门整体支出绩效评价基础数据表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tbl>
      <w:tblPr>
        <w:tblStyle w:val="20"/>
        <w:tblW w:w="927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9"/>
        <w:gridCol w:w="964"/>
        <w:gridCol w:w="965"/>
        <w:gridCol w:w="1"/>
        <w:gridCol w:w="985"/>
        <w:gridCol w:w="986"/>
        <w:gridCol w:w="978"/>
        <w:gridCol w:w="9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编制数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2022年决算数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2023年决算数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三公经费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0.14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其中：公车购置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59" w:firstLineChars="695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公车运行维护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2、出国经费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3、公务接待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0.14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核工业补助金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公用经费：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150.48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162.19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其中：办公经费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4.25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15.33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水费、电费、差旅费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3.25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会议费、培训费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政府采购金额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85.82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551.17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544.78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楼堂馆所控制情况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批复规模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（㎡）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实际规模（㎡）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预算投资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投资概算控制率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厉行节约保障措施</w:t>
            </w:r>
          </w:p>
        </w:tc>
        <w:tc>
          <w:tcPr>
            <w:tcW w:w="585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减少不必要的开支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</w:rPr>
        <w:t>说明：“项目支出” 需要填报基本支出以外的所有项目支出情况，“公用经费”填报基本支出</w:t>
      </w:r>
      <w:r>
        <w:rPr>
          <w:rFonts w:hint="eastAsia"/>
          <w:lang w:eastAsia="zh-CN"/>
        </w:rPr>
        <w:t>中的一般商品和服务支出。</w:t>
      </w: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竺凯</w:t>
      </w:r>
      <w:r>
        <w:rPr>
          <w:rFonts w:hint="eastAsia"/>
        </w:rPr>
        <w:t xml:space="preserve">        填报日期：       联系电话：</w:t>
      </w:r>
      <w:r>
        <w:rPr>
          <w:rFonts w:hint="eastAsia"/>
          <w:lang w:val="en-US" w:eastAsia="zh-CN"/>
        </w:rPr>
        <w:t>15073017177</w:t>
      </w:r>
      <w:r>
        <w:rPr>
          <w:rFonts w:hint="eastAsia"/>
        </w:rPr>
        <w:t xml:space="preserve">          单位负责人签字：</w:t>
      </w:r>
      <w:r>
        <w:rPr>
          <w:rFonts w:hint="eastAsia"/>
          <w:lang w:eastAsia="zh-CN"/>
        </w:rPr>
        <w:t>蔡鸿</w:t>
      </w:r>
    </w:p>
    <w:p>
      <w:pPr>
        <w:rPr>
          <w:spacing w:val="-13"/>
          <w:sz w:val="22"/>
          <w:szCs w:val="22"/>
        </w:rPr>
      </w:pPr>
      <w:r>
        <w:rPr>
          <w:spacing w:val="-13"/>
          <w:sz w:val="22"/>
          <w:szCs w:val="2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3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pStyle w:val="2"/>
      </w:pPr>
    </w:p>
    <w:p/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2023年度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  <w:lang w:eastAsia="zh-CN"/>
        </w:rPr>
        <w:t>华容县养老和工伤保险服务中心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整体支出</w:t>
      </w:r>
    </w:p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绩效自评报告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eastAsia="zh-CN"/>
        </w:rPr>
        <w:t>华容县养老和工伤保险服务中心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pacing w:val="-118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75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 w:color="auto"/>
        </w:rPr>
        <w:t>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</w:t>
      </w:r>
    </w:p>
    <w:p>
      <w:pPr>
        <w:spacing w:before="228" w:line="222" w:lineRule="auto"/>
        <w:ind w:firstLine="2432" w:firstLineChars="800"/>
        <w:jc w:val="both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  <w:lang w:val="en-US" w:eastAsia="zh-CN"/>
        </w:rPr>
        <w:t>2024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年</w:t>
      </w:r>
      <w:r>
        <w:rPr>
          <w:rFonts w:hint="eastAsia" w:asciiTheme="majorEastAsia" w:hAnsiTheme="majorEastAsia" w:eastAsiaTheme="majorEastAsia" w:cstheme="majorEastAsia"/>
          <w:spacing w:val="21"/>
          <w:sz w:val="32"/>
          <w:szCs w:val="32"/>
        </w:rPr>
        <w:t xml:space="preserve">  </w:t>
      </w:r>
      <w:r>
        <w:rPr>
          <w:rFonts w:hint="eastAsia" w:asciiTheme="majorEastAsia" w:hAnsiTheme="majorEastAsia" w:eastAsiaTheme="majorEastAsia" w:cstheme="majorEastAsia"/>
          <w:spacing w:val="21"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月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>
      <w:r>
        <w:br w:type="page"/>
      </w:r>
    </w:p>
    <w:p>
      <w:pPr>
        <w:pStyle w:val="2"/>
        <w:sectPr>
          <w:footerReference r:id="rId3" w:type="default"/>
          <w:pgSz w:w="11905" w:h="16838"/>
          <w:pgMar w:top="1984" w:right="1701" w:bottom="1984" w:left="1701" w:header="850" w:footer="1587" w:gutter="0"/>
          <w:pgNumType w:fmt="numberInDash" w:start="7"/>
          <w:cols w:space="0" w:num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</w:rPr>
        <w:t>年度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华容县</w:t>
      </w:r>
      <w:r>
        <w:rPr>
          <w:rFonts w:hint="eastAsia" w:ascii="宋体" w:hAnsi="宋体" w:cs="宋体"/>
          <w:sz w:val="44"/>
          <w:szCs w:val="44"/>
          <w:lang w:eastAsia="zh-CN"/>
        </w:rPr>
        <w:t>养老和工伤保险服务中心</w:t>
      </w:r>
      <w:r>
        <w:rPr>
          <w:rFonts w:hint="eastAsia" w:ascii="宋体" w:hAnsi="宋体" w:eastAsia="宋体" w:cs="宋体"/>
          <w:sz w:val="44"/>
          <w:szCs w:val="44"/>
        </w:rPr>
        <w:t>整体支出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根据《华容县财政局关于开展2023年度部门整体支出绩效自评工作的通知》（华财函〔2024〕103号）的相关规定和要求，现对我部门2023年度整体支出开展绩效自评，现将情况汇报如下：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numPr>
          <w:ilvl w:val="0"/>
          <w:numId w:val="1"/>
        </w:numPr>
        <w:spacing w:before="101" w:line="228" w:lineRule="auto"/>
        <w:ind w:left="648"/>
        <w:rPr>
          <w:rFonts w:hint="eastAsia" w:ascii="宋体" w:hAnsi="宋体" w:eastAsia="宋体" w:cs="宋体"/>
          <w:spacing w:val="5"/>
          <w:sz w:val="32"/>
          <w:szCs w:val="32"/>
        </w:rPr>
      </w:pPr>
      <w:r>
        <w:rPr>
          <w:rFonts w:hint="eastAsia" w:ascii="宋体" w:hAnsi="宋体" w:eastAsia="宋体" w:cs="宋体"/>
          <w:spacing w:val="5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华容县</w:t>
      </w:r>
      <w:r>
        <w:rPr>
          <w:rFonts w:hint="eastAsia" w:ascii="宋体" w:hAnsi="宋体" w:cs="宋体"/>
          <w:sz w:val="32"/>
          <w:lang w:val="en-US" w:eastAsia="zh-CN"/>
        </w:rPr>
        <w:t>养老和工伤保险服务中心</w:t>
      </w:r>
      <w:r>
        <w:rPr>
          <w:rFonts w:hint="eastAsia" w:ascii="宋体" w:hAnsi="宋体" w:eastAsia="宋体" w:cs="宋体"/>
          <w:sz w:val="32"/>
          <w:lang w:val="en-US" w:eastAsia="zh-CN"/>
        </w:rPr>
        <w:t>现有人员编制</w:t>
      </w:r>
      <w:r>
        <w:rPr>
          <w:rFonts w:hint="eastAsia" w:ascii="宋体" w:hAnsi="宋体" w:cs="宋体"/>
          <w:sz w:val="32"/>
          <w:lang w:val="en-US" w:eastAsia="zh-CN"/>
        </w:rPr>
        <w:t>35</w:t>
      </w:r>
      <w:r>
        <w:rPr>
          <w:rFonts w:hint="eastAsia" w:ascii="宋体" w:hAnsi="宋体" w:eastAsia="宋体" w:cs="宋体"/>
          <w:sz w:val="32"/>
          <w:lang w:val="en-US" w:eastAsia="zh-CN"/>
        </w:rPr>
        <w:t>名（其中：行政编制</w:t>
      </w:r>
      <w:r>
        <w:rPr>
          <w:rFonts w:hint="eastAsia" w:ascii="宋体" w:hAnsi="宋体" w:cs="宋体"/>
          <w:sz w:val="32"/>
          <w:lang w:val="en-US" w:eastAsia="zh-CN"/>
        </w:rPr>
        <w:t>17</w:t>
      </w:r>
      <w:r>
        <w:rPr>
          <w:rFonts w:hint="eastAsia" w:ascii="宋体" w:hAnsi="宋体" w:eastAsia="宋体" w:cs="宋体"/>
          <w:sz w:val="32"/>
          <w:lang w:val="en-US" w:eastAsia="zh-CN"/>
        </w:rPr>
        <w:t>名，事业全额编制</w:t>
      </w:r>
      <w:r>
        <w:rPr>
          <w:rFonts w:hint="eastAsia" w:ascii="宋体" w:hAnsi="宋体" w:cs="宋体"/>
          <w:sz w:val="32"/>
          <w:lang w:val="en-US" w:eastAsia="zh-CN"/>
        </w:rPr>
        <w:t>18</w:t>
      </w:r>
      <w:r>
        <w:rPr>
          <w:rFonts w:hint="eastAsia" w:ascii="宋体" w:hAnsi="宋体" w:eastAsia="宋体" w:cs="宋体"/>
          <w:sz w:val="32"/>
          <w:lang w:val="en-US" w:eastAsia="zh-CN"/>
        </w:rPr>
        <w:t>名），实有在职干部、职工</w:t>
      </w:r>
      <w:r>
        <w:rPr>
          <w:rFonts w:hint="eastAsia" w:ascii="宋体" w:hAnsi="宋体" w:cs="宋体"/>
          <w:sz w:val="32"/>
          <w:lang w:val="en-US" w:eastAsia="zh-CN"/>
        </w:rPr>
        <w:t>35</w:t>
      </w:r>
      <w:r>
        <w:rPr>
          <w:rFonts w:hint="eastAsia" w:ascii="宋体" w:hAnsi="宋体" w:eastAsia="宋体" w:cs="宋体"/>
          <w:sz w:val="32"/>
          <w:lang w:val="en-US" w:eastAsia="zh-CN"/>
        </w:rPr>
        <w:t>人。</w:t>
      </w:r>
    </w:p>
    <w:p>
      <w:pPr>
        <w:spacing w:before="216" w:line="226" w:lineRule="auto"/>
        <w:ind w:left="648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2023年我单位基本支出共</w:t>
      </w:r>
      <w:r>
        <w:rPr>
          <w:rFonts w:hint="eastAsia" w:ascii="宋体" w:hAnsi="宋体" w:cs="宋体"/>
          <w:sz w:val="32"/>
          <w:lang w:val="en-US" w:eastAsia="zh-CN"/>
        </w:rPr>
        <w:t>544.77</w:t>
      </w:r>
      <w:r>
        <w:rPr>
          <w:rFonts w:hint="eastAsia" w:ascii="宋体" w:hAnsi="宋体" w:eastAsia="宋体" w:cs="宋体"/>
          <w:sz w:val="32"/>
          <w:lang w:val="en-US" w:eastAsia="zh-CN"/>
        </w:rPr>
        <w:t>万元，主要用于职工的工资福利支出、五险一金支出及商品服务支出；其中人员经费</w:t>
      </w:r>
      <w:r>
        <w:rPr>
          <w:rFonts w:hint="eastAsia" w:ascii="宋体" w:hAnsi="宋体" w:cs="宋体"/>
          <w:sz w:val="32"/>
          <w:lang w:val="en-US" w:eastAsia="zh-CN"/>
        </w:rPr>
        <w:t>382.58</w:t>
      </w:r>
      <w:r>
        <w:rPr>
          <w:rFonts w:hint="eastAsia" w:ascii="宋体" w:hAnsi="宋体" w:eastAsia="宋体" w:cs="宋体"/>
          <w:sz w:val="32"/>
          <w:lang w:val="en-US" w:eastAsia="zh-CN"/>
        </w:rPr>
        <w:t>万元，日常公用经费</w:t>
      </w:r>
      <w:r>
        <w:rPr>
          <w:rFonts w:hint="eastAsia" w:ascii="宋体" w:hAnsi="宋体" w:cs="宋体"/>
          <w:sz w:val="32"/>
          <w:lang w:val="en-US" w:eastAsia="zh-CN"/>
        </w:rPr>
        <w:t>162.19</w:t>
      </w:r>
      <w:r>
        <w:rPr>
          <w:rFonts w:hint="eastAsia" w:ascii="宋体" w:hAnsi="宋体" w:eastAsia="宋体" w:cs="宋体"/>
          <w:sz w:val="32"/>
          <w:lang w:val="en-US" w:eastAsia="zh-CN"/>
        </w:rPr>
        <w:t>万元。2022年基本支出中人员经费</w:t>
      </w:r>
      <w:r>
        <w:rPr>
          <w:rFonts w:hint="eastAsia" w:ascii="宋体" w:hAnsi="宋体" w:cs="宋体"/>
          <w:sz w:val="32"/>
          <w:lang w:val="en-US" w:eastAsia="zh-CN"/>
        </w:rPr>
        <w:t>400.68</w:t>
      </w:r>
      <w:r>
        <w:rPr>
          <w:rFonts w:hint="eastAsia" w:ascii="宋体" w:hAnsi="宋体" w:eastAsia="宋体" w:cs="宋体"/>
          <w:sz w:val="32"/>
          <w:lang w:val="en-US" w:eastAsia="zh-CN"/>
        </w:rPr>
        <w:t>万元，本年比上年</w:t>
      </w:r>
      <w:r>
        <w:rPr>
          <w:rFonts w:hint="eastAsia" w:ascii="宋体" w:hAnsi="宋体" w:cs="宋体"/>
          <w:sz w:val="32"/>
          <w:lang w:val="en-US" w:eastAsia="zh-CN"/>
        </w:rPr>
        <w:t>减少18.1</w:t>
      </w:r>
      <w:r>
        <w:rPr>
          <w:rFonts w:hint="eastAsia" w:ascii="宋体" w:hAnsi="宋体" w:eastAsia="宋体" w:cs="宋体"/>
          <w:sz w:val="32"/>
          <w:lang w:val="en-US" w:eastAsia="zh-CN"/>
        </w:rPr>
        <w:t>万元，</w:t>
      </w:r>
      <w:r>
        <w:rPr>
          <w:rFonts w:hint="eastAsia" w:ascii="宋体" w:hAnsi="宋体" w:cs="宋体"/>
          <w:sz w:val="32"/>
          <w:lang w:val="en-US" w:eastAsia="zh-CN"/>
        </w:rPr>
        <w:t>减幅4.7</w:t>
      </w:r>
      <w:r>
        <w:rPr>
          <w:rFonts w:hint="eastAsia" w:ascii="宋体" w:hAnsi="宋体" w:eastAsia="宋体" w:cs="宋体"/>
          <w:sz w:val="32"/>
          <w:lang w:val="en-US" w:eastAsia="zh-CN"/>
        </w:rPr>
        <w:t>%，；日常公用经费</w:t>
      </w:r>
      <w:r>
        <w:rPr>
          <w:rFonts w:hint="eastAsia" w:ascii="宋体" w:hAnsi="宋体" w:cs="宋体"/>
          <w:sz w:val="32"/>
          <w:lang w:val="en-US" w:eastAsia="zh-CN"/>
        </w:rPr>
        <w:t>150.48</w:t>
      </w:r>
      <w:r>
        <w:rPr>
          <w:rFonts w:hint="eastAsia" w:ascii="宋体" w:hAnsi="宋体" w:eastAsia="宋体" w:cs="宋体"/>
          <w:sz w:val="32"/>
          <w:lang w:val="en-US" w:eastAsia="zh-CN"/>
        </w:rPr>
        <w:t>万元，本年上年度减少</w:t>
      </w:r>
      <w:r>
        <w:rPr>
          <w:rFonts w:hint="eastAsia" w:ascii="宋体" w:hAnsi="宋体" w:cs="宋体"/>
          <w:sz w:val="32"/>
          <w:lang w:val="en-US" w:eastAsia="zh-CN"/>
        </w:rPr>
        <w:t>11.71万元</w:t>
      </w:r>
      <w:r>
        <w:rPr>
          <w:rFonts w:hint="eastAsia" w:ascii="宋体" w:hAnsi="宋体" w:eastAsia="宋体" w:cs="宋体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default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2023年项目支出为</w:t>
      </w:r>
      <w:r>
        <w:rPr>
          <w:rFonts w:hint="eastAsia" w:ascii="宋体" w:hAnsi="宋体" w:cs="宋体"/>
          <w:sz w:val="32"/>
          <w:lang w:val="en-US" w:eastAsia="zh-CN"/>
        </w:rPr>
        <w:t>0.26</w:t>
      </w:r>
      <w:r>
        <w:rPr>
          <w:rFonts w:hint="eastAsia" w:ascii="宋体" w:hAnsi="宋体" w:eastAsia="宋体" w:cs="宋体"/>
          <w:sz w:val="32"/>
          <w:lang w:val="en-US" w:eastAsia="zh-CN"/>
        </w:rPr>
        <w:t>万元，占总支出的</w:t>
      </w:r>
      <w:r>
        <w:rPr>
          <w:rFonts w:hint="eastAsia" w:ascii="宋体" w:hAnsi="宋体" w:cs="宋体"/>
          <w:sz w:val="32"/>
          <w:lang w:val="en-US" w:eastAsia="zh-CN"/>
        </w:rPr>
        <w:t>0.4</w:t>
      </w:r>
      <w:r>
        <w:rPr>
          <w:rFonts w:hint="eastAsia" w:ascii="宋体" w:hAnsi="宋体" w:eastAsia="宋体" w:cs="宋体"/>
          <w:sz w:val="32"/>
          <w:lang w:val="en-US" w:eastAsia="zh-CN"/>
        </w:rPr>
        <w:t>%</w:t>
      </w:r>
      <w:r>
        <w:rPr>
          <w:rFonts w:hint="eastAsia" w:ascii="宋体" w:hAnsi="宋体" w:cs="宋体"/>
          <w:sz w:val="32"/>
          <w:lang w:val="en-US" w:eastAsia="zh-CN"/>
        </w:rPr>
        <w:t>。</w:t>
      </w:r>
    </w:p>
    <w:p>
      <w:pPr>
        <w:numPr>
          <w:ilvl w:val="0"/>
          <w:numId w:val="1"/>
        </w:numPr>
        <w:spacing w:before="224" w:line="227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政府性基金预算支出情况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2023年政府性基金预算支出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万元,主要是移民补助、基础设施建设等商品和服务支出。其中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商品和服务支出0万元，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对个人和家庭的补助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万元，资本性支出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万元。</w:t>
      </w:r>
    </w:p>
    <w:p>
      <w:pPr>
        <w:numPr>
          <w:ilvl w:val="0"/>
          <w:numId w:val="1"/>
        </w:numPr>
        <w:spacing w:before="219" w:line="600" w:lineRule="exact"/>
        <w:ind w:left="648" w:leftChars="0" w:firstLine="0" w:firstLineChars="0"/>
        <w:rPr>
          <w:rFonts w:hint="eastAsia" w:ascii="宋体" w:hAnsi="宋体" w:eastAsia="宋体" w:cs="宋体"/>
          <w:spacing w:val="7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spacing w:val="7"/>
          <w:position w:val="21"/>
          <w:sz w:val="32"/>
          <w:szCs w:val="32"/>
        </w:rPr>
        <w:t>国有资本经营预算支出情况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2023年无国有资本经营预算支出。</w:t>
      </w:r>
    </w:p>
    <w:p>
      <w:pPr>
        <w:numPr>
          <w:ilvl w:val="0"/>
          <w:numId w:val="1"/>
        </w:numPr>
        <w:spacing w:line="227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社会保险基金预算支出情况</w:t>
      </w:r>
    </w:p>
    <w:p>
      <w:pPr>
        <w:pStyle w:val="12"/>
        <w:numPr>
          <w:ilvl w:val="0"/>
          <w:numId w:val="0"/>
        </w:numPr>
        <w:ind w:left="648" w:leftChars="0"/>
        <w:rPr>
          <w:rFonts w:hint="eastAsia" w:ascii="宋体" w:hAnsi="宋体" w:eastAsia="宋体" w:cs="宋体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24"/>
          <w:lang w:val="en-US" w:eastAsia="zh-CN" w:bidi="ar-SA"/>
        </w:rPr>
        <w:t>2023年无社会保险基金预算支出。</w:t>
      </w:r>
    </w:p>
    <w:p>
      <w:pPr>
        <w:numPr>
          <w:ilvl w:val="0"/>
          <w:numId w:val="1"/>
        </w:numPr>
        <w:spacing w:before="219" w:line="226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部门整体支出绩效情况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城乡居民养老保险目标任务。一是做好政府代缴工作。将符合参保缴费条件的贫困户全部纳入政府代缴保费范围，做到不漏一人。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我县全面落实被征地农民养老保险。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退捕渔民养老保险回头看工作。根据县农业农村局提供的数据，我县确定的应享受社保补贴渔民583人，目前已全部参保，参保率100%。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政策宣传工作。今年来，我中心专门组织人员下乡进行养老保险政策宣传工作，针对群众关心的养老保险参保缴费、关系转移、资格认证等问题，悉心为群众进行讲解并发放宣传册，为群众提供“看得懂，算得清”的服务。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基金管理防风险堵漏洞专项整治工作。</w:t>
      </w:r>
    </w:p>
    <w:p>
      <w:pPr>
        <w:snapToGrid w:val="0"/>
        <w:spacing w:line="52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全面开展养老保险待遇核查“回头看”。共追回资金1858042.22元，追缴率达到100%。</w:t>
      </w:r>
    </w:p>
    <w:p>
      <w:pPr>
        <w:spacing w:before="220" w:line="600" w:lineRule="exact"/>
        <w:ind w:left="641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cs="宋体"/>
          <w:spacing w:val="9"/>
          <w:position w:val="21"/>
          <w:sz w:val="32"/>
          <w:szCs w:val="32"/>
          <w:lang w:eastAsia="zh-CN"/>
        </w:rPr>
        <w:t>六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、存在的问题及原因分析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1.预算绩效指标体系存在进一步完善的空间，我单位现建立的各项预算绩效目标指标仍有不科学、不细致的地方，影响了预算绩效评价的结果。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2.预算绩效管理经验需要进一步积累。因为预算绩效管理工作具有政策性强、专业性强、涉及面广、操作难度大等特点，经验不足，导致工作多走许多弯路，影响工作效果。</w:t>
      </w:r>
    </w:p>
    <w:p>
      <w:pPr>
        <w:spacing w:line="227" w:lineRule="auto"/>
        <w:ind w:left="643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cs="宋体"/>
          <w:spacing w:val="8"/>
          <w:sz w:val="32"/>
          <w:szCs w:val="32"/>
          <w:lang w:eastAsia="zh-CN"/>
        </w:rPr>
        <w:t>七</w:t>
      </w:r>
      <w:r>
        <w:rPr>
          <w:rFonts w:hint="eastAsia" w:ascii="宋体" w:hAnsi="宋体" w:eastAsia="宋体" w:cs="宋体"/>
          <w:spacing w:val="8"/>
          <w:sz w:val="32"/>
          <w:szCs w:val="32"/>
        </w:rPr>
        <w:t>、下一步改进措施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、细化预算编制工作，认真做好预算的编制。进一步加强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；进一步细化“三公”经费的管理，合理压缩“三公”经费支出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4、对相关人员加强培训，特别是针对《预算法》、《行政事业单位会计制度》等学习培训，规范部门预算收支核算，切实提高部门预算收支管理水平。 </w:t>
      </w:r>
    </w:p>
    <w:p>
      <w:pPr>
        <w:numPr>
          <w:ilvl w:val="0"/>
          <w:numId w:val="0"/>
        </w:numPr>
        <w:spacing w:before="220" w:line="600" w:lineRule="exact"/>
        <w:ind w:left="210" w:leftChars="0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cs="宋体"/>
          <w:spacing w:val="9"/>
          <w:position w:val="21"/>
          <w:sz w:val="32"/>
          <w:szCs w:val="32"/>
          <w:lang w:eastAsia="zh-CN"/>
        </w:rPr>
        <w:t>八、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部门整体支出绩效自评结果拟应用和公开情况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1、在下一年度制定绩效目标时，将对往年的工作程序进行反馈，关注最新的发展变化，制定与时俱进的绩效目标，提高绩效目标的可操作性。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拟与预算安排相结合的情况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在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制定合理、可操作的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绩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效目标基础上，将根据年度预算情况，加强对预算执行的监控，提高与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相关部门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的协调配合，跟进资金使用情况，保证资金的执行率，提高资金的使用效益。定期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找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准资金使用过程中与绩效存在差异的地方，及时修正，保证年度目标绩效能按时完成。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 xml:space="preserve">          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3、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拟公开情况按照政府信息公开相关要求，将绩效自评结果在本单位网站上公开。</w:t>
      </w:r>
    </w:p>
    <w:p>
      <w:pPr>
        <w:pStyle w:val="12"/>
        <w:numPr>
          <w:ilvl w:val="0"/>
          <w:numId w:val="0"/>
        </w:numPr>
        <w:ind w:leftChars="400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十、其他需要说明的情况</w:t>
      </w:r>
    </w:p>
    <w:p>
      <w:pPr>
        <w:spacing w:before="220" w:line="600" w:lineRule="exact"/>
        <w:ind w:left="641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spacing w:val="9"/>
          <w:position w:val="21"/>
          <w:sz w:val="32"/>
          <w:szCs w:val="32"/>
          <w:lang w:eastAsia="zh-CN"/>
        </w:rPr>
        <w:t>无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br w:type="page"/>
      </w:r>
    </w:p>
    <w:p>
      <w:pPr>
        <w:spacing w:before="220" w:line="600" w:lineRule="exact"/>
        <w:ind w:left="641"/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sectPr>
          <w:footerReference r:id="rId4" w:type="default"/>
          <w:pgSz w:w="11905" w:h="16838"/>
          <w:pgMar w:top="1984" w:right="1701" w:bottom="1984" w:left="1701" w:header="850" w:footer="992" w:gutter="0"/>
          <w:pgNumType w:fmt="numberInDash"/>
          <w:cols w:space="0" w:num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32"/>
          <w:szCs w:val="32"/>
        </w:rPr>
        <w:t>附件</w:t>
      </w:r>
      <w:r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pacing w:val="6"/>
          <w:sz w:val="44"/>
          <w:szCs w:val="44"/>
        </w:rPr>
      </w:pPr>
      <w:r>
        <w:rPr>
          <w:rFonts w:hint="eastAsia" w:ascii="宋体" w:hAnsi="宋体" w:eastAsia="宋体" w:cs="宋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  <w:rPr>
          <w:rFonts w:hint="eastAsia" w:ascii="宋体" w:hAnsi="宋体" w:eastAsia="宋体" w:cs="宋体"/>
        </w:rPr>
      </w:pPr>
    </w:p>
    <w:tbl>
      <w:tblPr>
        <w:tblStyle w:val="20"/>
        <w:tblW w:w="5065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86"/>
        <w:gridCol w:w="965"/>
        <w:gridCol w:w="28"/>
        <w:gridCol w:w="991"/>
        <w:gridCol w:w="1059"/>
        <w:gridCol w:w="1003"/>
        <w:gridCol w:w="691"/>
        <w:gridCol w:w="717"/>
        <w:gridCol w:w="13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160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省级预算部门、单位名称</w:t>
            </w:r>
          </w:p>
        </w:tc>
        <w:tc>
          <w:tcPr>
            <w:tcW w:w="3392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华容县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养老和工伤保险服务中心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47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预算数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预算数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执行数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分值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执行率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年度资金总额</w:t>
            </w:r>
          </w:p>
        </w:tc>
        <w:tc>
          <w:tcPr>
            <w:tcW w:w="59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21626.72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545.03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545.03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按收入性质分：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545.03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按支出性质分：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3300.67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其中：一般公共预算：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545.03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其中：基本支出：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544.77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政府性基金拨款：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项目支出：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纳入专户管理的非税收入拨款：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其他资金：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体目标</w:t>
            </w: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预期目标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完成全县养老保险参保人数目标任务；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每月及时、足额发放退休人员养老金；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目标3：提高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经办人员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服务质量，提升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经办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服务水平；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目标4：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加强经办机构信息化水平</w:t>
            </w:r>
          </w:p>
        </w:tc>
        <w:tc>
          <w:tcPr>
            <w:tcW w:w="218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按要求已完成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47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72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6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指标值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完成值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分值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得分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76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真抓实干督促工作14项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城乡居民参保缴费人数较上年提升5%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1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离退休人员待遇按时足额发放率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养老保险待遇发放时间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（30分）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按政策减少、延迟企业缴纳养老保险费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离退休人员养老金发放覆盖率100%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办公节能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达标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按量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参保对象对经办机构认可度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/>
              <w:jc w:val="center"/>
              <w:textAlignment w:val="auto"/>
              <w:rPr>
                <w:rFonts w:hint="default" w:ascii="新宋体" w:hAnsi="新宋体" w:eastAsia="新宋体" w:cs="新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93%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预算内成本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545.03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545.03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财政拨款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545.03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545.03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7万元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2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上级补助收入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394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总分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7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竺凯</w:t>
      </w:r>
      <w:r>
        <w:rPr>
          <w:rFonts w:hint="eastAsia"/>
        </w:rPr>
        <w:t xml:space="preserve">        填报日期：       联系电话：</w:t>
      </w:r>
      <w:r>
        <w:rPr>
          <w:rFonts w:hint="eastAsia"/>
          <w:lang w:val="en-US" w:eastAsia="zh-CN"/>
        </w:rPr>
        <w:t>15073017177</w:t>
      </w:r>
      <w:r>
        <w:rPr>
          <w:rFonts w:hint="eastAsia"/>
        </w:rPr>
        <w:t xml:space="preserve">          单位负责人签字：</w:t>
      </w:r>
      <w:r>
        <w:rPr>
          <w:rFonts w:hint="eastAsia"/>
          <w:lang w:eastAsia="zh-CN"/>
        </w:rPr>
        <w:t>蔡鸿</w:t>
      </w:r>
    </w:p>
    <w:p>
      <w:pPr>
        <w:rPr>
          <w:rFonts w:hint="eastAsia"/>
          <w:lang w:val="en-US" w:eastAsia="zh-CN"/>
        </w:rPr>
      </w:pPr>
    </w:p>
    <w:sectPr>
      <w:footerReference r:id="rId5" w:type="default"/>
      <w:pgSz w:w="11905" w:h="16838"/>
      <w:pgMar w:top="1984" w:right="1701" w:bottom="1984" w:left="1701" w:header="850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???-18030">
    <w:altName w:val="URW Book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altName w:val="方正书宋_GBK"/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NxeOVFQIAABU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7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8576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PbXR6EgIAABU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DP&#10;bXR6EgIAABU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s0lY&#10;7tAAAAAFAQAADwAAAAAAAAABACAAAAA4AAAAZHJzL2Rvd25yZXYueG1sUEsBAhQAFAAAAAgAh07i&#10;QAdoX50UAgAAFQQAAA4AAAAAAAAAAQAgAAAANQ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DE3BD"/>
    <w:multiLevelType w:val="singleLevel"/>
    <w:tmpl w:val="C59DE3B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9320B48"/>
    <w:multiLevelType w:val="singleLevel"/>
    <w:tmpl w:val="E9320B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bordersDoNotSurroundHeader w:val="0"/>
  <w:bordersDoNotSurroundFooter w:val="0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zMTc3YjllNTI5Y2UyNTk5ZWVjZGQyYjJmYTkwZjcifQ=="/>
    <w:docVar w:name="KSO_WPS_MARK_KEY" w:val="55841f92-a021-4380-99ac-9bd8fcfd3d41"/>
  </w:docVars>
  <w:rsids>
    <w:rsidRoot w:val="0CCB7736"/>
    <w:rsid w:val="00047FEF"/>
    <w:rsid w:val="000A3906"/>
    <w:rsid w:val="001776F1"/>
    <w:rsid w:val="006F0A16"/>
    <w:rsid w:val="00773328"/>
    <w:rsid w:val="00821883"/>
    <w:rsid w:val="00917857"/>
    <w:rsid w:val="00951882"/>
    <w:rsid w:val="00A755C2"/>
    <w:rsid w:val="00D06DD6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153D40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465AEA"/>
    <w:rsid w:val="0ABD557B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5A991E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5C1CDB"/>
    <w:rsid w:val="136F31F8"/>
    <w:rsid w:val="138750E0"/>
    <w:rsid w:val="1396506E"/>
    <w:rsid w:val="13D82A59"/>
    <w:rsid w:val="140E6961"/>
    <w:rsid w:val="15604228"/>
    <w:rsid w:val="15A620D3"/>
    <w:rsid w:val="16A3369E"/>
    <w:rsid w:val="16F5004B"/>
    <w:rsid w:val="17114A8B"/>
    <w:rsid w:val="176B77A7"/>
    <w:rsid w:val="178536BD"/>
    <w:rsid w:val="18952734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6C6BA7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8E30DCE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FB4B41"/>
    <w:rsid w:val="31621165"/>
    <w:rsid w:val="31D50CD0"/>
    <w:rsid w:val="322E1E8E"/>
    <w:rsid w:val="323C5548"/>
    <w:rsid w:val="33235CE2"/>
    <w:rsid w:val="33A4019B"/>
    <w:rsid w:val="33F22F3B"/>
    <w:rsid w:val="34281B05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CA47F2"/>
    <w:rsid w:val="3CDE0708"/>
    <w:rsid w:val="3D33006A"/>
    <w:rsid w:val="3D3954D4"/>
    <w:rsid w:val="3D5877DF"/>
    <w:rsid w:val="3D5C4FEC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2605E1E"/>
    <w:rsid w:val="430118BA"/>
    <w:rsid w:val="43173FD4"/>
    <w:rsid w:val="43B27D8E"/>
    <w:rsid w:val="43D00200"/>
    <w:rsid w:val="44143822"/>
    <w:rsid w:val="44654A12"/>
    <w:rsid w:val="44E421C9"/>
    <w:rsid w:val="45320384"/>
    <w:rsid w:val="457C5F26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CF74D38"/>
    <w:rsid w:val="4D6D6EEB"/>
    <w:rsid w:val="4DB17672"/>
    <w:rsid w:val="4DB27F04"/>
    <w:rsid w:val="4F5D15A2"/>
    <w:rsid w:val="4FCB46B2"/>
    <w:rsid w:val="4FFE57BD"/>
    <w:rsid w:val="50AC44C4"/>
    <w:rsid w:val="50EA6DB9"/>
    <w:rsid w:val="50FC089B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F7A1C50"/>
    <w:rsid w:val="5FC69000"/>
    <w:rsid w:val="601C4AB5"/>
    <w:rsid w:val="604F2F3E"/>
    <w:rsid w:val="60624663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385A33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67F043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5AC62"/>
    <w:rsid w:val="9FFF52D8"/>
    <w:rsid w:val="A7F581DE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  <w:rsid w:val="CD1D59DB"/>
    <w:rsid w:val="D3392114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E4B6327"/>
    <w:rsid w:val="EFFEB24D"/>
    <w:rsid w:val="EFFFEA89"/>
    <w:rsid w:val="F3FFB581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3B6E6A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15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Body Text"/>
    <w:basedOn w:val="1"/>
    <w:next w:val="5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7">
    <w:name w:val="Body Text Indent 2"/>
    <w:basedOn w:val="1"/>
    <w:qFormat/>
    <w:uiPriority w:val="0"/>
    <w:pPr>
      <w:spacing w:after="120" w:afterAutospacing="0" w:line="480" w:lineRule="auto"/>
      <w:ind w:left="420" w:leftChars="200"/>
    </w:pPr>
  </w:style>
  <w:style w:type="paragraph" w:styleId="8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4"/>
    <w:next w:val="1"/>
    <w:qFormat/>
    <w:uiPriority w:val="0"/>
    <w:pPr>
      <w:ind w:firstLine="420" w:firstLineChars="100"/>
    </w:pPr>
  </w:style>
  <w:style w:type="paragraph" w:styleId="12">
    <w:name w:val="Body Text First Indent 2"/>
    <w:basedOn w:val="6"/>
    <w:next w:val="11"/>
    <w:qFormat/>
    <w:uiPriority w:val="0"/>
    <w:pPr>
      <w:spacing w:before="100" w:beforeAutospacing="1" w:after="0"/>
      <w:ind w:left="0" w:firstLine="420" w:firstLineChars="200"/>
    </w:pPr>
    <w:rPr>
      <w:rFonts w:ascii="Calibri" w:hAnsi="Calibri" w:eastAsia="宋体" w:cs="Times New Roman"/>
    </w:rPr>
  </w:style>
  <w:style w:type="table" w:styleId="14">
    <w:name w:val="Table Grid"/>
    <w:basedOn w:val="1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customStyle="1" w:styleId="17">
    <w:name w:val="Footer Char"/>
    <w:basedOn w:val="15"/>
    <w:link w:val="8"/>
    <w:semiHidden/>
    <w:qFormat/>
    <w:uiPriority w:val="99"/>
    <w:rPr>
      <w:sz w:val="18"/>
      <w:szCs w:val="18"/>
    </w:rPr>
  </w:style>
  <w:style w:type="character" w:customStyle="1" w:styleId="18">
    <w:name w:val="Header Char"/>
    <w:basedOn w:val="15"/>
    <w:link w:val="9"/>
    <w:semiHidden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22">
    <w:name w:val="BodyText"/>
    <w:basedOn w:val="1"/>
    <w:next w:val="23"/>
    <w:qFormat/>
    <w:uiPriority w:val="0"/>
    <w:pPr>
      <w:widowControl/>
      <w:spacing w:before="100" w:beforeAutospacing="1" w:after="120" w:line="560" w:lineRule="exact"/>
      <w:ind w:firstLine="640" w:firstLineChars="200"/>
      <w:textAlignment w:val="baseline"/>
    </w:pPr>
    <w:rPr>
      <w:rFonts w:eastAsia="仿宋_GB2312"/>
      <w:sz w:val="32"/>
      <w:szCs w:val="32"/>
    </w:rPr>
  </w:style>
  <w:style w:type="paragraph" w:customStyle="1" w:styleId="23">
    <w:name w:val="UserStyle_3"/>
    <w:basedOn w:val="1"/>
    <w:qFormat/>
    <w:uiPriority w:val="0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560" w:lineRule="exact"/>
      <w:ind w:firstLine="640" w:firstLineChars="200"/>
      <w:jc w:val="center"/>
      <w:textAlignment w:val="baseline"/>
    </w:pPr>
    <w:rPr>
      <w:rFonts w:ascii="???-18030" w:hAnsi="???-18030" w:eastAsia="仿宋_GB2312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12</Pages>
  <Words>4148</Words>
  <Characters>4703</Characters>
  <Lines>0</Lines>
  <Paragraphs>0</Paragraphs>
  <TotalTime>0</TotalTime>
  <ScaleCrop>false</ScaleCrop>
  <LinksUpToDate>false</LinksUpToDate>
  <CharactersWithSpaces>4784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2020-06-07T01:07:00Z</dcterms:created>
  <dc:creator>Administrator</dc:creator>
  <cp:lastModifiedBy>user</cp:lastModifiedBy>
  <cp:lastPrinted>2024-05-21T07:59:00Z</cp:lastPrinted>
  <dcterms:modified xsi:type="dcterms:W3CDTF">2024-05-30T09:56:41Z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KSOSaveFontToCloudKey">
    <vt:lpwstr>386772509_embed</vt:lpwstr>
  </property>
  <property fmtid="{D5CDD505-2E9C-101B-9397-08002B2CF9AE}" pid="4" name="ICV">
    <vt:lpwstr>9CC01C7BD4944ED0AB76D6B45FFD8790_13</vt:lpwstr>
  </property>
</Properties>
</file>