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ind w:left="0"/>
        <w:textAlignment w:val="auto"/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  <w:t>2023年度部门整体支出绩效评价基础数据表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textAlignment w:val="auto"/>
      </w:pPr>
    </w:p>
    <w:tbl>
      <w:tblPr>
        <w:tblStyle w:val="19"/>
        <w:tblW w:w="9277" w:type="dxa"/>
        <w:jc w:val="center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419"/>
        <w:gridCol w:w="964"/>
        <w:gridCol w:w="965"/>
        <w:gridCol w:w="1"/>
        <w:gridCol w:w="985"/>
        <w:gridCol w:w="986"/>
        <w:gridCol w:w="978"/>
        <w:gridCol w:w="979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9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财政供养人员情况（人）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编制数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在职人数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17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17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100%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经费控制情况（万元）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2022年决算数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2023年预算数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2023年决算数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三公经费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0.38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1、公务用车购置和维护经费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其中：公车购置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59" w:firstLineChars="695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公车运行维护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2、出国经费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3、公务接待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0.38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eastAsia" w:ascii="新宋体" w:hAnsi="新宋体" w:eastAsia="新宋体" w:cs="新宋体"/>
                <w:sz w:val="21"/>
                <w:szCs w:val="21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公用经费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54.76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40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其中：办公经费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0.98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2.44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水费、电费、差旅费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6.79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8.46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会议费、培训费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4.84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0.42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政府采购金额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14.76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63.85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部门基本支出预算调整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241.84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263.73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8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楼堂馆所控制情况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（2023年完工项目）</w:t>
            </w: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批复规模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（㎡）</w:t>
            </w: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实际规模（㎡）</w:t>
            </w: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控制率</w:t>
            </w: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预算投资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投资概算控制率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0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厉行节约保障措施</w:t>
            </w:r>
          </w:p>
        </w:tc>
        <w:tc>
          <w:tcPr>
            <w:tcW w:w="5858" w:type="dxa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减少不必要的开支</w:t>
            </w:r>
          </w:p>
        </w:tc>
      </w:tr>
    </w:tbl>
    <w:p>
      <w:pPr>
        <w:rPr>
          <w:rFonts w:hint="eastAsia"/>
          <w:lang w:eastAsia="zh-CN"/>
        </w:rPr>
      </w:pPr>
      <w:r>
        <w:rPr>
          <w:rFonts w:hint="eastAsia"/>
        </w:rPr>
        <w:t>说明：“项目支出” 需要填报基本支出以外的所有项目支出情况，“公用经费”填报基本支出</w:t>
      </w:r>
      <w:r>
        <w:rPr>
          <w:rFonts w:hint="eastAsia"/>
          <w:lang w:eastAsia="zh-CN"/>
        </w:rPr>
        <w:t>中的一般商品和服务支出。</w:t>
      </w:r>
    </w:p>
    <w:p>
      <w:pPr>
        <w:pStyle w:val="9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填表人：</w:t>
      </w:r>
      <w:r>
        <w:rPr>
          <w:rFonts w:hint="eastAsia"/>
          <w:lang w:eastAsia="zh-CN"/>
        </w:rPr>
        <w:t>王琦</w:t>
      </w:r>
      <w:r>
        <w:rPr>
          <w:rFonts w:hint="eastAsia"/>
        </w:rPr>
        <w:t xml:space="preserve">        填报日期：</w:t>
      </w:r>
      <w:r>
        <w:rPr>
          <w:rFonts w:hint="eastAsia"/>
          <w:lang w:val="en-US" w:eastAsia="zh-CN"/>
        </w:rPr>
        <w:t>2024.5.24</w:t>
      </w:r>
      <w:r>
        <w:rPr>
          <w:rFonts w:hint="eastAsia"/>
        </w:rPr>
        <w:t xml:space="preserve">     联系电话：</w:t>
      </w:r>
      <w:r>
        <w:rPr>
          <w:rFonts w:hint="eastAsia"/>
          <w:lang w:val="en-US" w:eastAsia="zh-CN"/>
        </w:rPr>
        <w:t>13077167588</w:t>
      </w:r>
      <w:r>
        <w:rPr>
          <w:rFonts w:hint="eastAsia"/>
        </w:rPr>
        <w:t xml:space="preserve">     单位负责人签字：</w:t>
      </w:r>
      <w:r>
        <w:rPr>
          <w:rFonts w:hint="eastAsia"/>
          <w:lang w:eastAsia="zh-CN"/>
        </w:rPr>
        <w:t>张黎明</w:t>
      </w:r>
    </w:p>
    <w:p>
      <w:pPr>
        <w:rPr>
          <w:spacing w:val="-13"/>
          <w:sz w:val="22"/>
          <w:szCs w:val="22"/>
        </w:rPr>
      </w:pPr>
      <w:r>
        <w:rPr>
          <w:spacing w:val="-13"/>
          <w:sz w:val="22"/>
          <w:szCs w:val="22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default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3</w:t>
      </w:r>
    </w:p>
    <w:p>
      <w:pPr>
        <w:spacing w:line="251" w:lineRule="auto"/>
        <w:rPr>
          <w:rFonts w:ascii="Arial"/>
          <w:sz w:val="21"/>
        </w:rPr>
      </w:pPr>
    </w:p>
    <w:p>
      <w:pPr>
        <w:spacing w:line="251" w:lineRule="auto"/>
        <w:rPr>
          <w:rFonts w:ascii="Arial"/>
          <w:sz w:val="21"/>
        </w:rPr>
      </w:pPr>
    </w:p>
    <w:p>
      <w:pPr>
        <w:rPr>
          <w:rFonts w:ascii="Arial"/>
          <w:sz w:val="21"/>
        </w:rPr>
      </w:pPr>
    </w:p>
    <w:p>
      <w:pPr>
        <w:pStyle w:val="9"/>
      </w:pPr>
    </w:p>
    <w:p/>
    <w:p>
      <w:pPr>
        <w:jc w:val="center"/>
        <w:rPr>
          <w:rFonts w:hint="eastAsia" w:asciiTheme="majorEastAsia" w:hAnsiTheme="majorEastAsia" w:eastAsiaTheme="majorEastAsia" w:cstheme="majorEastAsia"/>
          <w:b w:val="0"/>
          <w:bCs w:val="0"/>
          <w:sz w:val="44"/>
          <w:szCs w:val="44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44"/>
          <w:szCs w:val="44"/>
        </w:rPr>
        <w:t>2023年度</w:t>
      </w:r>
      <w:r>
        <w:rPr>
          <w:rFonts w:hint="eastAsia" w:asciiTheme="majorEastAsia" w:hAnsiTheme="majorEastAsia" w:eastAsiaTheme="majorEastAsia" w:cstheme="majorEastAsia"/>
          <w:b w:val="0"/>
          <w:bCs w:val="0"/>
          <w:sz w:val="44"/>
          <w:szCs w:val="44"/>
          <w:lang w:eastAsia="zh-CN"/>
        </w:rPr>
        <w:t>华容县就业服务中心</w:t>
      </w:r>
      <w:r>
        <w:rPr>
          <w:rFonts w:hint="eastAsia" w:asciiTheme="majorEastAsia" w:hAnsiTheme="majorEastAsia" w:eastAsiaTheme="majorEastAsia" w:cstheme="majorEastAsia"/>
          <w:b w:val="0"/>
          <w:bCs w:val="0"/>
          <w:sz w:val="44"/>
          <w:szCs w:val="44"/>
        </w:rPr>
        <w:t>整体支出</w:t>
      </w:r>
    </w:p>
    <w:p>
      <w:pPr>
        <w:jc w:val="center"/>
        <w:rPr>
          <w:rFonts w:hint="eastAsia" w:asciiTheme="majorEastAsia" w:hAnsiTheme="majorEastAsia" w:eastAsiaTheme="majorEastAsia" w:cstheme="majorEastAsia"/>
          <w:b w:val="0"/>
          <w:bCs w:val="0"/>
          <w:sz w:val="44"/>
          <w:szCs w:val="44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44"/>
          <w:szCs w:val="44"/>
        </w:rPr>
        <w:t>绩效自评报告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pStyle w:val="9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 xml:space="preserve"> 华容县就业服务中心 （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</w:p>
    <w:p>
      <w:pPr>
        <w:spacing w:before="228" w:line="222" w:lineRule="auto"/>
        <w:ind w:firstLine="2432" w:firstLineChars="800"/>
        <w:jc w:val="both"/>
        <w:rPr>
          <w:rFonts w:hint="eastAsia" w:asciiTheme="majorEastAsia" w:hAnsiTheme="majorEastAsia" w:eastAsiaTheme="majorEastAsia" w:cstheme="majorEastAsia"/>
          <w:sz w:val="32"/>
          <w:szCs w:val="32"/>
        </w:rPr>
      </w:pPr>
      <w:r>
        <w:rPr>
          <w:rFonts w:hint="eastAsia" w:asciiTheme="majorEastAsia" w:hAnsiTheme="majorEastAsia" w:eastAsiaTheme="majorEastAsia" w:cstheme="majorEastAsia"/>
          <w:spacing w:val="-8"/>
          <w:sz w:val="32"/>
          <w:szCs w:val="32"/>
          <w:lang w:val="en-US" w:eastAsia="zh-CN"/>
        </w:rPr>
        <w:t>2024</w:t>
      </w:r>
      <w:r>
        <w:rPr>
          <w:rFonts w:hint="eastAsia" w:asciiTheme="majorEastAsia" w:hAnsiTheme="majorEastAsia" w:eastAsiaTheme="majorEastAsia" w:cstheme="majorEastAsia"/>
          <w:spacing w:val="-8"/>
          <w:sz w:val="32"/>
          <w:szCs w:val="32"/>
        </w:rPr>
        <w:t>年</w:t>
      </w:r>
      <w:r>
        <w:rPr>
          <w:rFonts w:hint="eastAsia" w:asciiTheme="majorEastAsia" w:hAnsiTheme="majorEastAsia" w:eastAsiaTheme="majorEastAsia" w:cstheme="majorEastAsia"/>
          <w:spacing w:val="21"/>
          <w:sz w:val="32"/>
          <w:szCs w:val="32"/>
        </w:rPr>
        <w:t xml:space="preserve">  </w:t>
      </w:r>
      <w:r>
        <w:rPr>
          <w:rFonts w:hint="eastAsia" w:asciiTheme="majorEastAsia" w:hAnsiTheme="majorEastAsia" w:eastAsiaTheme="majorEastAsia" w:cstheme="majorEastAsia"/>
          <w:spacing w:val="21"/>
          <w:sz w:val="32"/>
          <w:szCs w:val="32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  <w:spacing w:val="-8"/>
          <w:sz w:val="32"/>
          <w:szCs w:val="32"/>
        </w:rPr>
        <w:t>月</w:t>
      </w:r>
      <w:r>
        <w:rPr>
          <w:rFonts w:hint="eastAsia" w:asciiTheme="majorEastAsia" w:hAnsiTheme="majorEastAsia" w:eastAsiaTheme="majorEastAsia" w:cstheme="majorEastAsia"/>
          <w:spacing w:val="43"/>
          <w:sz w:val="32"/>
          <w:szCs w:val="32"/>
        </w:rPr>
        <w:t xml:space="preserve"> </w:t>
      </w:r>
      <w:r>
        <w:rPr>
          <w:rFonts w:hint="eastAsia" w:asciiTheme="majorEastAsia" w:hAnsiTheme="majorEastAsia" w:eastAsiaTheme="majorEastAsia" w:cstheme="majorEastAsia"/>
          <w:spacing w:val="43"/>
          <w:sz w:val="32"/>
          <w:szCs w:val="32"/>
          <w:lang w:val="en-US" w:eastAsia="zh-CN"/>
        </w:rPr>
        <w:t>23</w:t>
      </w:r>
      <w:r>
        <w:rPr>
          <w:rFonts w:hint="eastAsia" w:asciiTheme="majorEastAsia" w:hAnsiTheme="majorEastAsia" w:eastAsiaTheme="majorEastAsia" w:cstheme="majorEastAsia"/>
          <w:spacing w:val="43"/>
          <w:sz w:val="32"/>
          <w:szCs w:val="32"/>
        </w:rPr>
        <w:t xml:space="preserve"> </w:t>
      </w:r>
      <w:r>
        <w:rPr>
          <w:rFonts w:hint="eastAsia" w:asciiTheme="majorEastAsia" w:hAnsiTheme="majorEastAsia" w:eastAsiaTheme="majorEastAsia" w:cstheme="majorEastAsia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Theme="majorEastAsia" w:hAnsiTheme="majorEastAsia" w:eastAsiaTheme="majorEastAsia" w:cstheme="majorEastAsia"/>
          <w:sz w:val="32"/>
          <w:szCs w:val="32"/>
        </w:rPr>
      </w:pPr>
    </w:p>
    <w:p>
      <w:pPr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 w:start="7"/>
          <w:cols w:space="0" w:num="1"/>
          <w:rtlGutter w:val="0"/>
          <w:docGrid w:type="lines" w:linePitch="314" w:charSpace="0"/>
        </w:sectPr>
      </w:pPr>
      <w: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</w:p>
    <w:p>
      <w:pPr>
        <w:pStyle w:val="9"/>
        <w:rPr>
          <w:rFonts w:hint="eastAsia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宋体" w:hAnsi="宋体" w:eastAsia="宋体" w:cs="宋体"/>
          <w:sz w:val="44"/>
          <w:szCs w:val="44"/>
        </w:rPr>
      </w:pPr>
      <w:r>
        <w:rPr>
          <w:rFonts w:hint="eastAsia" w:ascii="宋体" w:hAnsi="宋体" w:eastAsia="宋体" w:cs="宋体"/>
          <w:sz w:val="44"/>
          <w:szCs w:val="44"/>
        </w:rPr>
        <w:t>202</w:t>
      </w:r>
      <w:r>
        <w:rPr>
          <w:rFonts w:hint="eastAsia" w:ascii="宋体" w:hAnsi="宋体" w:eastAsia="宋体" w:cs="宋体"/>
          <w:sz w:val="44"/>
          <w:szCs w:val="44"/>
          <w:lang w:val="en-US" w:eastAsia="zh-CN"/>
        </w:rPr>
        <w:t>3</w:t>
      </w:r>
      <w:r>
        <w:rPr>
          <w:rFonts w:hint="eastAsia" w:ascii="宋体" w:hAnsi="宋体" w:eastAsia="宋体" w:cs="宋体"/>
          <w:sz w:val="44"/>
          <w:szCs w:val="44"/>
        </w:rPr>
        <w:t>年度</w:t>
      </w:r>
      <w:r>
        <w:rPr>
          <w:rFonts w:hint="eastAsia" w:ascii="宋体" w:hAnsi="宋体" w:eastAsia="宋体" w:cs="宋体"/>
          <w:sz w:val="44"/>
          <w:szCs w:val="44"/>
          <w:lang w:eastAsia="zh-CN"/>
        </w:rPr>
        <w:t>华容县</w:t>
      </w:r>
      <w:r>
        <w:rPr>
          <w:rFonts w:hint="eastAsia" w:ascii="宋体" w:hAnsi="宋体" w:cs="宋体"/>
          <w:sz w:val="44"/>
          <w:szCs w:val="44"/>
          <w:lang w:eastAsia="zh-CN"/>
        </w:rPr>
        <w:t>就业服务中心</w:t>
      </w:r>
      <w:r>
        <w:rPr>
          <w:rFonts w:hint="eastAsia" w:ascii="宋体" w:hAnsi="宋体" w:eastAsia="宋体" w:cs="宋体"/>
          <w:sz w:val="44"/>
          <w:szCs w:val="44"/>
        </w:rPr>
        <w:t>整体支出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宋体" w:hAnsi="宋体" w:eastAsia="宋体" w:cs="宋体"/>
          <w:sz w:val="44"/>
          <w:szCs w:val="44"/>
        </w:rPr>
      </w:pPr>
      <w:r>
        <w:rPr>
          <w:rFonts w:hint="eastAsia" w:ascii="宋体" w:hAnsi="宋体" w:eastAsia="宋体" w:cs="宋体"/>
          <w:sz w:val="44"/>
          <w:szCs w:val="44"/>
        </w:rPr>
        <w:t>绩效自评报告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600" w:lineRule="exact"/>
        <w:ind w:firstLine="640" w:firstLineChars="200"/>
        <w:textAlignment w:val="auto"/>
        <w:rPr>
          <w:rFonts w:hint="eastAsia" w:ascii="宋体" w:hAnsi="宋体" w:eastAsia="宋体" w:cs="宋体"/>
          <w:sz w:val="32"/>
          <w:lang w:val="en-US" w:eastAsia="zh-CN"/>
        </w:rPr>
      </w:pPr>
      <w:r>
        <w:rPr>
          <w:rFonts w:hint="eastAsia" w:ascii="宋体" w:hAnsi="宋体" w:eastAsia="宋体" w:cs="宋体"/>
          <w:sz w:val="32"/>
          <w:lang w:val="en-US" w:eastAsia="zh-CN"/>
        </w:rPr>
        <w:t>根据《华容县财政局关于开展2023年度部门整体支出绩效自评工作的通知》（华财函〔2024〕103号）的相关规定和要求，现对我部门2023年度整体支出开展绩效自评，现将情况汇报如下：</w:t>
      </w:r>
    </w:p>
    <w:p>
      <w:pPr>
        <w:pStyle w:val="9"/>
        <w:rPr>
          <w:rFonts w:hint="eastAsia" w:ascii="宋体" w:hAnsi="宋体" w:eastAsia="宋体" w:cs="宋体"/>
        </w:rPr>
      </w:pPr>
    </w:p>
    <w:p>
      <w:pPr>
        <w:numPr>
          <w:ilvl w:val="0"/>
          <w:numId w:val="2"/>
        </w:numPr>
        <w:spacing w:before="101" w:line="228" w:lineRule="auto"/>
        <w:ind w:left="648"/>
        <w:rPr>
          <w:rFonts w:hint="eastAsia" w:ascii="宋体" w:hAnsi="宋体" w:eastAsia="宋体" w:cs="宋体"/>
          <w:spacing w:val="5"/>
          <w:sz w:val="32"/>
          <w:szCs w:val="32"/>
        </w:rPr>
      </w:pPr>
      <w:r>
        <w:rPr>
          <w:rFonts w:hint="eastAsia" w:ascii="宋体" w:hAnsi="宋体" w:eastAsia="宋体" w:cs="宋体"/>
          <w:spacing w:val="5"/>
          <w:sz w:val="32"/>
          <w:szCs w:val="32"/>
        </w:rPr>
        <w:t>部门基本情况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600" w:lineRule="exact"/>
        <w:ind w:firstLine="640" w:firstLineChars="200"/>
        <w:textAlignment w:val="auto"/>
        <w:rPr>
          <w:rFonts w:hint="eastAsia" w:ascii="宋体" w:hAnsi="宋体" w:eastAsia="宋体" w:cs="宋体"/>
          <w:sz w:val="32"/>
          <w:lang w:val="en-US" w:eastAsia="zh-CN"/>
        </w:rPr>
      </w:pPr>
      <w:r>
        <w:rPr>
          <w:rFonts w:hint="eastAsia" w:ascii="宋体" w:hAnsi="宋体" w:eastAsia="宋体" w:cs="宋体"/>
          <w:sz w:val="32"/>
          <w:lang w:val="en-US" w:eastAsia="zh-CN"/>
        </w:rPr>
        <w:t>华容县</w:t>
      </w:r>
      <w:r>
        <w:rPr>
          <w:rFonts w:hint="eastAsia" w:ascii="宋体" w:hAnsi="宋体" w:cs="宋体"/>
          <w:sz w:val="32"/>
          <w:lang w:val="en-US" w:eastAsia="zh-CN"/>
        </w:rPr>
        <w:t>就业服务中心</w:t>
      </w:r>
      <w:r>
        <w:rPr>
          <w:rFonts w:hint="eastAsia" w:ascii="宋体" w:hAnsi="宋体" w:eastAsia="宋体" w:cs="宋体"/>
          <w:sz w:val="32"/>
          <w:lang w:val="en-US" w:eastAsia="zh-CN"/>
        </w:rPr>
        <w:t>现有人员编制</w:t>
      </w:r>
      <w:r>
        <w:rPr>
          <w:rFonts w:hint="eastAsia" w:ascii="宋体" w:hAnsi="宋体" w:cs="宋体"/>
          <w:sz w:val="32"/>
          <w:lang w:val="en-US" w:eastAsia="zh-CN"/>
        </w:rPr>
        <w:t>17</w:t>
      </w:r>
      <w:r>
        <w:rPr>
          <w:rFonts w:hint="eastAsia" w:ascii="宋体" w:hAnsi="宋体" w:eastAsia="宋体" w:cs="宋体"/>
          <w:sz w:val="32"/>
          <w:lang w:val="en-US" w:eastAsia="zh-CN"/>
        </w:rPr>
        <w:t>名（其中：行政编制</w:t>
      </w:r>
      <w:r>
        <w:rPr>
          <w:rFonts w:hint="eastAsia" w:ascii="宋体" w:hAnsi="宋体" w:cs="宋体"/>
          <w:sz w:val="32"/>
          <w:lang w:val="en-US" w:eastAsia="zh-CN"/>
        </w:rPr>
        <w:t>17</w:t>
      </w:r>
      <w:r>
        <w:rPr>
          <w:rFonts w:hint="eastAsia" w:ascii="宋体" w:hAnsi="宋体" w:eastAsia="宋体" w:cs="宋体"/>
          <w:sz w:val="32"/>
          <w:lang w:val="en-US" w:eastAsia="zh-CN"/>
        </w:rPr>
        <w:t>名，事业全额编制</w:t>
      </w:r>
      <w:r>
        <w:rPr>
          <w:rFonts w:hint="eastAsia" w:ascii="宋体" w:hAnsi="宋体" w:cs="宋体"/>
          <w:sz w:val="32"/>
          <w:lang w:val="en-US" w:eastAsia="zh-CN"/>
        </w:rPr>
        <w:t>0</w:t>
      </w:r>
      <w:r>
        <w:rPr>
          <w:rFonts w:hint="eastAsia" w:ascii="宋体" w:hAnsi="宋体" w:eastAsia="宋体" w:cs="宋体"/>
          <w:sz w:val="32"/>
          <w:lang w:val="en-US" w:eastAsia="zh-CN"/>
        </w:rPr>
        <w:t>名），实有在职干部、职工</w:t>
      </w:r>
      <w:r>
        <w:rPr>
          <w:rFonts w:hint="eastAsia" w:ascii="宋体" w:hAnsi="宋体" w:cs="宋体"/>
          <w:sz w:val="32"/>
          <w:lang w:val="en-US" w:eastAsia="zh-CN"/>
        </w:rPr>
        <w:t>17</w:t>
      </w:r>
      <w:r>
        <w:rPr>
          <w:rFonts w:hint="eastAsia" w:ascii="宋体" w:hAnsi="宋体" w:eastAsia="宋体" w:cs="宋体"/>
          <w:sz w:val="32"/>
          <w:lang w:val="en-US" w:eastAsia="zh-CN"/>
        </w:rPr>
        <w:t>人。</w:t>
      </w:r>
    </w:p>
    <w:p>
      <w:pPr>
        <w:spacing w:before="216" w:line="226" w:lineRule="auto"/>
        <w:ind w:left="648"/>
        <w:rPr>
          <w:rFonts w:hint="eastAsia"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spacing w:val="-2"/>
          <w:sz w:val="32"/>
          <w:szCs w:val="32"/>
        </w:rPr>
        <w:t>二、一般公共预算支出情况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（一）基本支出情况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600" w:lineRule="exact"/>
        <w:ind w:firstLine="640" w:firstLineChars="200"/>
        <w:textAlignment w:val="auto"/>
        <w:rPr>
          <w:rFonts w:hint="eastAsia" w:ascii="宋体" w:hAnsi="宋体" w:eastAsia="宋体" w:cs="宋体"/>
          <w:sz w:val="32"/>
          <w:lang w:val="en-US" w:eastAsia="zh-CN"/>
        </w:rPr>
      </w:pPr>
      <w:r>
        <w:rPr>
          <w:rFonts w:hint="eastAsia" w:ascii="宋体" w:hAnsi="宋体" w:eastAsia="宋体" w:cs="宋体"/>
          <w:sz w:val="32"/>
          <w:lang w:val="en-US" w:eastAsia="zh-CN"/>
        </w:rPr>
        <w:t>2023年我单位基本支出共</w:t>
      </w:r>
      <w:r>
        <w:rPr>
          <w:rFonts w:hint="eastAsia" w:ascii="宋体" w:hAnsi="宋体" w:cs="宋体"/>
          <w:sz w:val="32"/>
          <w:lang w:val="en-US" w:eastAsia="zh-CN"/>
        </w:rPr>
        <w:t>263.73</w:t>
      </w:r>
      <w:r>
        <w:rPr>
          <w:rFonts w:hint="eastAsia" w:ascii="宋体" w:hAnsi="宋体" w:eastAsia="宋体" w:cs="宋体"/>
          <w:sz w:val="32"/>
          <w:lang w:val="en-US" w:eastAsia="zh-CN"/>
        </w:rPr>
        <w:t>万元，主要用于职工的工资福利支出、五险一金支出及商品服务支出；其中人员经费</w:t>
      </w:r>
      <w:r>
        <w:rPr>
          <w:rFonts w:hint="eastAsia" w:ascii="宋体" w:hAnsi="宋体" w:cs="宋体"/>
          <w:sz w:val="32"/>
          <w:lang w:val="en-US" w:eastAsia="zh-CN"/>
        </w:rPr>
        <w:t>223.72</w:t>
      </w:r>
      <w:r>
        <w:rPr>
          <w:rFonts w:hint="eastAsia" w:ascii="宋体" w:hAnsi="宋体" w:eastAsia="宋体" w:cs="宋体"/>
          <w:sz w:val="32"/>
          <w:lang w:val="en-US" w:eastAsia="zh-CN"/>
        </w:rPr>
        <w:t>万元，日常公用经费</w:t>
      </w:r>
      <w:r>
        <w:rPr>
          <w:rFonts w:hint="eastAsia" w:ascii="宋体" w:hAnsi="宋体" w:cs="宋体"/>
          <w:sz w:val="32"/>
          <w:lang w:val="en-US" w:eastAsia="zh-CN"/>
        </w:rPr>
        <w:t>40</w:t>
      </w:r>
      <w:r>
        <w:rPr>
          <w:rFonts w:hint="eastAsia" w:ascii="宋体" w:hAnsi="宋体" w:eastAsia="宋体" w:cs="宋体"/>
          <w:sz w:val="32"/>
          <w:lang w:val="en-US" w:eastAsia="zh-CN"/>
        </w:rPr>
        <w:t>万元。2022年基本支出中人员经费</w:t>
      </w:r>
      <w:r>
        <w:rPr>
          <w:rFonts w:hint="eastAsia" w:ascii="宋体" w:hAnsi="宋体" w:cs="宋体"/>
          <w:sz w:val="32"/>
          <w:lang w:val="en-US" w:eastAsia="zh-CN"/>
        </w:rPr>
        <w:t>187.07</w:t>
      </w:r>
      <w:r>
        <w:rPr>
          <w:rFonts w:hint="eastAsia" w:ascii="宋体" w:hAnsi="宋体" w:eastAsia="宋体" w:cs="宋体"/>
          <w:sz w:val="32"/>
          <w:lang w:val="en-US" w:eastAsia="zh-CN"/>
        </w:rPr>
        <w:t>万元，本年比上年</w:t>
      </w:r>
      <w:r>
        <w:rPr>
          <w:rFonts w:hint="eastAsia" w:ascii="宋体" w:hAnsi="宋体" w:cs="宋体"/>
          <w:sz w:val="32"/>
          <w:lang w:val="en-US" w:eastAsia="zh-CN"/>
        </w:rPr>
        <w:t>增加36.65</w:t>
      </w:r>
      <w:r>
        <w:rPr>
          <w:rFonts w:hint="eastAsia" w:ascii="宋体" w:hAnsi="宋体" w:eastAsia="宋体" w:cs="宋体"/>
          <w:sz w:val="32"/>
          <w:lang w:val="en-US" w:eastAsia="zh-CN"/>
        </w:rPr>
        <w:t>万元，</w:t>
      </w:r>
      <w:r>
        <w:rPr>
          <w:rFonts w:hint="eastAsia" w:ascii="宋体" w:hAnsi="宋体" w:cs="宋体"/>
          <w:sz w:val="32"/>
          <w:lang w:val="en-US" w:eastAsia="zh-CN"/>
        </w:rPr>
        <w:t>增幅16.38</w:t>
      </w:r>
      <w:r>
        <w:rPr>
          <w:rFonts w:hint="eastAsia" w:ascii="宋体" w:hAnsi="宋体" w:eastAsia="宋体" w:cs="宋体"/>
          <w:sz w:val="32"/>
          <w:lang w:val="en-US" w:eastAsia="zh-CN"/>
        </w:rPr>
        <w:t>%；日常公用经费</w:t>
      </w:r>
      <w:r>
        <w:rPr>
          <w:rFonts w:hint="eastAsia" w:ascii="宋体" w:hAnsi="宋体" w:cs="宋体"/>
          <w:sz w:val="32"/>
          <w:lang w:val="en-US" w:eastAsia="zh-CN"/>
        </w:rPr>
        <w:t>54.76</w:t>
      </w:r>
      <w:r>
        <w:rPr>
          <w:rFonts w:hint="eastAsia" w:ascii="宋体" w:hAnsi="宋体" w:eastAsia="宋体" w:cs="宋体"/>
          <w:sz w:val="32"/>
          <w:lang w:val="en-US" w:eastAsia="zh-CN"/>
        </w:rPr>
        <w:t>万元，本年上年度</w:t>
      </w:r>
      <w:r>
        <w:rPr>
          <w:rFonts w:hint="eastAsia" w:ascii="宋体" w:hAnsi="宋体" w:cs="宋体"/>
          <w:sz w:val="32"/>
          <w:lang w:val="en-US" w:eastAsia="zh-CN"/>
        </w:rPr>
        <w:t>减少14.76</w:t>
      </w:r>
      <w:r>
        <w:rPr>
          <w:rFonts w:hint="eastAsia" w:ascii="宋体" w:hAnsi="宋体" w:eastAsia="宋体" w:cs="宋体"/>
          <w:sz w:val="32"/>
          <w:lang w:val="en-US" w:eastAsia="zh-CN"/>
        </w:rPr>
        <w:t>万元，</w:t>
      </w:r>
      <w:r>
        <w:rPr>
          <w:rFonts w:hint="eastAsia" w:ascii="宋体" w:hAnsi="宋体" w:cs="宋体"/>
          <w:sz w:val="32"/>
          <w:lang w:val="en-US" w:eastAsia="zh-CN"/>
        </w:rPr>
        <w:t>增幅46.71</w:t>
      </w:r>
      <w:r>
        <w:rPr>
          <w:rFonts w:hint="eastAsia" w:ascii="宋体" w:hAnsi="宋体" w:eastAsia="宋体" w:cs="宋体"/>
          <w:sz w:val="32"/>
          <w:lang w:val="en-US" w:eastAsia="zh-CN"/>
        </w:rPr>
        <w:t>%，主要原因是</w:t>
      </w:r>
      <w:r>
        <w:rPr>
          <w:rFonts w:hint="eastAsia" w:ascii="宋体" w:hAnsi="宋体" w:cs="宋体"/>
          <w:sz w:val="32"/>
          <w:lang w:val="en-US" w:eastAsia="zh-CN"/>
        </w:rPr>
        <w:t>例行节俭</w:t>
      </w:r>
      <w:r>
        <w:rPr>
          <w:rFonts w:hint="eastAsia" w:ascii="宋体" w:hAnsi="宋体" w:eastAsia="宋体" w:cs="宋体"/>
          <w:sz w:val="32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项目支出情况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600" w:lineRule="exact"/>
        <w:ind w:firstLine="640" w:firstLineChars="200"/>
        <w:textAlignment w:val="auto"/>
        <w:rPr>
          <w:rFonts w:hint="eastAsia" w:ascii="宋体" w:hAnsi="宋体" w:eastAsia="宋体" w:cs="宋体"/>
          <w:sz w:val="32"/>
          <w:lang w:val="en-US" w:eastAsia="zh-CN"/>
        </w:rPr>
      </w:pPr>
      <w:r>
        <w:rPr>
          <w:rFonts w:hint="eastAsia" w:ascii="宋体" w:hAnsi="宋体" w:eastAsia="宋体" w:cs="宋体"/>
          <w:sz w:val="32"/>
          <w:lang w:val="en-US" w:eastAsia="zh-CN"/>
        </w:rPr>
        <w:t>2023年项目支出为</w:t>
      </w:r>
      <w:r>
        <w:rPr>
          <w:rFonts w:hint="eastAsia" w:ascii="宋体" w:hAnsi="宋体" w:cs="宋体"/>
          <w:sz w:val="32"/>
          <w:lang w:val="en-US" w:eastAsia="zh-CN"/>
        </w:rPr>
        <w:t>0</w:t>
      </w:r>
      <w:r>
        <w:rPr>
          <w:rFonts w:hint="eastAsia" w:ascii="宋体" w:hAnsi="宋体" w:eastAsia="宋体" w:cs="宋体"/>
          <w:sz w:val="32"/>
          <w:lang w:val="en-US" w:eastAsia="zh-CN"/>
        </w:rPr>
        <w:t>万元，占总支出的</w:t>
      </w:r>
      <w:r>
        <w:rPr>
          <w:rFonts w:hint="eastAsia" w:ascii="宋体" w:hAnsi="宋体" w:cs="宋体"/>
          <w:sz w:val="32"/>
          <w:lang w:val="en-US" w:eastAsia="zh-CN"/>
        </w:rPr>
        <w:t>0</w:t>
      </w:r>
      <w:r>
        <w:rPr>
          <w:rFonts w:hint="eastAsia" w:ascii="宋体" w:hAnsi="宋体" w:eastAsia="宋体" w:cs="宋体"/>
          <w:sz w:val="32"/>
          <w:lang w:val="en-US" w:eastAsia="zh-CN"/>
        </w:rPr>
        <w:t>%</w:t>
      </w:r>
      <w:r>
        <w:rPr>
          <w:rFonts w:hint="eastAsia" w:ascii="宋体" w:hAnsi="宋体" w:cs="宋体"/>
          <w:sz w:val="32"/>
          <w:lang w:val="en-US" w:eastAsia="zh-CN"/>
        </w:rPr>
        <w:t>。</w:t>
      </w:r>
    </w:p>
    <w:p>
      <w:pPr>
        <w:numPr>
          <w:ilvl w:val="0"/>
          <w:numId w:val="2"/>
        </w:numPr>
        <w:spacing w:before="224" w:line="227" w:lineRule="auto"/>
        <w:ind w:left="648" w:leftChars="0" w:firstLine="0" w:firstLineChars="0"/>
        <w:rPr>
          <w:rFonts w:hint="eastAsia" w:ascii="宋体" w:hAnsi="宋体" w:eastAsia="宋体" w:cs="宋体"/>
          <w:spacing w:val="8"/>
          <w:sz w:val="32"/>
          <w:szCs w:val="32"/>
        </w:rPr>
      </w:pPr>
      <w:r>
        <w:rPr>
          <w:rFonts w:hint="eastAsia" w:ascii="宋体" w:hAnsi="宋体" w:eastAsia="宋体" w:cs="宋体"/>
          <w:spacing w:val="8"/>
          <w:sz w:val="32"/>
          <w:szCs w:val="32"/>
        </w:rPr>
        <w:t>政府性基金预算支出情况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600" w:lineRule="exact"/>
        <w:ind w:firstLine="640" w:firstLineChars="200"/>
        <w:textAlignment w:val="auto"/>
        <w:rPr>
          <w:rFonts w:hint="eastAsia" w:ascii="宋体" w:hAnsi="宋体" w:eastAsia="宋体" w:cs="宋体"/>
          <w:sz w:val="32"/>
          <w:szCs w:val="32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highlight w:val="none"/>
          <w:lang w:val="en-US" w:eastAsia="zh-CN"/>
        </w:rPr>
        <w:t>2023年政府性基金预算支出</w:t>
      </w:r>
      <w:r>
        <w:rPr>
          <w:rFonts w:hint="eastAsia" w:ascii="宋体" w:hAnsi="宋体" w:cs="宋体"/>
          <w:sz w:val="32"/>
          <w:szCs w:val="32"/>
          <w:highlight w:val="none"/>
          <w:lang w:val="en-US" w:eastAsia="zh-CN"/>
        </w:rPr>
        <w:t>0</w:t>
      </w:r>
      <w:r>
        <w:rPr>
          <w:rFonts w:hint="eastAsia" w:ascii="宋体" w:hAnsi="宋体" w:eastAsia="宋体" w:cs="宋体"/>
          <w:sz w:val="32"/>
          <w:szCs w:val="32"/>
          <w:highlight w:val="none"/>
          <w:lang w:val="en-US" w:eastAsia="zh-CN"/>
        </w:rPr>
        <w:t>万元</w:t>
      </w:r>
      <w:r>
        <w:rPr>
          <w:rFonts w:hint="eastAsia" w:ascii="宋体" w:hAnsi="宋体" w:cs="宋体"/>
          <w:sz w:val="32"/>
          <w:szCs w:val="32"/>
          <w:highlight w:val="none"/>
          <w:lang w:val="en-US" w:eastAsia="zh-CN"/>
        </w:rPr>
        <w:t>。</w:t>
      </w:r>
    </w:p>
    <w:p>
      <w:pPr>
        <w:numPr>
          <w:ilvl w:val="0"/>
          <w:numId w:val="2"/>
        </w:numPr>
        <w:spacing w:before="219" w:line="600" w:lineRule="exact"/>
        <w:ind w:left="648" w:leftChars="0" w:firstLine="0" w:firstLineChars="0"/>
        <w:rPr>
          <w:rFonts w:hint="eastAsia" w:ascii="宋体" w:hAnsi="宋体" w:eastAsia="宋体" w:cs="宋体"/>
          <w:spacing w:val="7"/>
          <w:position w:val="21"/>
          <w:sz w:val="32"/>
          <w:szCs w:val="32"/>
        </w:rPr>
      </w:pPr>
      <w:r>
        <w:rPr>
          <w:rFonts w:hint="eastAsia" w:ascii="宋体" w:hAnsi="宋体" w:eastAsia="宋体" w:cs="宋体"/>
          <w:spacing w:val="7"/>
          <w:position w:val="21"/>
          <w:sz w:val="32"/>
          <w:szCs w:val="32"/>
        </w:rPr>
        <w:t>国有资本经营预算支出情况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600" w:lineRule="exact"/>
        <w:ind w:firstLine="640" w:firstLineChars="200"/>
        <w:textAlignment w:val="auto"/>
        <w:rPr>
          <w:rFonts w:hint="eastAsia" w:ascii="宋体" w:hAnsi="宋体" w:eastAsia="宋体" w:cs="宋体"/>
          <w:sz w:val="32"/>
          <w:lang w:val="en-US" w:eastAsia="zh-CN"/>
        </w:rPr>
      </w:pPr>
      <w:r>
        <w:rPr>
          <w:rFonts w:hint="eastAsia" w:ascii="宋体" w:hAnsi="宋体" w:eastAsia="宋体" w:cs="宋体"/>
          <w:sz w:val="32"/>
          <w:lang w:val="en-US" w:eastAsia="zh-CN"/>
        </w:rPr>
        <w:t>2023年无国有资本经营预算支出。</w:t>
      </w:r>
    </w:p>
    <w:p>
      <w:pPr>
        <w:numPr>
          <w:ilvl w:val="0"/>
          <w:numId w:val="2"/>
        </w:numPr>
        <w:spacing w:line="227" w:lineRule="auto"/>
        <w:ind w:left="648" w:leftChars="0" w:firstLine="0" w:firstLineChars="0"/>
        <w:rPr>
          <w:rFonts w:hint="eastAsia" w:ascii="宋体" w:hAnsi="宋体" w:eastAsia="宋体" w:cs="宋体"/>
          <w:spacing w:val="8"/>
          <w:sz w:val="32"/>
          <w:szCs w:val="32"/>
        </w:rPr>
      </w:pPr>
      <w:r>
        <w:rPr>
          <w:rFonts w:hint="eastAsia" w:ascii="宋体" w:hAnsi="宋体" w:eastAsia="宋体" w:cs="宋体"/>
          <w:spacing w:val="8"/>
          <w:sz w:val="32"/>
          <w:szCs w:val="32"/>
        </w:rPr>
        <w:t>社会保险基金预算支出情况</w:t>
      </w:r>
    </w:p>
    <w:p>
      <w:pPr>
        <w:pStyle w:val="11"/>
        <w:numPr>
          <w:ilvl w:val="0"/>
          <w:numId w:val="0"/>
        </w:numPr>
        <w:ind w:left="648" w:leftChars="0"/>
        <w:rPr>
          <w:rFonts w:hint="eastAsia" w:ascii="宋体" w:hAnsi="宋体" w:eastAsia="宋体" w:cs="宋体"/>
          <w:kern w:val="2"/>
          <w:sz w:val="32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24"/>
          <w:lang w:val="en-US" w:eastAsia="zh-CN" w:bidi="ar-SA"/>
        </w:rPr>
        <w:t>2023年无社会保险基金预算支出。</w:t>
      </w:r>
    </w:p>
    <w:p>
      <w:pPr>
        <w:numPr>
          <w:ilvl w:val="0"/>
          <w:numId w:val="2"/>
        </w:numPr>
        <w:spacing w:before="219" w:line="226" w:lineRule="auto"/>
        <w:ind w:left="648" w:leftChars="0" w:firstLine="0" w:firstLineChars="0"/>
        <w:rPr>
          <w:rFonts w:hint="eastAsia" w:ascii="宋体" w:hAnsi="宋体" w:eastAsia="宋体" w:cs="宋体"/>
          <w:spacing w:val="8"/>
          <w:sz w:val="32"/>
          <w:szCs w:val="32"/>
        </w:rPr>
      </w:pPr>
      <w:r>
        <w:rPr>
          <w:rFonts w:hint="eastAsia" w:ascii="宋体" w:hAnsi="宋体" w:eastAsia="宋体" w:cs="宋体"/>
          <w:spacing w:val="8"/>
          <w:sz w:val="32"/>
          <w:szCs w:val="32"/>
        </w:rPr>
        <w:t>部门整体支出绩效情况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600" w:lineRule="exact"/>
        <w:ind w:firstLine="643" w:firstLineChars="200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（一）底线工作完成情况</w:t>
      </w:r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jc w:val="both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color w:val="auto"/>
          <w:kern w:val="0"/>
          <w:sz w:val="32"/>
          <w:szCs w:val="32"/>
          <w:lang w:val="en-US" w:eastAsia="zh-CN" w:bidi="ar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kern w:val="2"/>
          <w:sz w:val="32"/>
          <w:szCs w:val="32"/>
          <w:lang w:val="en-US" w:eastAsia="zh-CN" w:bidi="ar-SA"/>
        </w:rPr>
        <w:t>（一）主要指标完成情况。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kern w:val="0"/>
          <w:sz w:val="32"/>
          <w:szCs w:val="32"/>
          <w:lang w:val="en-US" w:eastAsia="zh-CN" w:bidi="ar"/>
        </w:rPr>
        <w:t>城镇新增就业5445人，完成年度任务的103.71%；城镇调查失业率5.2%。</w:t>
      </w:r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jc w:val="both"/>
        <w:textAlignment w:val="auto"/>
        <w:rPr>
          <w:rFonts w:hint="eastAsia" w:asciiTheme="minorEastAsia" w:hAnsiTheme="minorEastAsia" w:eastAsiaTheme="minorEastAsia" w:cstheme="minorEastAsia"/>
          <w:sz w:val="32"/>
          <w:szCs w:val="32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kern w:val="2"/>
          <w:sz w:val="32"/>
          <w:szCs w:val="32"/>
          <w:lang w:val="en-US" w:eastAsia="zh-CN" w:bidi="ar-SA"/>
        </w:rPr>
        <w:t>（二）重点群体就业情况。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kern w:val="0"/>
          <w:sz w:val="32"/>
          <w:szCs w:val="32"/>
          <w:lang w:val="en-US" w:eastAsia="zh-CN" w:bidi="ar"/>
        </w:rPr>
        <w:t>离校未就业高校毕业生跟踪回访率、就业服务率100%，就业率98.9%；离校未就业高校毕业生单位就业比例62.5%；就业见习覆盖率7.95%；人社部全国高校毕业生求职登记小程序跟踪回访率、就业服务率、就业率均为100%；失业人员再就业比例74.5%，就业困难人员就业比例97%；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32"/>
          <w:szCs w:val="32"/>
          <w:u w:val="none"/>
          <w:lang w:val="en-US" w:eastAsia="zh-CN"/>
        </w:rPr>
        <w:t>脱贫劳动力转移就业比例高于去年底，比例为0.39%</w:t>
      </w:r>
      <w:r>
        <w:rPr>
          <w:rFonts w:hint="eastAsia" w:asciiTheme="minorEastAsia" w:hAnsiTheme="minorEastAsia" w:eastAsiaTheme="minorEastAsia" w:cstheme="minorEastAsia"/>
          <w:sz w:val="32"/>
          <w:szCs w:val="32"/>
          <w:u w:val="none"/>
          <w:lang w:val="en-US" w:eastAsia="zh-CN"/>
        </w:rPr>
        <w:t>。</w:t>
      </w:r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jc w:val="both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color w:val="auto"/>
          <w:kern w:val="0"/>
          <w:sz w:val="32"/>
          <w:szCs w:val="32"/>
          <w:lang w:val="en-US" w:eastAsia="zh-CN" w:bidi="ar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kern w:val="2"/>
          <w:sz w:val="32"/>
          <w:szCs w:val="32"/>
          <w:lang w:val="en-US" w:eastAsia="zh-CN" w:bidi="ar-SA"/>
        </w:rPr>
        <w:t>（三）就业资金保障情况。</w:t>
      </w:r>
      <w:r>
        <w:rPr>
          <w:rFonts w:hint="eastAsia" w:asciiTheme="minorEastAsia" w:hAnsiTheme="minorEastAsia" w:eastAsiaTheme="minorEastAsia" w:cstheme="minorEastAsia"/>
          <w:color w:val="000000"/>
          <w:sz w:val="32"/>
          <w:szCs w:val="32"/>
          <w:lang w:eastAsia="zh-CN"/>
        </w:rPr>
        <w:t>上级下拨2015万元，本级配套381万元，结余442.64万元，共计2838.64万元。截止目前，结余442.64万元已全部消化，上级下拨和财政配套资金共支出</w:t>
      </w:r>
      <w:r>
        <w:rPr>
          <w:rFonts w:hint="eastAsia" w:asciiTheme="minorEastAsia" w:hAnsiTheme="minorEastAsia" w:eastAsiaTheme="minorEastAsia" w:cstheme="minorEastAsia"/>
          <w:color w:val="000000"/>
          <w:sz w:val="32"/>
          <w:szCs w:val="32"/>
          <w:lang w:val="en-US" w:eastAsia="zh-CN"/>
        </w:rPr>
        <w:t>2245.42</w:t>
      </w:r>
      <w:r>
        <w:rPr>
          <w:rFonts w:hint="eastAsia" w:asciiTheme="minorEastAsia" w:hAnsiTheme="minorEastAsia" w:eastAsiaTheme="minorEastAsia" w:cstheme="minorEastAsia"/>
          <w:color w:val="000000"/>
          <w:sz w:val="32"/>
          <w:szCs w:val="32"/>
          <w:lang w:eastAsia="zh-CN"/>
        </w:rPr>
        <w:t>万元，支出率</w:t>
      </w:r>
      <w:r>
        <w:rPr>
          <w:rFonts w:hint="eastAsia" w:asciiTheme="minorEastAsia" w:hAnsiTheme="minorEastAsia" w:eastAsiaTheme="minorEastAsia" w:cstheme="minorEastAsia"/>
          <w:color w:val="000000"/>
          <w:sz w:val="32"/>
          <w:szCs w:val="32"/>
          <w:lang w:val="en-US" w:eastAsia="zh-CN"/>
        </w:rPr>
        <w:t>93.72</w:t>
      </w:r>
      <w:r>
        <w:rPr>
          <w:rFonts w:hint="eastAsia" w:asciiTheme="minorEastAsia" w:hAnsiTheme="minorEastAsia" w:eastAsiaTheme="minorEastAsia" w:cstheme="minorEastAsia"/>
          <w:color w:val="000000"/>
          <w:sz w:val="32"/>
          <w:szCs w:val="32"/>
          <w:lang w:eastAsia="zh-CN"/>
        </w:rPr>
        <w:t>%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kern w:val="0"/>
          <w:sz w:val="32"/>
          <w:szCs w:val="32"/>
          <w:lang w:val="en-US" w:eastAsia="zh-CN" w:bidi="ar"/>
        </w:rPr>
        <w:t>。</w:t>
      </w:r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jc w:val="both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color w:val="auto"/>
          <w:kern w:val="0"/>
          <w:sz w:val="32"/>
          <w:szCs w:val="32"/>
          <w:lang w:val="en-US" w:eastAsia="zh-CN" w:bidi="ar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kern w:val="2"/>
          <w:sz w:val="32"/>
          <w:szCs w:val="32"/>
          <w:lang w:val="en-US" w:eastAsia="zh-CN" w:bidi="ar-SA"/>
        </w:rPr>
        <w:t>（四）创业工作成效。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kern w:val="0"/>
          <w:sz w:val="32"/>
          <w:szCs w:val="32"/>
          <w:lang w:val="en-US" w:eastAsia="zh-CN" w:bidi="ar"/>
        </w:rPr>
        <w:t>创业培训375人，完成年度任务的100%；创业培训学员创业成功率10%，完成目标任务；创业担保贷款3233万元，完成年度任务的104.29%；创业孵化基地新增入驻32家，增速高于去年。</w:t>
      </w:r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jc w:val="both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color w:val="auto"/>
          <w:kern w:val="0"/>
          <w:sz w:val="32"/>
          <w:szCs w:val="32"/>
          <w:lang w:val="en-US" w:eastAsia="zh-CN" w:bidi="ar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kern w:val="2"/>
          <w:sz w:val="32"/>
          <w:szCs w:val="32"/>
          <w:lang w:val="en-US" w:eastAsia="zh-CN" w:bidi="ar-SA"/>
        </w:rPr>
        <w:t>（五）职业技能培训。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kern w:val="0"/>
          <w:sz w:val="32"/>
          <w:szCs w:val="32"/>
          <w:lang w:val="en-US" w:eastAsia="zh-CN" w:bidi="ar"/>
        </w:rPr>
        <w:t>职业技能培训2378人，完成年度任务的118.90%,其中“三高四新”1007人，完成年度任务的201.40%,吸纳和稳就业1123人，完成年度任务的160.43%,农村技能人才248人，完成年度任务的124%。企业职工岗位技能提升培训861人，完成考核任务（总人数的1/3）；劳务品牌已通过市级认定，正申报省级。</w:t>
      </w:r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jc w:val="both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color w:val="auto"/>
          <w:kern w:val="0"/>
          <w:sz w:val="32"/>
          <w:szCs w:val="32"/>
          <w:lang w:val="en-US" w:eastAsia="zh-CN" w:bidi="ar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kern w:val="2"/>
          <w:sz w:val="32"/>
          <w:szCs w:val="32"/>
          <w:lang w:val="en-US" w:eastAsia="zh-CN" w:bidi="ar-SA"/>
        </w:rPr>
        <w:t>（六）就业服务工作成效。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kern w:val="0"/>
          <w:sz w:val="32"/>
          <w:szCs w:val="32"/>
          <w:lang w:val="en-US" w:eastAsia="zh-CN" w:bidi="ar"/>
        </w:rPr>
        <w:t>就业资金线上经办率85.38%，企业吸纳就业社会保险补贴支出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32"/>
          <w:szCs w:val="32"/>
          <w:lang w:val="en-US" w:eastAsia="zh-CN"/>
        </w:rPr>
        <w:t>0.7%；充分就业社区建设98.99分（3月-10月）；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kern w:val="0"/>
          <w:sz w:val="32"/>
          <w:szCs w:val="32"/>
          <w:lang w:val="en-US" w:eastAsia="zh-CN" w:bidi="ar"/>
        </w:rPr>
        <w:t>“311”就业服务覆盖率100.50%</w:t>
      </w:r>
      <w:r>
        <w:rPr>
          <w:rFonts w:hint="eastAsia" w:asciiTheme="minorEastAsia" w:hAnsiTheme="minorEastAsia" w:eastAsiaTheme="minorEastAsia" w:cstheme="minorEastAsia"/>
          <w:sz w:val="32"/>
          <w:szCs w:val="32"/>
          <w:u w:val="none"/>
          <w:lang w:val="en-US" w:eastAsia="zh-CN"/>
        </w:rPr>
        <w:t>，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kern w:val="0"/>
          <w:sz w:val="32"/>
          <w:szCs w:val="32"/>
          <w:lang w:val="en-US" w:eastAsia="zh-CN" w:bidi="ar"/>
        </w:rPr>
        <w:t>就业失业登记完成率100%，“湘就业”平台管理无超期，零工市场已建成，企业云招聘视频已上传。</w:t>
      </w:r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jc w:val="both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color w:val="auto"/>
          <w:kern w:val="0"/>
          <w:sz w:val="32"/>
          <w:szCs w:val="32"/>
          <w:lang w:val="en-US" w:eastAsia="zh-CN" w:bidi="ar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kern w:val="2"/>
          <w:sz w:val="32"/>
          <w:szCs w:val="32"/>
          <w:lang w:val="en-US" w:eastAsia="zh-CN" w:bidi="ar-SA"/>
        </w:rPr>
        <w:t>（七）失业保险促就业工作成效。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kern w:val="0"/>
          <w:sz w:val="32"/>
          <w:szCs w:val="32"/>
          <w:lang w:val="en-US" w:eastAsia="zh-CN" w:bidi="ar"/>
        </w:rPr>
        <w:t>失业保险参保23760人，完成年度任务的101.97%；稳岗返还覆盖率100%，涉及企业65家82.6758万元；一次性扩岗补助政策覆盖率100%，涉及9家企业18人2.7万元；稳岗返还资金和一次性扩岗补助均合规发放。</w:t>
      </w:r>
    </w:p>
    <w:p>
      <w:pPr>
        <w:spacing w:before="220" w:line="600" w:lineRule="exact"/>
        <w:ind w:left="641"/>
        <w:rPr>
          <w:rFonts w:hint="eastAsia" w:ascii="宋体" w:hAnsi="宋体" w:eastAsia="宋体" w:cs="宋体"/>
          <w:spacing w:val="9"/>
          <w:position w:val="21"/>
          <w:sz w:val="32"/>
          <w:szCs w:val="32"/>
        </w:rPr>
      </w:pPr>
      <w:r>
        <w:rPr>
          <w:rFonts w:hint="eastAsia" w:ascii="宋体" w:hAnsi="宋体" w:cs="宋体"/>
          <w:spacing w:val="9"/>
          <w:position w:val="21"/>
          <w:sz w:val="32"/>
          <w:szCs w:val="32"/>
          <w:lang w:eastAsia="zh-CN"/>
        </w:rPr>
        <w:t>七</w:t>
      </w:r>
      <w:r>
        <w:rPr>
          <w:rFonts w:hint="eastAsia" w:ascii="宋体" w:hAnsi="宋体" w:eastAsia="宋体" w:cs="宋体"/>
          <w:spacing w:val="9"/>
          <w:position w:val="21"/>
          <w:sz w:val="32"/>
          <w:szCs w:val="32"/>
        </w:rPr>
        <w:t>、存在的问题及原因分析</w:t>
      </w:r>
    </w:p>
    <w:p>
      <w:pPr>
        <w:pStyle w:val="10"/>
        <w:keepNext w:val="0"/>
        <w:keepLines w:val="0"/>
        <w:widowControl/>
        <w:suppressLineNumbers w:val="0"/>
        <w:shd w:val="clear" w:fill="FFFFFF"/>
        <w:spacing w:before="0" w:beforeAutospacing="0" w:after="0" w:afterAutospacing="0" w:line="33" w:lineRule="atLeast"/>
        <w:ind w:firstLine="640" w:firstLineChars="200"/>
        <w:jc w:val="both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1.预算绩效指标体系存在进一步完善的空间，我单位现建立的各项预算绩效目标指标仍有不科学、不细致的地方，影响了预算绩效评价的结果。</w:t>
      </w:r>
    </w:p>
    <w:p>
      <w:pPr>
        <w:pStyle w:val="10"/>
        <w:keepNext w:val="0"/>
        <w:keepLines w:val="0"/>
        <w:widowControl/>
        <w:suppressLineNumbers w:val="0"/>
        <w:shd w:val="clear" w:fill="FFFFFF"/>
        <w:spacing w:before="0" w:beforeAutospacing="0" w:after="0" w:afterAutospacing="0" w:line="33" w:lineRule="atLeast"/>
        <w:ind w:firstLine="640" w:firstLineChars="200"/>
        <w:jc w:val="both"/>
        <w:rPr>
          <w:rFonts w:hint="eastAsia" w:ascii="宋体" w:hAnsi="宋体" w:eastAsia="宋体" w:cs="宋体"/>
          <w:spacing w:val="9"/>
          <w:position w:val="21"/>
          <w:sz w:val="32"/>
          <w:szCs w:val="32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2.预算绩效管理经验需要进一步积累。因为预算绩效管理工作具有政策性强、专业性强、涉及面广、操作难度大等特点，经验不足，导致工作多走许多弯路，影响工作效果。</w:t>
      </w:r>
    </w:p>
    <w:p>
      <w:pPr>
        <w:spacing w:line="227" w:lineRule="auto"/>
        <w:ind w:left="643"/>
        <w:rPr>
          <w:rFonts w:hint="eastAsia" w:ascii="宋体" w:hAnsi="宋体" w:eastAsia="宋体" w:cs="宋体"/>
          <w:spacing w:val="8"/>
          <w:sz w:val="32"/>
          <w:szCs w:val="32"/>
        </w:rPr>
      </w:pPr>
      <w:r>
        <w:rPr>
          <w:rFonts w:hint="eastAsia" w:ascii="宋体" w:hAnsi="宋体" w:eastAsia="宋体" w:cs="宋体"/>
          <w:spacing w:val="8"/>
          <w:sz w:val="32"/>
          <w:szCs w:val="32"/>
        </w:rPr>
        <w:t>八、下一步改进措施</w:t>
      </w:r>
    </w:p>
    <w:p>
      <w:pPr>
        <w:pStyle w:val="10"/>
        <w:keepNext w:val="0"/>
        <w:keepLines w:val="0"/>
        <w:widowControl/>
        <w:suppressLineNumbers w:val="0"/>
        <w:shd w:val="clear" w:fill="FFFFFF"/>
        <w:spacing w:before="0" w:beforeAutospacing="0" w:after="0" w:afterAutospacing="0" w:line="33" w:lineRule="atLeast"/>
        <w:ind w:firstLine="640" w:firstLineChars="200"/>
        <w:jc w:val="both"/>
        <w:rPr>
          <w:rFonts w:hint="default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我单位应立足实际，坚持推行精细化管理，强化预算绩效目标管理、细化绩效目标，并将绩效目标细化分解为具体工作计划，同时，计划应明确规定在一定时间内完成的目标、任务和和应达到的要求，任务和要求应具体明确任务数量、质量。建立健全财政各项资金管理制度，严格执行财务管理制度，做到了财务处理及时，会计核算规范，严格按照计划进度支付。各项目资金严格实行专款专用，保证更规范严要求使用资金。在下年度的预算编制工作中，我们会时刻跟踪项目的进度，更好地完成预算资金，做好绩效评价工作。</w:t>
      </w:r>
    </w:p>
    <w:p>
      <w:pPr>
        <w:pStyle w:val="11"/>
        <w:rPr>
          <w:rFonts w:hint="eastAsia"/>
        </w:rPr>
      </w:pPr>
    </w:p>
    <w:p>
      <w:pPr>
        <w:numPr>
          <w:ilvl w:val="0"/>
          <w:numId w:val="4"/>
        </w:numPr>
        <w:spacing w:before="220" w:line="600" w:lineRule="exact"/>
        <w:ind w:left="210" w:leftChars="0" w:firstLineChars="0"/>
        <w:rPr>
          <w:rFonts w:hint="eastAsia" w:ascii="宋体" w:hAnsi="宋体" w:eastAsia="宋体" w:cs="宋体"/>
          <w:spacing w:val="9"/>
          <w:position w:val="21"/>
          <w:sz w:val="32"/>
          <w:szCs w:val="32"/>
        </w:rPr>
      </w:pPr>
      <w:r>
        <w:rPr>
          <w:rFonts w:hint="eastAsia" w:ascii="宋体" w:hAnsi="宋体" w:eastAsia="宋体" w:cs="宋体"/>
          <w:spacing w:val="9"/>
          <w:position w:val="21"/>
          <w:sz w:val="32"/>
          <w:szCs w:val="32"/>
        </w:rPr>
        <w:t>部门整体支出绩效自评结果拟应用和公开情况</w:t>
      </w:r>
    </w:p>
    <w:p>
      <w:pPr>
        <w:pStyle w:val="10"/>
        <w:keepNext w:val="0"/>
        <w:keepLines w:val="0"/>
        <w:widowControl/>
        <w:suppressLineNumbers w:val="0"/>
        <w:shd w:val="clear" w:fill="FFFFFF"/>
        <w:spacing w:before="0" w:beforeAutospacing="0" w:after="0" w:afterAutospacing="0" w:line="33" w:lineRule="atLeast"/>
        <w:ind w:firstLine="640" w:firstLineChars="200"/>
        <w:jc w:val="both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1、在下一年度制定绩效目标时，将对往年的工作程序进行反馈，关注最新的发展变化，制定与时俱进的绩效目标，提高绩效目标的可操作性。</w:t>
      </w:r>
    </w:p>
    <w:p>
      <w:pPr>
        <w:pStyle w:val="10"/>
        <w:keepNext w:val="0"/>
        <w:keepLines w:val="0"/>
        <w:widowControl/>
        <w:suppressLineNumbers w:val="0"/>
        <w:shd w:val="clear" w:fill="FFFFFF"/>
        <w:spacing w:before="0" w:beforeAutospacing="0" w:after="0" w:afterAutospacing="0" w:line="33" w:lineRule="atLeast"/>
        <w:ind w:firstLine="640" w:firstLineChars="200"/>
        <w:jc w:val="both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2、</w:t>
      </w:r>
      <w:r>
        <w:rPr>
          <w:rFonts w:hint="default" w:ascii="宋体" w:hAnsi="宋体" w:eastAsia="宋体" w:cs="宋体"/>
          <w:kern w:val="2"/>
          <w:sz w:val="32"/>
          <w:szCs w:val="32"/>
          <w:lang w:val="en-US" w:eastAsia="zh-CN" w:bidi="ar-SA"/>
        </w:rPr>
        <w:t>拟与预算安排相结合的情况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在</w:t>
      </w:r>
      <w:r>
        <w:rPr>
          <w:rFonts w:hint="default" w:ascii="宋体" w:hAnsi="宋体" w:eastAsia="宋体" w:cs="宋体"/>
          <w:kern w:val="2"/>
          <w:sz w:val="32"/>
          <w:szCs w:val="32"/>
          <w:lang w:val="en-US" w:eastAsia="zh-CN" w:bidi="ar-SA"/>
        </w:rPr>
        <w:t>制定合理、可操作的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绩</w:t>
      </w:r>
      <w:r>
        <w:rPr>
          <w:rFonts w:hint="default" w:ascii="宋体" w:hAnsi="宋体" w:eastAsia="宋体" w:cs="宋体"/>
          <w:kern w:val="2"/>
          <w:sz w:val="32"/>
          <w:szCs w:val="32"/>
          <w:lang w:val="en-US" w:eastAsia="zh-CN" w:bidi="ar-SA"/>
        </w:rPr>
        <w:t>效目标基础上，将根据年度预算情况，加强对预算执行的监控，提高与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相关部门</w:t>
      </w:r>
      <w:r>
        <w:rPr>
          <w:rFonts w:hint="default" w:ascii="宋体" w:hAnsi="宋体" w:eastAsia="宋体" w:cs="宋体"/>
          <w:kern w:val="2"/>
          <w:sz w:val="32"/>
          <w:szCs w:val="32"/>
          <w:lang w:val="en-US" w:eastAsia="zh-CN" w:bidi="ar-SA"/>
        </w:rPr>
        <w:t>的协调配合，跟进资金使用情况，保证资金的执行率，提高资金的使用效益。定期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找</w:t>
      </w:r>
      <w:r>
        <w:rPr>
          <w:rFonts w:hint="default" w:ascii="宋体" w:hAnsi="宋体" w:eastAsia="宋体" w:cs="宋体"/>
          <w:kern w:val="2"/>
          <w:sz w:val="32"/>
          <w:szCs w:val="32"/>
          <w:lang w:val="en-US" w:eastAsia="zh-CN" w:bidi="ar-SA"/>
        </w:rPr>
        <w:t>准资金使用过程中与绩效存在差异的地方，及时修正，保证年度目标绩效能按时完成。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 xml:space="preserve">          </w:t>
      </w:r>
    </w:p>
    <w:p>
      <w:pPr>
        <w:pStyle w:val="10"/>
        <w:keepNext w:val="0"/>
        <w:keepLines w:val="0"/>
        <w:widowControl/>
        <w:suppressLineNumbers w:val="0"/>
        <w:shd w:val="clear" w:fill="FFFFFF"/>
        <w:spacing w:before="0" w:beforeAutospacing="0" w:after="0" w:afterAutospacing="0" w:line="33" w:lineRule="atLeast"/>
        <w:ind w:firstLine="640" w:firstLineChars="200"/>
        <w:jc w:val="both"/>
        <w:rPr>
          <w:rFonts w:hint="default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3、</w:t>
      </w:r>
      <w:r>
        <w:rPr>
          <w:rFonts w:hint="default" w:ascii="宋体" w:hAnsi="宋体" w:eastAsia="宋体" w:cs="宋体"/>
          <w:kern w:val="2"/>
          <w:sz w:val="32"/>
          <w:szCs w:val="32"/>
          <w:lang w:val="en-US" w:eastAsia="zh-CN" w:bidi="ar-SA"/>
        </w:rPr>
        <w:t>拟公开情况按照政府信息公开相关要求，将绩效自评结果在本单位网站上公开。</w:t>
      </w:r>
    </w:p>
    <w:p>
      <w:pPr>
        <w:pStyle w:val="11"/>
        <w:numPr>
          <w:ilvl w:val="0"/>
          <w:numId w:val="0"/>
        </w:numPr>
        <w:ind w:leftChars="400"/>
        <w:rPr>
          <w:rFonts w:hint="eastAsia" w:ascii="宋体" w:hAnsi="宋体" w:eastAsia="宋体" w:cs="宋体"/>
          <w:spacing w:val="9"/>
          <w:position w:val="21"/>
          <w:sz w:val="32"/>
          <w:szCs w:val="32"/>
        </w:rPr>
      </w:pPr>
      <w:r>
        <w:rPr>
          <w:rFonts w:hint="eastAsia" w:ascii="宋体" w:hAnsi="宋体" w:eastAsia="宋体" w:cs="宋体"/>
          <w:spacing w:val="9"/>
          <w:position w:val="21"/>
          <w:sz w:val="32"/>
          <w:szCs w:val="32"/>
        </w:rPr>
        <w:t>十、其他需要说明的情况</w:t>
      </w:r>
    </w:p>
    <w:p>
      <w:pPr>
        <w:spacing w:before="220" w:line="600" w:lineRule="exact"/>
        <w:ind w:left="641"/>
        <w:rPr>
          <w:rFonts w:hint="eastAsia" w:ascii="宋体" w:hAnsi="宋体" w:eastAsia="宋体" w:cs="宋体"/>
          <w:spacing w:val="9"/>
          <w:position w:val="21"/>
          <w:sz w:val="32"/>
          <w:szCs w:val="32"/>
        </w:rPr>
        <w:sectPr>
          <w:footerReference r:id="rId4" w:type="default"/>
          <w:pgSz w:w="11905" w:h="16838"/>
          <w:pgMar w:top="1984" w:right="1701" w:bottom="1984" w:left="1701" w:header="850" w:footer="992" w:gutter="0"/>
          <w:pgNumType w:fmt="numberInDash"/>
          <w:cols w:space="0" w:num="1"/>
          <w:rtlGutter w:val="0"/>
          <w:docGrid w:type="lines" w:linePitch="314" w:charSpace="0"/>
        </w:sectPr>
      </w:pPr>
      <w:r>
        <w:rPr>
          <w:rFonts w:hint="eastAsia" w:ascii="宋体" w:hAnsi="宋体" w:eastAsia="宋体" w:cs="宋体"/>
          <w:spacing w:val="9"/>
          <w:position w:val="21"/>
          <w:sz w:val="32"/>
          <w:szCs w:val="32"/>
          <w:lang w:eastAsia="zh-CN"/>
        </w:rPr>
        <w:t>无</w:t>
      </w:r>
      <w:r>
        <w:rPr>
          <w:rFonts w:hint="eastAsia" w:ascii="宋体" w:hAnsi="宋体" w:eastAsia="宋体" w:cs="宋体"/>
          <w:spacing w:val="9"/>
          <w:position w:val="21"/>
          <w:sz w:val="32"/>
          <w:szCs w:val="32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宋体" w:hAnsi="宋体" w:eastAsia="宋体" w:cs="宋体"/>
          <w:spacing w:val="-4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pacing w:val="-4"/>
          <w:sz w:val="32"/>
          <w:szCs w:val="32"/>
        </w:rPr>
        <w:t>附件</w:t>
      </w:r>
      <w:r>
        <w:rPr>
          <w:rFonts w:hint="eastAsia" w:ascii="宋体" w:hAnsi="宋体" w:eastAsia="宋体" w:cs="宋体"/>
          <w:spacing w:val="-4"/>
          <w:sz w:val="32"/>
          <w:szCs w:val="32"/>
          <w:lang w:val="en-US" w:eastAsia="zh-CN"/>
        </w:rPr>
        <w:t>4</w:t>
      </w:r>
    </w:p>
    <w:p>
      <w:pPr>
        <w:pStyle w:val="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80" w:lineRule="exact"/>
        <w:textAlignment w:val="auto"/>
        <w:rPr>
          <w:rFonts w:hint="eastAsia" w:ascii="宋体" w:hAnsi="宋体" w:eastAsia="宋体" w:cs="宋体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宋体" w:hAnsi="宋体" w:eastAsia="宋体" w:cs="宋体"/>
          <w:spacing w:val="6"/>
          <w:sz w:val="44"/>
          <w:szCs w:val="44"/>
        </w:rPr>
      </w:pPr>
      <w:r>
        <w:rPr>
          <w:rFonts w:hint="eastAsia" w:ascii="宋体" w:hAnsi="宋体" w:eastAsia="宋体" w:cs="宋体"/>
          <w:spacing w:val="6"/>
          <w:sz w:val="44"/>
          <w:szCs w:val="44"/>
        </w:rPr>
        <w:t>2023年度部门整体支出绩效自评表</w:t>
      </w:r>
    </w:p>
    <w:p>
      <w:pPr>
        <w:spacing w:line="132" w:lineRule="exact"/>
        <w:rPr>
          <w:rFonts w:hint="eastAsia" w:ascii="宋体" w:hAnsi="宋体" w:eastAsia="宋体" w:cs="宋体"/>
        </w:rPr>
      </w:pPr>
    </w:p>
    <w:tbl>
      <w:tblPr>
        <w:tblStyle w:val="19"/>
        <w:tblW w:w="8625" w:type="dxa"/>
        <w:jc w:val="center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19"/>
        <w:gridCol w:w="985"/>
        <w:gridCol w:w="966"/>
        <w:gridCol w:w="26"/>
        <w:gridCol w:w="994"/>
        <w:gridCol w:w="1061"/>
        <w:gridCol w:w="1004"/>
        <w:gridCol w:w="690"/>
        <w:gridCol w:w="716"/>
        <w:gridCol w:w="1364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29" w:hRule="atLeast"/>
          <w:jc w:val="center"/>
        </w:trPr>
        <w:tc>
          <w:tcPr>
            <w:tcW w:w="277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省级预算部门、单位名称</w:t>
            </w:r>
          </w:p>
        </w:tc>
        <w:tc>
          <w:tcPr>
            <w:tcW w:w="5855" w:type="dxa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华容县</w:t>
            </w: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就业服务中心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20" w:hRule="atLeast"/>
          <w:jc w:val="center"/>
        </w:trPr>
        <w:tc>
          <w:tcPr>
            <w:tcW w:w="8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年度预算申请（万元）</w:t>
            </w:r>
          </w:p>
        </w:tc>
        <w:tc>
          <w:tcPr>
            <w:tcW w:w="195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102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年初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预算数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预算数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执行数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分值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执行率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195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年度资金总额</w:t>
            </w:r>
          </w:p>
        </w:tc>
        <w:tc>
          <w:tcPr>
            <w:tcW w:w="102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235.47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263.72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263.72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4032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58" w:firstLineChars="28"/>
              <w:jc w:val="both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按收入性质分：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263.72</w:t>
            </w:r>
          </w:p>
        </w:tc>
        <w:tc>
          <w:tcPr>
            <w:tcW w:w="3774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按支出性质分：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263.72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4032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both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其中：一般公共预算：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263.72</w:t>
            </w:r>
          </w:p>
        </w:tc>
        <w:tc>
          <w:tcPr>
            <w:tcW w:w="3774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left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其中：基本支出：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263.72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4032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both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政府性基金拨款：</w:t>
            </w:r>
          </w:p>
        </w:tc>
        <w:tc>
          <w:tcPr>
            <w:tcW w:w="3774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840" w:firstLineChars="400"/>
              <w:jc w:val="left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项目支出：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4032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纳入专户管理的非税收入拨款：</w:t>
            </w:r>
          </w:p>
        </w:tc>
        <w:tc>
          <w:tcPr>
            <w:tcW w:w="3774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bookmarkStart w:id="0" w:name="_GoBack"/>
            <w:bookmarkEnd w:id="0"/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4032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其他资金：</w:t>
            </w:r>
          </w:p>
        </w:tc>
        <w:tc>
          <w:tcPr>
            <w:tcW w:w="3774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年度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总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体目标</w:t>
            </w:r>
          </w:p>
        </w:tc>
        <w:tc>
          <w:tcPr>
            <w:tcW w:w="4032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预期目标</w:t>
            </w:r>
          </w:p>
        </w:tc>
        <w:tc>
          <w:tcPr>
            <w:tcW w:w="3774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4032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eastAsia="zh-CN"/>
              </w:rPr>
              <w:t>促进社会稳定，为就业困难人员提供政策咨询，岗位信息，就业失业与求职登记、技能培训、职业指导、就业援助等公共就业服务</w:t>
            </w:r>
          </w:p>
        </w:tc>
        <w:tc>
          <w:tcPr>
            <w:tcW w:w="3774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按要求已完成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60" w:hRule="atLeast"/>
          <w:jc w:val="center"/>
        </w:trPr>
        <w:tc>
          <w:tcPr>
            <w:tcW w:w="819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标</w:t>
            </w:r>
          </w:p>
        </w:tc>
        <w:tc>
          <w:tcPr>
            <w:tcW w:w="985" w:type="dxa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一级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</w:t>
            </w:r>
          </w:p>
        </w:tc>
        <w:tc>
          <w:tcPr>
            <w:tcW w:w="992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二级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三级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年度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指标值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完成值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分值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自评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得分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偏差原因分析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出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(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0分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992" w:type="dxa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数量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kern w:val="0"/>
                <w:sz w:val="24"/>
                <w:lang w:eastAsia="zh-CN"/>
              </w:rPr>
              <w:t>新增城镇就业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&gt;=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5000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5000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eastAsia="zh-CN"/>
              </w:rPr>
              <w:t>质量指标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left"/>
              <w:textAlignment w:val="center"/>
              <w:rPr>
                <w:rFonts w:hint="eastAsia" w:ascii="新宋体" w:hAnsi="新宋体" w:eastAsia="新宋体" w:cs="新宋体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0"/>
                <w:sz w:val="24"/>
                <w:lang w:eastAsia="zh-CN"/>
              </w:rPr>
              <w:t>新增农村劳动力转移就业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&gt;=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4000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4000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时效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</w:t>
            </w:r>
          </w:p>
        </w:tc>
        <w:tc>
          <w:tcPr>
            <w:tcW w:w="994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left"/>
              <w:textAlignment w:val="center"/>
              <w:rPr>
                <w:rFonts w:hint="eastAsia" w:ascii="新宋体" w:hAnsi="新宋体" w:eastAsia="新宋体" w:cs="新宋体"/>
                <w:i w:val="0"/>
                <w:iCs w:val="0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0"/>
                <w:sz w:val="24"/>
                <w:lang w:val="en-US" w:eastAsia="zh-CN"/>
              </w:rPr>
              <w:t>2024年11月30日，指标到位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4"/>
                <w:lang w:val="en-US" w:eastAsia="zh-CN"/>
              </w:rPr>
              <w:t>=2024年11月30日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已到位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标</w:t>
            </w:r>
          </w:p>
        </w:tc>
        <w:tc>
          <w:tcPr>
            <w:tcW w:w="9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（30分）</w:t>
            </w:r>
          </w:p>
        </w:tc>
        <w:tc>
          <w:tcPr>
            <w:tcW w:w="99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</w:t>
            </w:r>
          </w:p>
        </w:tc>
        <w:tc>
          <w:tcPr>
            <w:tcW w:w="994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4"/>
                <w:lang w:eastAsia="zh-CN"/>
              </w:rPr>
              <w:t>创业培训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&gt;=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375人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=375人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4"/>
                <w:lang w:eastAsia="zh-CN"/>
              </w:rPr>
              <w:t>创业担保贷款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&gt;=3100万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/>
              </w:rPr>
            </w:pPr>
            <w:r>
              <w:rPr>
                <w:rFonts w:hint="eastAsia" w:ascii="新宋体" w:hAnsi="新宋体" w:eastAsia="新宋体" w:cs="新宋体"/>
                <w:i w:val="0"/>
                <w:iCs w:val="0"/>
                <w:color w:val="000000"/>
                <w:sz w:val="21"/>
                <w:szCs w:val="21"/>
                <w:lang w:val="en-US" w:eastAsia="zh-CN"/>
              </w:rPr>
              <w:t>=3100万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新宋体" w:hAnsi="新宋体" w:eastAsia="新宋体" w:cs="新宋体"/>
                <w:i w:val="0"/>
                <w:iCs w:val="0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i w:val="0"/>
                <w:iCs w:val="0"/>
                <w:color w:val="000000"/>
                <w:sz w:val="21"/>
                <w:szCs w:val="21"/>
                <w:lang w:val="en-US" w:eastAsia="zh-CN"/>
              </w:rPr>
              <w:t>日常办公节俭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新宋体" w:hAnsi="新宋体" w:eastAsia="新宋体" w:cs="新宋体"/>
                <w:i w:val="0"/>
                <w:iCs w:val="0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i w:val="0"/>
                <w:iCs w:val="0"/>
                <w:color w:val="000000"/>
                <w:sz w:val="21"/>
                <w:szCs w:val="21"/>
                <w:lang w:val="en-US" w:eastAsia="zh-CN"/>
              </w:rPr>
              <w:t>=办公节俭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已达标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可持续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影响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新宋体" w:hAnsi="新宋体" w:eastAsia="新宋体" w:cs="新宋体"/>
                <w:i w:val="0"/>
                <w:iCs w:val="0"/>
                <w:color w:val="000000"/>
                <w:sz w:val="21"/>
                <w:szCs w:val="21"/>
                <w:lang w:val="en-US" w:eastAsia="zh-CN"/>
              </w:rPr>
              <w:t>推动全县经济发展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新宋体" w:hAnsi="新宋体" w:eastAsia="新宋体" w:cs="新宋体"/>
                <w:i w:val="0"/>
                <w:iCs w:val="0"/>
                <w:color w:val="000000"/>
                <w:sz w:val="21"/>
                <w:szCs w:val="21"/>
                <w:lang w:val="en-US" w:eastAsia="zh-CN"/>
              </w:rPr>
              <w:t>=促进全县经济发展%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0" w:lineRule="atLeast"/>
              <w:ind w:left="0" w:leftChars="0" w:right="0" w:rightChars="0"/>
              <w:jc w:val="center"/>
              <w:textAlignment w:val="auto"/>
              <w:rPr>
                <w:rFonts w:hint="default" w:ascii="新宋体" w:hAnsi="新宋体" w:eastAsia="新宋体" w:cs="新宋体"/>
                <w:i w:val="0"/>
                <w:iCs w:val="0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新宋体" w:hAnsi="新宋体" w:eastAsia="新宋体" w:cs="新宋体"/>
                <w:i w:val="0"/>
                <w:iCs w:val="0"/>
                <w:color w:val="000000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（10分）</w:t>
            </w:r>
          </w:p>
        </w:tc>
        <w:tc>
          <w:tcPr>
            <w:tcW w:w="992" w:type="dxa"/>
            <w:gridSpan w:val="2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服务对象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</w:t>
            </w:r>
          </w:p>
        </w:tc>
        <w:tc>
          <w:tcPr>
            <w:tcW w:w="994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社会公众满意度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&gt;=95%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93%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8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85" w:type="dxa"/>
            <w:vMerge w:val="restart"/>
            <w:tcBorders>
              <w:top w:val="single" w:color="auto" w:sz="4" w:space="0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成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0分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992" w:type="dxa"/>
            <w:gridSpan w:val="2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94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预算内成本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=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241.84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万元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241.84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万元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85" w:type="dxa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94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财政拨款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=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263.72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万元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263.72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万元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85" w:type="dxa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环境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94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i w:val="0"/>
                <w:iCs w:val="0"/>
                <w:color w:val="000000"/>
                <w:sz w:val="21"/>
                <w:szCs w:val="21"/>
                <w:lang w:val="en-US" w:eastAsia="zh-CN"/>
              </w:rPr>
              <w:t>上级补助收入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&gt;=95%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5855" w:type="dxa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总分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100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9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8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</w:tbl>
    <w:p>
      <w:pPr>
        <w:rPr>
          <w:rFonts w:hint="eastAsia" w:ascii="宋体" w:hAnsi="宋体" w:eastAsia="宋体" w:cs="宋体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</w:rPr>
        <w:t>填表人：</w:t>
      </w:r>
      <w:r>
        <w:rPr>
          <w:rFonts w:hint="eastAsia"/>
          <w:lang w:eastAsia="zh-CN"/>
        </w:rPr>
        <w:t>王琦</w:t>
      </w:r>
      <w:r>
        <w:rPr>
          <w:rFonts w:hint="eastAsia"/>
        </w:rPr>
        <w:t xml:space="preserve">     填报日期：</w:t>
      </w:r>
      <w:r>
        <w:rPr>
          <w:rFonts w:hint="eastAsia"/>
          <w:lang w:val="en-US" w:eastAsia="zh-CN"/>
        </w:rPr>
        <w:t>2024.5.24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联系电话：</w:t>
      </w:r>
      <w:r>
        <w:rPr>
          <w:rFonts w:hint="eastAsia"/>
          <w:lang w:val="en-US" w:eastAsia="zh-CN"/>
        </w:rPr>
        <w:t>13077167588</w:t>
      </w:r>
      <w:r>
        <w:rPr>
          <w:rFonts w:hint="eastAsia"/>
        </w:rPr>
        <w:t xml:space="preserve">     单位负责人签字：</w:t>
      </w:r>
      <w:r>
        <w:rPr>
          <w:rFonts w:hint="eastAsia"/>
          <w:lang w:eastAsia="zh-CN"/>
        </w:rPr>
        <w:t>张黎明</w:t>
      </w:r>
    </w:p>
    <w:sectPr>
      <w:footerReference r:id="rId5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82E307FA-C521-4BF9-8C13-A9D4C9A0B83F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1AE14C9B-55AB-4ABD-B3CD-5F5689F5DE7E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16312430-44B6-4044-95A3-8991027DC49E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37D6511A-7735-42DF-9ECB-DE956717B76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D0C7AB97-C774-4A6D-89A4-3E7837E82F20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914473BA-AF11-4923-B8BA-C45C4F77AAA0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7" w:fontKey="{6CC21149-C6A3-47EB-805C-E9FD3D40BFE8}"/>
  </w:font>
  <w:font w:name="???-18030">
    <w:altName w:val="Segoe Print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8" w:fontKey="{C3A67240-E1D7-4BCF-9B31-D5BB337823E9}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  <w:embedRegular r:id="rId9" w:fontKey="{B64F644D-7F92-4033-96E2-174E535D42F9}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  <w:embedRegular r:id="rId10" w:fontKey="{AEBC2F24-EE81-486A-95FC-71D86CB9FB92}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  <w:embedRegular r:id="rId11" w:fontKey="{59370B94-DC6D-4228-92B6-D444D3D6CFE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before="1" w:line="174" w:lineRule="auto"/>
      <w:jc w:val="center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7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I3F45UVAgAAFQ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7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before="1" w:line="174" w:lineRule="auto"/>
      <w:ind w:left="8576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10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s0lY7tAAAAAFAQAADwAAAAAAAAABACAAAAAi&#10;AAAAZHJzL2Rvd25yZXYueG1sUEsBAhQAFAAAAAgAh07iQM9tdHoSAgAAFQQAAA4AAAAAAAAAAQAg&#10;AAAAHwEAAGRycy9lMm9Eb2MueG1sUEsFBgAAAAAGAAYAWQEAAKM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10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zSVju0AAAAAUBAAAPAAAAAAAAAAEAIAAA&#10;ACIAAABkcnMvZG93bnJldi54bWxQSwECFAAUAAAACACHTuJAB2hfnRQCAAAVBAAADgAAAAAAAAAB&#10;ACAAAAAfAQAAZHJzL2Uyb0RvYy54bWxQSwUGAAAAAAYABgBZAQAAp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59DE3BD"/>
    <w:multiLevelType w:val="singleLevel"/>
    <w:tmpl w:val="C59DE3BD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E9320B48"/>
    <w:multiLevelType w:val="singleLevel"/>
    <w:tmpl w:val="E9320B48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FF3DB646"/>
    <w:multiLevelType w:val="singleLevel"/>
    <w:tmpl w:val="FF3DB646"/>
    <w:lvl w:ilvl="0" w:tentative="0">
      <w:start w:val="1"/>
      <w:numFmt w:val="decimal"/>
      <w:pStyle w:val="4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3">
    <w:nsid w:val="202DF6D3"/>
    <w:multiLevelType w:val="singleLevel"/>
    <w:tmpl w:val="202DF6D3"/>
    <w:lvl w:ilvl="0" w:tentative="0">
      <w:start w:val="9"/>
      <w:numFmt w:val="chineseCounting"/>
      <w:suff w:val="nothing"/>
      <w:lvlText w:val="%1、"/>
      <w:lvlJc w:val="left"/>
      <w:pPr>
        <w:ind w:left="-431"/>
      </w:pPr>
      <w:rPr>
        <w:rFonts w:hint="eastAsia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2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EzMTc3YjllNTI5Y2UyNTk5ZWVjZGQyYjJmYTkwZjcifQ=="/>
    <w:docVar w:name="KSO_WPS_MARK_KEY" w:val="55841f92-a021-4380-99ac-9bd8fcfd3d41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153D40"/>
    <w:rsid w:val="04EE6171"/>
    <w:rsid w:val="05315F6B"/>
    <w:rsid w:val="05395EA9"/>
    <w:rsid w:val="05D617A2"/>
    <w:rsid w:val="0616597F"/>
    <w:rsid w:val="06426ACC"/>
    <w:rsid w:val="07A62D33"/>
    <w:rsid w:val="086B5F82"/>
    <w:rsid w:val="09E6794E"/>
    <w:rsid w:val="0A067AB9"/>
    <w:rsid w:val="0A465AEA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5C1CDB"/>
    <w:rsid w:val="136F31F8"/>
    <w:rsid w:val="138750E0"/>
    <w:rsid w:val="1396506E"/>
    <w:rsid w:val="13D82A59"/>
    <w:rsid w:val="140E6961"/>
    <w:rsid w:val="15604228"/>
    <w:rsid w:val="15A620D3"/>
    <w:rsid w:val="16A3369E"/>
    <w:rsid w:val="16F5004B"/>
    <w:rsid w:val="17114A8B"/>
    <w:rsid w:val="176B77A7"/>
    <w:rsid w:val="178536BD"/>
    <w:rsid w:val="18952734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6C6BA7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8E30DCE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FB4B41"/>
    <w:rsid w:val="31621165"/>
    <w:rsid w:val="31D50CD0"/>
    <w:rsid w:val="322E1E8E"/>
    <w:rsid w:val="323C5548"/>
    <w:rsid w:val="33235CE2"/>
    <w:rsid w:val="33A4019B"/>
    <w:rsid w:val="33F22F3B"/>
    <w:rsid w:val="34281B05"/>
    <w:rsid w:val="359F2200"/>
    <w:rsid w:val="35A42962"/>
    <w:rsid w:val="36AD0EA9"/>
    <w:rsid w:val="36FF783F"/>
    <w:rsid w:val="37175536"/>
    <w:rsid w:val="37450F88"/>
    <w:rsid w:val="375F1A7E"/>
    <w:rsid w:val="378B026E"/>
    <w:rsid w:val="37B47BE4"/>
    <w:rsid w:val="37D6106F"/>
    <w:rsid w:val="37F52D97"/>
    <w:rsid w:val="38241593"/>
    <w:rsid w:val="386D155D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5C4FEC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2605E1E"/>
    <w:rsid w:val="430118BA"/>
    <w:rsid w:val="43173FD4"/>
    <w:rsid w:val="43B27D8E"/>
    <w:rsid w:val="43D00200"/>
    <w:rsid w:val="44143822"/>
    <w:rsid w:val="44654A12"/>
    <w:rsid w:val="44E421C9"/>
    <w:rsid w:val="45320384"/>
    <w:rsid w:val="457C5F26"/>
    <w:rsid w:val="4716830A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CF74D38"/>
    <w:rsid w:val="4D6D6EEB"/>
    <w:rsid w:val="4DB17672"/>
    <w:rsid w:val="4DB27F04"/>
    <w:rsid w:val="4F5D15A2"/>
    <w:rsid w:val="4FCB46B2"/>
    <w:rsid w:val="4FFE57BD"/>
    <w:rsid w:val="50AC44C4"/>
    <w:rsid w:val="50EA6DB9"/>
    <w:rsid w:val="50FC089B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8313BB"/>
    <w:rsid w:val="58FD3402"/>
    <w:rsid w:val="5968027A"/>
    <w:rsid w:val="5AAF7799"/>
    <w:rsid w:val="5AB04BD0"/>
    <w:rsid w:val="5B5C1753"/>
    <w:rsid w:val="5B7F9169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624663"/>
    <w:rsid w:val="60BE691E"/>
    <w:rsid w:val="60F838FC"/>
    <w:rsid w:val="61444403"/>
    <w:rsid w:val="62265BDF"/>
    <w:rsid w:val="62E1699A"/>
    <w:rsid w:val="62FBC294"/>
    <w:rsid w:val="63123C13"/>
    <w:rsid w:val="637D5875"/>
    <w:rsid w:val="63FEBEA7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70C17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7FDDA9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3A5C4C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EF4C0B"/>
    <w:rsid w:val="9FFF52D8"/>
    <w:rsid w:val="AD7F957C"/>
    <w:rsid w:val="AEB56B76"/>
    <w:rsid w:val="AF9DF110"/>
    <w:rsid w:val="AFABB544"/>
    <w:rsid w:val="AFFF8CF2"/>
    <w:rsid w:val="B6BD6A56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A993F2"/>
    <w:rsid w:val="DFD16BC5"/>
    <w:rsid w:val="E7C7ECFD"/>
    <w:rsid w:val="E993F613"/>
    <w:rsid w:val="EAF02C80"/>
    <w:rsid w:val="EAFDC676"/>
    <w:rsid w:val="EC7CC44F"/>
    <w:rsid w:val="EDF7EEE0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6FE806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qFormat="1" w:unhideWhenUsed="0" w:uiPriority="0" w:semiHidden="0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14">
    <w:name w:val="Default Paragraph Font"/>
    <w:semiHidden/>
    <w:qFormat/>
    <w:uiPriority w:val="99"/>
  </w:style>
  <w:style w:type="table" w:default="1" w:styleId="12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next w:val="1"/>
    <w:link w:val="16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List Number"/>
    <w:basedOn w:val="1"/>
    <w:semiHidden/>
    <w:unhideWhenUsed/>
    <w:uiPriority w:val="99"/>
    <w:pPr>
      <w:numPr>
        <w:ilvl w:val="0"/>
        <w:numId w:val="1"/>
      </w:numPr>
    </w:pPr>
  </w:style>
  <w:style w:type="paragraph" w:styleId="5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6">
    <w:name w:val="Body Text Indent"/>
    <w:basedOn w:val="1"/>
    <w:qFormat/>
    <w:uiPriority w:val="0"/>
    <w:pPr>
      <w:spacing w:after="120"/>
      <w:ind w:left="420" w:leftChars="200"/>
    </w:pPr>
    <w:rPr>
      <w:rFonts w:ascii="Times New Roman" w:hAnsi="Times New Roman" w:eastAsia="宋体" w:cs="Times New Roman"/>
    </w:rPr>
  </w:style>
  <w:style w:type="paragraph" w:styleId="7">
    <w:name w:val="Body Text Indent 2"/>
    <w:basedOn w:val="1"/>
    <w:qFormat/>
    <w:uiPriority w:val="0"/>
    <w:pPr>
      <w:spacing w:after="120" w:afterAutospacing="0" w:line="480" w:lineRule="auto"/>
      <w:ind w:left="420" w:leftChars="200"/>
    </w:pPr>
  </w:style>
  <w:style w:type="paragraph" w:styleId="8">
    <w:name w:val="header"/>
    <w:basedOn w:val="1"/>
    <w:link w:val="1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9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10">
    <w:name w:val="Normal (Web)"/>
    <w:basedOn w:val="1"/>
    <w:semiHidden/>
    <w:unhideWhenUsed/>
    <w:qFormat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styleId="11">
    <w:name w:val="Body Text First Indent 2"/>
    <w:basedOn w:val="6"/>
    <w:qFormat/>
    <w:uiPriority w:val="0"/>
    <w:pPr>
      <w:spacing w:before="100" w:beforeAutospacing="1" w:after="0"/>
      <w:ind w:left="0" w:firstLine="420" w:firstLineChars="200"/>
    </w:pPr>
    <w:rPr>
      <w:rFonts w:ascii="Calibri" w:hAnsi="Calibri" w:eastAsia="宋体" w:cs="Times New Roman"/>
    </w:rPr>
  </w:style>
  <w:style w:type="table" w:styleId="13">
    <w:name w:val="Table Grid"/>
    <w:basedOn w:val="12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15">
    <w:name w:val="page number"/>
    <w:basedOn w:val="14"/>
    <w:qFormat/>
    <w:uiPriority w:val="99"/>
    <w:rPr>
      <w:rFonts w:cs="Times New Roman"/>
    </w:rPr>
  </w:style>
  <w:style w:type="character" w:customStyle="1" w:styleId="16">
    <w:name w:val="Footer Char"/>
    <w:basedOn w:val="14"/>
    <w:link w:val="2"/>
    <w:semiHidden/>
    <w:qFormat/>
    <w:uiPriority w:val="99"/>
    <w:rPr>
      <w:sz w:val="18"/>
      <w:szCs w:val="18"/>
    </w:rPr>
  </w:style>
  <w:style w:type="character" w:customStyle="1" w:styleId="17">
    <w:name w:val="Header Char"/>
    <w:basedOn w:val="14"/>
    <w:link w:val="8"/>
    <w:semiHidden/>
    <w:qFormat/>
    <w:uiPriority w:val="99"/>
    <w:rPr>
      <w:sz w:val="18"/>
      <w:szCs w:val="18"/>
    </w:rPr>
  </w:style>
  <w:style w:type="paragraph" w:styleId="18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9">
    <w:name w:val="Table Normal"/>
    <w:semiHidden/>
    <w:unhideWhenUsed/>
    <w:qFormat/>
    <w:uiPriority w:val="0"/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20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  <w:style w:type="paragraph" w:customStyle="1" w:styleId="21">
    <w:name w:val="BodyText"/>
    <w:basedOn w:val="1"/>
    <w:next w:val="22"/>
    <w:qFormat/>
    <w:uiPriority w:val="0"/>
    <w:pPr>
      <w:widowControl/>
      <w:spacing w:before="100" w:beforeAutospacing="1" w:after="120" w:line="560" w:lineRule="exact"/>
      <w:ind w:firstLine="640" w:firstLineChars="200"/>
      <w:textAlignment w:val="baseline"/>
    </w:pPr>
    <w:rPr>
      <w:rFonts w:eastAsia="仿宋_GB2312"/>
      <w:sz w:val="32"/>
      <w:szCs w:val="32"/>
    </w:rPr>
  </w:style>
  <w:style w:type="paragraph" w:customStyle="1" w:styleId="22">
    <w:name w:val="UserStyle_3"/>
    <w:basedOn w:val="1"/>
    <w:qFormat/>
    <w:uiPriority w:val="0"/>
    <w:pPr>
      <w:widowControl/>
      <w:pBdr>
        <w:top w:val="single" w:color="000000" w:sz="4" w:space="0"/>
        <w:left w:val="single" w:color="000000" w:sz="8" w:space="0"/>
        <w:bottom w:val="single" w:color="000000" w:sz="4" w:space="0"/>
        <w:right w:val="single" w:color="000000" w:sz="4" w:space="0"/>
      </w:pBdr>
      <w:spacing w:before="100" w:beforeAutospacing="1" w:after="100" w:afterAutospacing="1" w:line="560" w:lineRule="exact"/>
      <w:ind w:firstLine="640" w:firstLineChars="200"/>
      <w:jc w:val="center"/>
      <w:textAlignment w:val="baseline"/>
    </w:pPr>
    <w:rPr>
      <w:rFonts w:ascii="???-18030" w:hAnsi="???-18030" w:eastAsia="仿宋_GB2312"/>
      <w:kern w:val="0"/>
      <w:sz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12</Pages>
  <Words>4148</Words>
  <Characters>4703</Characters>
  <Lines>0</Lines>
  <Paragraphs>0</Paragraphs>
  <TotalTime>0</TotalTime>
  <ScaleCrop>false</ScaleCrop>
  <LinksUpToDate>false</LinksUpToDate>
  <CharactersWithSpaces>4784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2020-06-07T09:07:00Z</dcterms:created>
  <dc:creator>Administrator</dc:creator>
  <cp:lastModifiedBy>Administrator</cp:lastModifiedBy>
  <cp:lastPrinted>2024-05-21T15:59:00Z</cp:lastPrinted>
  <dcterms:modified xsi:type="dcterms:W3CDTF">2024-06-05T02:38:26Z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KSOSaveFontToCloudKey">
    <vt:lpwstr>386772509_embed</vt:lpwstr>
  </property>
  <property fmtid="{D5CDD505-2E9C-101B-9397-08002B2CF9AE}" pid="4" name="ICV">
    <vt:lpwstr>9CC01C7BD4944ED0AB76D6B45FFD8790_13</vt:lpwstr>
  </property>
</Properties>
</file>