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湖南恒利食品有限公司年产300吨速冻小龙虾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改扩建项目环境影响报告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湖南恒利食品有限公司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湖南恒利食品有限公司年产300吨速冻小龙虾改扩建项目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恒利食品有限公司于2021年11月租用岳阳瑞华景港纺织原料有限公司现有厂房建设了150吨/年小龙虾罐头项目，现拟对原150吨/年小龙虾罐头项目进行改扩建，本次改扩建工程，在现有厂区污水处理站旁新建1栋锅炉房（配套北厂区供汽）建筑面积为100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，同时厂区北侧新增地块4942m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（北厂区），新建1栋占地面积4000m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生产车间，其分为原料区920m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，生产区2160m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，冷库2#920m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，食堂、宿舍、给排水、供配电等公用配套设施均依托厂区现有配套设施。项目符合国家产业政策、符合“三线一单”生态环境分区管控要求，根据</w:t>
      </w:r>
      <w:bookmarkStart w:id="2" w:name="OLE_LINK16"/>
      <w:r>
        <w:rPr>
          <w:rFonts w:hint="eastAsia" w:ascii="仿宋" w:hAnsi="仿宋" w:eastAsia="仿宋" w:cs="宋体"/>
          <w:sz w:val="32"/>
          <w:szCs w:val="32"/>
          <w:lang w:val="en-US" w:eastAsia="zh-CN"/>
        </w:rPr>
        <w:t>岳阳凯丰环保有限公司</w:t>
      </w:r>
      <w:r>
        <w:rPr>
          <w:rFonts w:hint="eastAsia" w:ascii="仿宋" w:hAnsi="仿宋" w:eastAsia="仿宋"/>
          <w:sz w:val="32"/>
          <w:szCs w:val="32"/>
          <w:lang w:val="en-US" w:eastAsia="zh-CN"/>
        </w:rPr>
        <w:t>编制的《湖南恒利食品有限公司年产300吨速冻小龙虾改扩建项目环境影响报告表》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本生产废水、生活污水经已建90t/d的污水处理站（隔油+气浮+水解酸化+多级接触氧化），处理达原华容县中环污水处理公司（现名为华容县三峡水环境综合治理有限责任公司）接纳标准和《污水综合排放标准》（GB8978-1996）三级标准要求较严值后，由2台15吨/车槽罐车运至原华容县中环污水处理公司（现名为华容县三峡水环境综合治理有限责任公司）处理，经处理达到《城镇污水处理厂污染物排放标准》（GB18918-2002）一级A标准后，最终排入华容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本项目原有4t/h锅炉废气改造为经旋风除尘+布袋除尘后由35m高排气筒（DA001）高空排放；新增1台6t/h成型生物质锅炉烟气经旋风除尘（TA003）+布袋除尘（TA004）处理后由35m高排气筒（DA002）高空排放；食堂油烟经过油烟净化器净化后经专用烟道排放；生物质锅炉废气执行《锅炉大气污染物排放标准》（GB13271-2014）表3燃煤锅炉大气污染物特别排放限值标准，厨房油烟执行《饮食业油烟排放标准》（试行）（GB18483-2001）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加强无组织废气的防治措施。通过加强车间管理，加强通风换气，下脚料、残渣等及时处置，每日清洗地面；污水处理设施加盖、密闭，喷洒生物除臭剂等措施，最大限度减少生产过程中的废气无组织排放；项目厂界恶臭气体NH3、H2S、臭气浓度排放标准执行《恶臭污染物排放标准》（GB14554-93）表1二级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采取选用低噪声设备、部分设备安装消声器、加强噪声设备的基础减振、合理布局、厂房隔音等措施处理后，确保厂界昼间噪声满足《工业企业厂界环境噪声排放标准》（GB12348-2008）2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储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按相关要求进行企业突发环境事件应急预案的编制和备案。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8、严格落实“以新带老”的环保措施。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9、污染物总量控制：本项目改扩建后主要污染物总量控制指标为：SO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≤0.55t/a、NO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≤0.88t/a，其中新增NO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总量控制指标需通过排污权交易获得。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bookmarkStart w:id="3" w:name="_GoBack"/>
      <w:bookmarkEnd w:id="3"/>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2025年12月10日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3510AB"/>
    <w:rsid w:val="1F44494D"/>
    <w:rsid w:val="1F4B4494"/>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7"/>
    <w:qFormat/>
    <w:uiPriority w:val="9"/>
    <w:pPr>
      <w:spacing w:before="200" w:after="80"/>
      <w:ind w:firstLine="0"/>
      <w:outlineLvl w:val="4"/>
    </w:pPr>
    <w:rPr>
      <w:rFonts w:ascii="Cambria" w:hAnsi="Cambria"/>
      <w:color w:val="4F81BD"/>
    </w:rPr>
  </w:style>
  <w:style w:type="paragraph" w:styleId="13">
    <w:name w:val="heading 6"/>
    <w:basedOn w:val="1"/>
    <w:next w:val="1"/>
    <w:link w:val="48"/>
    <w:qFormat/>
    <w:uiPriority w:val="9"/>
    <w:pPr>
      <w:spacing w:before="280" w:after="100"/>
      <w:ind w:firstLine="0"/>
      <w:outlineLvl w:val="5"/>
    </w:pPr>
    <w:rPr>
      <w:rFonts w:ascii="Cambria" w:hAnsi="Cambria"/>
      <w:i/>
      <w:iCs/>
      <w:color w:val="4F81BD"/>
    </w:rPr>
  </w:style>
  <w:style w:type="paragraph" w:styleId="14">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7"/>
    <w:qFormat/>
    <w:uiPriority w:val="9"/>
    <w:rPr>
      <w:rFonts w:ascii="Cambria" w:hAnsi="Cambria" w:eastAsia="宋体" w:cs="宋体"/>
      <w:b/>
      <w:bCs/>
      <w:color w:val="376092"/>
      <w:sz w:val="24"/>
      <w:szCs w:val="24"/>
    </w:rPr>
  </w:style>
  <w:style w:type="character" w:customStyle="1" w:styleId="44">
    <w:name w:val="标题 2 Char"/>
    <w:basedOn w:val="28"/>
    <w:link w:val="8"/>
    <w:qFormat/>
    <w:uiPriority w:val="9"/>
    <w:rPr>
      <w:rFonts w:ascii="Cambria" w:hAnsi="Cambria" w:eastAsia="宋体" w:cs="宋体"/>
      <w:color w:val="376092"/>
      <w:sz w:val="24"/>
      <w:szCs w:val="24"/>
    </w:rPr>
  </w:style>
  <w:style w:type="character" w:customStyle="1" w:styleId="45">
    <w:name w:val="标题 3 Char"/>
    <w:basedOn w:val="28"/>
    <w:link w:val="9"/>
    <w:qFormat/>
    <w:uiPriority w:val="9"/>
    <w:rPr>
      <w:rFonts w:ascii="Cambria" w:hAnsi="Cambria" w:eastAsia="宋体" w:cs="宋体"/>
      <w:color w:val="4F81BD"/>
      <w:sz w:val="24"/>
      <w:szCs w:val="24"/>
    </w:rPr>
  </w:style>
  <w:style w:type="character" w:customStyle="1" w:styleId="46">
    <w:name w:val="标题 4 Char"/>
    <w:basedOn w:val="28"/>
    <w:link w:val="10"/>
    <w:qFormat/>
    <w:uiPriority w:val="9"/>
    <w:rPr>
      <w:rFonts w:ascii="Cambria" w:hAnsi="Cambria" w:eastAsia="宋体" w:cs="宋体"/>
      <w:i/>
      <w:iCs/>
      <w:color w:val="4F81BD"/>
      <w:sz w:val="24"/>
      <w:szCs w:val="24"/>
    </w:rPr>
  </w:style>
  <w:style w:type="character" w:customStyle="1" w:styleId="47">
    <w:name w:val="标题 5 Char"/>
    <w:basedOn w:val="28"/>
    <w:link w:val="12"/>
    <w:qFormat/>
    <w:uiPriority w:val="9"/>
    <w:rPr>
      <w:rFonts w:ascii="Cambria" w:hAnsi="Cambria" w:eastAsia="宋体" w:cs="宋体"/>
      <w:color w:val="4F81BD"/>
    </w:rPr>
  </w:style>
  <w:style w:type="character" w:customStyle="1" w:styleId="48">
    <w:name w:val="标题 6 Char"/>
    <w:basedOn w:val="28"/>
    <w:link w:val="13"/>
    <w:qFormat/>
    <w:uiPriority w:val="9"/>
    <w:rPr>
      <w:rFonts w:ascii="Cambria" w:hAnsi="Cambria" w:eastAsia="宋体" w:cs="宋体"/>
      <w:i/>
      <w:iCs/>
      <w:color w:val="4F81BD"/>
    </w:rPr>
  </w:style>
  <w:style w:type="character" w:customStyle="1" w:styleId="49">
    <w:name w:val="标题 7 Char"/>
    <w:basedOn w:val="28"/>
    <w:link w:val="14"/>
    <w:qFormat/>
    <w:uiPriority w:val="9"/>
    <w:rPr>
      <w:rFonts w:ascii="Cambria" w:hAnsi="Cambria" w:eastAsia="宋体" w:cs="宋体"/>
      <w:b/>
      <w:bCs/>
      <w:color w:val="9BBB59"/>
      <w:sz w:val="20"/>
      <w:szCs w:val="20"/>
    </w:rPr>
  </w:style>
  <w:style w:type="character" w:customStyle="1" w:styleId="50">
    <w:name w:val="标题 8 Char"/>
    <w:basedOn w:val="28"/>
    <w:link w:val="15"/>
    <w:qFormat/>
    <w:uiPriority w:val="9"/>
    <w:rPr>
      <w:rFonts w:ascii="Cambria" w:hAnsi="Cambria" w:eastAsia="宋体" w:cs="宋体"/>
      <w:b/>
      <w:bCs/>
      <w:i/>
      <w:iCs/>
      <w:color w:val="9BBB59"/>
      <w:sz w:val="20"/>
      <w:szCs w:val="20"/>
    </w:rPr>
  </w:style>
  <w:style w:type="character" w:customStyle="1" w:styleId="51">
    <w:name w:val="标题 9 Char"/>
    <w:basedOn w:val="28"/>
    <w:link w:val="16"/>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7"/>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2025-12-08T03:45:47Z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