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ascii="微软雅黑" w:hAnsi="微软雅黑" w:eastAsia="微软雅黑"/>
          <w:b/>
          <w:bCs/>
          <w:sz w:val="28"/>
          <w:szCs w:val="28"/>
        </w:rPr>
        <w:t>2023年度华容县</w:t>
      </w:r>
      <w:r>
        <w:rPr>
          <w:rFonts w:hint="eastAsia" w:ascii="微软雅黑" w:hAnsi="微软雅黑" w:eastAsia="微软雅黑"/>
          <w:b/>
          <w:bCs/>
          <w:sz w:val="28"/>
          <w:szCs w:val="28"/>
          <w:lang w:eastAsia="zh-CN"/>
        </w:rPr>
        <w:t>终南</w:t>
      </w:r>
      <w:r>
        <w:rPr>
          <w:rFonts w:ascii="微软雅黑" w:hAnsi="微软雅黑" w:eastAsia="微软雅黑"/>
          <w:b/>
          <w:bCs/>
          <w:sz w:val="28"/>
          <w:szCs w:val="28"/>
        </w:rPr>
        <w:t>卫生院整体支出</w:t>
      </w:r>
    </w:p>
    <w:p>
      <w:pPr>
        <w:jc w:val="center"/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sz w:val="28"/>
          <w:szCs w:val="28"/>
        </w:rPr>
        <w:t>绩效自评报告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一、部门基本情况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（一）部门基本概况</w:t>
      </w:r>
    </w:p>
    <w:p>
      <w:pPr>
        <w:shd w:val="solid" w:color="FFFFFF" w:fill="auto"/>
        <w:autoSpaceDN w:val="0"/>
        <w:spacing w:line="600" w:lineRule="exact"/>
        <w:ind w:firstLine="420" w:firstLineChars="200"/>
        <w:jc w:val="left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auto"/>
          <w:sz w:val="21"/>
          <w:szCs w:val="21"/>
        </w:rPr>
        <w:t>华容县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  <w:lang w:eastAsia="zh-CN"/>
        </w:rPr>
        <w:t>终南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</w:rPr>
        <w:t>卫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  <w:lang w:eastAsia="zh-CN"/>
        </w:rPr>
        <w:t>生院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</w:rPr>
        <w:t>系财政全额预算拨款单位。202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</w:rPr>
        <w:t>年编制部门核实华容县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  <w:lang w:eastAsia="zh-CN"/>
        </w:rPr>
        <w:t>终南卫生院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</w:rPr>
        <w:t>卫生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  <w:lang w:eastAsia="zh-CN"/>
        </w:rPr>
        <w:t>院事业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</w:rPr>
        <w:t>编制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  <w:lang w:val="en-US" w:eastAsia="zh-CN"/>
        </w:rPr>
        <w:t>35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</w:rPr>
        <w:t>名，实有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  <w:lang w:eastAsia="zh-CN"/>
        </w:rPr>
        <w:t>事业编制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</w:rPr>
        <w:t>人员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  <w:lang w:val="en-US" w:eastAsia="zh-CN"/>
        </w:rPr>
        <w:t>35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</w:rPr>
        <w:t>人</w:t>
      </w:r>
      <w:r>
        <w:rPr>
          <w:rFonts w:hint="eastAsia" w:ascii="微软雅黑" w:hAnsi="微软雅黑" w:eastAsia="微软雅黑" w:cs="微软雅黑"/>
          <w:color w:val="auto"/>
          <w:sz w:val="21"/>
          <w:szCs w:val="21"/>
          <w:lang w:val="en-US" w:eastAsia="zh-CN"/>
        </w:rPr>
        <w:t>.华容县终南卫生院单位内设机构包括：3个职能科室。医疗组、防保组、行政后勤组。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bookmarkStart w:id="0" w:name="_GoBack"/>
      <w:bookmarkEnd w:id="0"/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（二）部门主要职能及支出使用方向和内容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贯彻落实国民健康政策、卫生健康和中医药事业发展的法律法规、政策、措施，拟订我院相关政策、措施、负责辖区内的基本医疗卫生工作，负责本乡镇预防保健工作，承担所在乡镇的公共卫生管理。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2023年，在县委、县政府的坚强领导下，华容县</w:t>
      </w:r>
      <w:r>
        <w:rPr>
          <w:rFonts w:hint="eastAsia" w:ascii="微软雅黑" w:hAnsi="微软雅黑" w:eastAsia="微软雅黑"/>
          <w:szCs w:val="21"/>
          <w:lang w:eastAsia="zh-CN"/>
        </w:rPr>
        <w:t>终南</w:t>
      </w:r>
      <w:r>
        <w:rPr>
          <w:rFonts w:ascii="微软雅黑" w:hAnsi="微软雅黑" w:eastAsia="微软雅黑"/>
          <w:szCs w:val="21"/>
        </w:rPr>
        <w:t>卫生院围绕“健康华容”建设目标，以“12345”的工作思路，着力推进疫情防控、深化医改、业务扩容、项目保质、健康惠民等各项工作，取得了预期成效。</w:t>
      </w:r>
      <w:r>
        <w:rPr>
          <w:rFonts w:hint="eastAsia" w:ascii="微软雅黑" w:hAnsi="微软雅黑" w:eastAsia="微软雅黑"/>
          <w:szCs w:val="21"/>
        </w:rPr>
        <w:t>围绕一条主线，力促健康华容建设。将全面落实健康岳阳行动作为工作“主线”，全力落实各项健康政策，全方位构建“健康华容”确保群众健康安全。巩固疾病预防成果，有效落实各类重点传染病防治措施，全</w:t>
      </w:r>
      <w:r>
        <w:rPr>
          <w:rFonts w:hint="eastAsia" w:ascii="微软雅黑" w:hAnsi="微软雅黑" w:eastAsia="微软雅黑"/>
          <w:szCs w:val="21"/>
          <w:lang w:eastAsia="zh-CN"/>
        </w:rPr>
        <w:t>镇</w:t>
      </w:r>
      <w:r>
        <w:rPr>
          <w:rFonts w:hint="eastAsia" w:ascii="微软雅黑" w:hAnsi="微软雅黑" w:eastAsia="微软雅黑"/>
          <w:szCs w:val="21"/>
        </w:rPr>
        <w:t>全年无甲类传染病报告，乙、丙类传染病发病率控制在国家标准以内，无重大传染病暴发流行。落实四大保障，助推民生事业发展。落实基本公共卫生服务。对十四大类</w:t>
      </w:r>
      <w:r>
        <w:rPr>
          <w:rFonts w:ascii="微软雅黑" w:hAnsi="微软雅黑" w:eastAsia="微软雅黑"/>
          <w:szCs w:val="21"/>
        </w:rPr>
        <w:t>55小项基本公共卫生服务项目的目标任务、服务方式、考核标准、奖惩措施等进一步细化、量化，实施服务项目全过程监管和绩效点制考核，促进了工作指标、工作质量双提升。落实妇幼保健项目。</w:t>
      </w:r>
      <w:r>
        <w:rPr>
          <w:rFonts w:hint="eastAsia" w:ascii="微软雅黑" w:hAnsi="微软雅黑" w:eastAsia="微软雅黑"/>
          <w:szCs w:val="21"/>
        </w:rPr>
        <w:t>抓好五项建设，提升健康服务水平。抓服务能力建设。卫生院依托远程诊断平台，着力提升诊断水平和医疗质量，整体服务水平不断增强。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二、一般公共预算支出情况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（一）基本支出情况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0" w:beforeLines="50" w:line="396" w:lineRule="auto"/>
        <w:ind w:left="15" w:leftChars="7" w:right="11" w:firstLine="420" w:firstLineChars="200"/>
        <w:jc w:val="left"/>
        <w:textAlignment w:val="baseline"/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  <w:lang w:val="en-US" w:eastAsia="zh-CN"/>
        </w:rPr>
      </w:pPr>
      <w:r>
        <w:rPr>
          <w:rFonts w:ascii="微软雅黑" w:hAnsi="微软雅黑" w:eastAsia="微软雅黑"/>
          <w:szCs w:val="21"/>
        </w:rPr>
        <w:t>2023年度华容县</w:t>
      </w:r>
      <w:r>
        <w:rPr>
          <w:rFonts w:hint="eastAsia" w:ascii="微软雅黑" w:hAnsi="微软雅黑" w:eastAsia="微软雅黑"/>
          <w:szCs w:val="21"/>
          <w:lang w:eastAsia="zh-CN"/>
        </w:rPr>
        <w:t>终南</w:t>
      </w:r>
      <w:r>
        <w:rPr>
          <w:rFonts w:ascii="微软雅黑" w:hAnsi="微软雅黑" w:eastAsia="微软雅黑"/>
          <w:szCs w:val="21"/>
        </w:rPr>
        <w:t>卫生院支出合计</w:t>
      </w:r>
      <w:r>
        <w:rPr>
          <w:rFonts w:hint="eastAsia" w:ascii="微软雅黑" w:hAnsi="微软雅黑" w:eastAsia="微软雅黑"/>
          <w:szCs w:val="21"/>
          <w:lang w:val="en-US" w:eastAsia="zh-CN"/>
        </w:rPr>
        <w:t>597.23</w:t>
      </w:r>
      <w:r>
        <w:rPr>
          <w:rFonts w:ascii="微软雅黑" w:hAnsi="微软雅黑" w:eastAsia="微软雅黑"/>
          <w:szCs w:val="21"/>
        </w:rPr>
        <w:t>万元，主要是用于人员工资、社会保障缴费、临聘人员工资以及为保障医疗卫生机构正常运转、完成日常工作任务而发生的商品和服务支出，</w:t>
      </w:r>
      <w:r>
        <w:rPr>
          <w:rFonts w:hint="eastAsia" w:ascii="微软雅黑" w:hAnsi="微软雅黑" w:eastAsia="微软雅黑" w:cs="微软雅黑"/>
          <w:sz w:val="21"/>
          <w:szCs w:val="21"/>
        </w:rPr>
        <w:t>其中</w:t>
      </w: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工资福利支出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242.49万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  <w:lang w:val="en-US" w:eastAsia="zh-CN"/>
        </w:rPr>
        <w:t>元，商品和服务支出73.24万。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（二）项目支出情况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1、项目资金安排落实、总投入等情况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我单位项目资金按照年初预算的安排，按照月度与进度等安排资金落实，</w:t>
      </w: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终南</w:t>
      </w:r>
      <w:r>
        <w:rPr>
          <w:rFonts w:ascii="微软雅黑" w:hAnsi="微软雅黑" w:eastAsia="微软雅黑"/>
          <w:szCs w:val="21"/>
        </w:rPr>
        <w:t>卫生院整体年初项目资金合计申报</w:t>
      </w:r>
      <w:r>
        <w:rPr>
          <w:rFonts w:hint="eastAsia" w:ascii="微软雅黑" w:hAnsi="微软雅黑" w:eastAsia="微软雅黑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281.50</w:t>
      </w:r>
      <w:r>
        <w:rPr>
          <w:rFonts w:ascii="微软雅黑" w:hAnsi="微软雅黑" w:eastAsia="微软雅黑"/>
          <w:szCs w:val="21"/>
        </w:rPr>
        <w:t>万元，主要是用于基本公共卫生服务、应急物质储备的支出。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2、专项资金管理情况分析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严格按项目资金进行管理，执行相关财务支出管理制度，资金管理制度。加强项目资金专款专用管理，设立专账核算，各项目执行单位财务机构加强项目资金日常使用监督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三、政府性基金预算支出情况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终南</w:t>
      </w:r>
      <w:r>
        <w:rPr>
          <w:rFonts w:ascii="微软雅黑" w:hAnsi="微软雅黑" w:eastAsia="微软雅黑"/>
          <w:szCs w:val="21"/>
        </w:rPr>
        <w:t>卫生院没有政府性基金预算收入和支出。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四、国有资本经营预算支出情况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终南</w:t>
      </w:r>
      <w:r>
        <w:rPr>
          <w:rFonts w:ascii="微软雅黑" w:hAnsi="微软雅黑" w:eastAsia="微软雅黑"/>
          <w:szCs w:val="21"/>
        </w:rPr>
        <w:t>卫生院没有国有资本经营预算收入和支出。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五、社会保险基金预算支出情况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2023年华容县</w:t>
      </w:r>
      <w:r>
        <w:rPr>
          <w:rFonts w:hint="eastAsia" w:ascii="微软雅黑" w:hAnsi="微软雅黑" w:eastAsia="微软雅黑"/>
          <w:szCs w:val="21"/>
          <w:lang w:eastAsia="zh-CN"/>
        </w:rPr>
        <w:t>终南</w:t>
      </w:r>
      <w:r>
        <w:rPr>
          <w:rFonts w:ascii="微软雅黑" w:hAnsi="微软雅黑" w:eastAsia="微软雅黑"/>
          <w:szCs w:val="21"/>
        </w:rPr>
        <w:t>卫生院没有社会保险基金预算收入和支出。</w:t>
      </w:r>
    </w:p>
    <w:p>
      <w:pPr>
        <w:rPr>
          <w:rFonts w:ascii="微软雅黑" w:hAnsi="微软雅黑" w:eastAsia="微软雅黑"/>
          <w:szCs w:val="21"/>
        </w:rPr>
      </w:pP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六、部门整体支出绩效情况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1.部门整体收支情况：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</w:t>
      </w:r>
      <w:r>
        <w:rPr>
          <w:rFonts w:ascii="微软雅黑" w:hAnsi="微软雅黑" w:eastAsia="微软雅黑"/>
          <w:szCs w:val="21"/>
        </w:rPr>
        <w:t>1）</w:t>
      </w:r>
      <w:r>
        <w:rPr>
          <w:rFonts w:hint="eastAsia" w:ascii="微软雅黑" w:hAnsi="微软雅黑" w:eastAsia="微软雅黑" w:cs="微软雅黑"/>
          <w:sz w:val="21"/>
          <w:szCs w:val="21"/>
        </w:rPr>
        <w:t>收入情况：全年收入合计597.23万元，其中：一般公共预算财政拨款收入397.71万元，事业收入188.8万元,其他收入10.72万元。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（2）支出情况:</w:t>
      </w:r>
      <w:r>
        <w:rPr>
          <w:rFonts w:hint="eastAsia" w:ascii="微软雅黑" w:hAnsi="微软雅黑" w:eastAsia="微软雅黑" w:cs="微软雅黑"/>
          <w:spacing w:val="6"/>
          <w:kern w:val="0"/>
          <w:sz w:val="21"/>
          <w:szCs w:val="21"/>
        </w:rPr>
        <w:t>全年支出合计597.23万元，其中：基本支出315.73万元（工资福利支出242.49万元；商品和服务支出73.24万元），项目支出281.5万元。</w:t>
      </w:r>
      <w:r>
        <w:rPr>
          <w:rFonts w:hint="eastAsia" w:ascii="微软雅黑" w:hAnsi="微软雅黑" w:eastAsia="微软雅黑" w:cs="微软雅黑"/>
          <w:sz w:val="21"/>
          <w:szCs w:val="21"/>
        </w:rPr>
        <w:t>2.三公经费支出情况：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2023年部门预算安排“三公”经费”</w:t>
      </w:r>
      <w:r>
        <w:rPr>
          <w:rFonts w:hint="eastAsia" w:ascii="微软雅黑" w:hAnsi="微软雅黑" w:eastAsia="微软雅黑"/>
          <w:szCs w:val="21"/>
          <w:lang w:val="en-US" w:eastAsia="zh-CN"/>
        </w:rPr>
        <w:t>0</w:t>
      </w:r>
      <w:r>
        <w:rPr>
          <w:rFonts w:ascii="微软雅黑" w:hAnsi="微软雅黑" w:eastAsia="微软雅黑"/>
          <w:szCs w:val="21"/>
        </w:rPr>
        <w:t>万元，实际支出</w:t>
      </w:r>
      <w:r>
        <w:rPr>
          <w:rFonts w:hint="eastAsia" w:ascii="微软雅黑" w:hAnsi="微软雅黑" w:eastAsia="微软雅黑"/>
          <w:szCs w:val="21"/>
          <w:lang w:val="en-US" w:eastAsia="zh-CN"/>
        </w:rPr>
        <w:t>0</w:t>
      </w:r>
      <w:r>
        <w:rPr>
          <w:rFonts w:ascii="微软雅黑" w:hAnsi="微软雅黑" w:eastAsia="微软雅黑"/>
          <w:szCs w:val="21"/>
        </w:rPr>
        <w:t>万元。其中公务用车运行维护0万元，公务接待费</w:t>
      </w:r>
      <w:r>
        <w:rPr>
          <w:rFonts w:hint="eastAsia" w:ascii="微软雅黑" w:hAnsi="微软雅黑" w:eastAsia="微软雅黑"/>
          <w:szCs w:val="21"/>
          <w:lang w:val="en-US" w:eastAsia="zh-CN"/>
        </w:rPr>
        <w:t>0</w:t>
      </w:r>
      <w:r>
        <w:rPr>
          <w:rFonts w:ascii="微软雅黑" w:hAnsi="微软雅黑" w:eastAsia="微软雅黑"/>
          <w:szCs w:val="21"/>
        </w:rPr>
        <w:t>万元。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3.部门整体绩效目标完成情况：</w:t>
      </w:r>
    </w:p>
    <w:p>
      <w:pPr>
        <w:ind w:firstLine="420" w:firstLineChars="20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2023年规范化居民电子健康档案已完成15938份，建档率达100%；共完成接种1894针次，其中卡介苗、乙肝疫苗、脊灰疫苗、麻疹疫苗、百白破、流脑、乙脑、甲肝等免疫规划疫苗接种率均达98%以上；0-6岁儿童健康管理人数736 人，新生儿家庭访视率100%，儿童健康管理率100%；共管理54例孕产妇，早孕建册率100%，产后访视率98.5%；老年人健康管理2179人，健康管理率70% ;糖尿病445人，规范管理409人，规范管理率86.2%；高血压管理1598人,规范管理1459人,规范管理率91.9%；严重精神障碍患者健康管理102人，规范管理102人，规范管理率100%；肺结核3人，已管理3人，管理率100%，规范服药3人，规范服药率100%；接受中医药健康管理服务老年人1761人，老年人中医药健康管理率80%，0-3岁儿童接受中医药健康管理服务515人，儿童中医药健康管理服务率70%；卫生院均实行了传染病和突发公共卫生事件预警应急机制，传染病疫情报告率100%，及时报告率100%；卫生计生监督协管信息报告率100%。</w:t>
      </w:r>
    </w:p>
    <w:p>
      <w:pPr>
        <w:ind w:firstLine="420" w:firstLineChars="200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全乡家庭医生团队3个累计签约人数13754人，通过“卫宁家医平台”实现了应签尽签，签约率100%；</w:t>
      </w:r>
    </w:p>
    <w:p>
      <w:pPr>
        <w:ind w:firstLine="420" w:firstLineChars="200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2023年共发放健康教育应刷资料种类11种,发放健康教育印刷资料9884本,设置4个健康教育宣传栏,健康教育宣传栏内容更新次数12次；共举办12次健康教育讲座,352人参加健康教育讲座,共举办健康教育咨询活动8次, 352人参加健康教育咨询;健康教育知识全面普及，人民群众健康意识普遍增强，群众满意度达90%以上。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七、存在的问题及原因分析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、预算编制有待更严格执行。预算编制与实际支出项目有的存在差异。有些工作未能找到适当的量化方式，对绩效管理量化评价方面略显不足。通过县财政局组织的预算绩效管理培训，逐步找到适合的方法对本单位的工作进行合理的分类量化，以便适应将来的预算绩效管理工作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2、加强对卫生院基础设施及能力建设，抓好医疗质量安全、医疗纠纷第三方调解机制、医疗机构布局、医疗废物集中处置等工作。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八、下一步改进措施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1.强化宣传。进一步加大宣传力度，让广大城乡居民更全面了解项目的益处，提高群众知晓率，鼓励群众积极参与，自愿配合医疗卫生服务工作的开展。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2.严格审核。按照预算规定的项目和用途严格财务审核，经费支出严格按预算规定项目的财务支出内容进行财务核算，在预算金额内严格控制费用的支出。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3.分析常态化。将预算财务分析常态化，定期做好预算支出财务分析，做好医院整体支出预算评价工作。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 xml:space="preserve">4.强化信息公开。积极宣传和引导居民群众对医疗卫生服务的认知度和信任度，激发公众的参与度，从而积极献计献策、监督政府职能部门的各项工作。 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5.加大人才培养。由于基层医疗卫生机构医护人员总量不足且青黄不接的问题，希望财政能加大对医疗卫生本土化人才培养的投入。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6.增强投入。疾病预防控制中相关经费短缺，预防性健康体检经费，疫情防控经费，建设等项目需要增强投入和建设。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九、部门整体支出绩效自评结果拟应用和公开情况</w:t>
      </w:r>
    </w:p>
    <w:p>
      <w:pPr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 xml:space="preserve">    根据县财政相关部门统一部署，我单位2023年部门整体绩效自评情况将在县政府门户网站公开，接受社会监督。对绩效自评工作中发现的问题及时整改，解决好绩效评价管理中存在的问题，提高工作效能。根据部门整体支出绩效评价指标评分标准，2023年我单位部门整体绩效评价自评分为</w:t>
      </w:r>
      <w:r>
        <w:rPr>
          <w:rFonts w:hint="eastAsia" w:ascii="微软雅黑" w:hAnsi="微软雅黑" w:eastAsia="微软雅黑"/>
          <w:szCs w:val="21"/>
          <w:lang w:val="en-US" w:eastAsia="zh-CN"/>
        </w:rPr>
        <w:t>95</w:t>
      </w:r>
      <w:r>
        <w:rPr>
          <w:rFonts w:ascii="微软雅黑" w:hAnsi="微软雅黑" w:eastAsia="微软雅黑"/>
          <w:szCs w:val="21"/>
        </w:rPr>
        <w:t>分。</w:t>
      </w:r>
    </w:p>
    <w:p>
      <w:pPr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十、其他需要说明的情况</w:t>
      </w:r>
    </w:p>
    <w:p>
      <w:pPr>
        <w:rPr>
          <w:rFonts w:hint="eastAsia"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4MTFiOTU0ZDk2YTA1OWFjMTQ4ZWQ3NTk1M2NkM2UifQ=="/>
  </w:docVars>
  <w:rsids>
    <w:rsidRoot w:val="00420A46"/>
    <w:rsid w:val="00213CF8"/>
    <w:rsid w:val="002A3BEE"/>
    <w:rsid w:val="00420A46"/>
    <w:rsid w:val="00753A6A"/>
    <w:rsid w:val="00924F1A"/>
    <w:rsid w:val="0BD11F6E"/>
    <w:rsid w:val="0C3A7F84"/>
    <w:rsid w:val="299F108C"/>
    <w:rsid w:val="31231183"/>
    <w:rsid w:val="476E6F62"/>
    <w:rsid w:val="605120AD"/>
    <w:rsid w:val="6218272E"/>
    <w:rsid w:val="6EBF752E"/>
    <w:rsid w:val="748F7160"/>
    <w:rsid w:val="7606658E"/>
    <w:rsid w:val="7F440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footnote text"/>
    <w:basedOn w:val="1"/>
    <w:next w:val="1"/>
    <w:qFormat/>
    <w:uiPriority w:val="0"/>
    <w:pPr>
      <w:snapToGrid w:val="0"/>
      <w:jc w:val="left"/>
    </w:pPr>
    <w:rPr>
      <w:sz w:val="18"/>
      <w:szCs w:val="18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2262</Words>
  <Characters>2406</Characters>
  <Lines>18</Lines>
  <Paragraphs>5</Paragraphs>
  <ScaleCrop>false</ScaleCrop>
  <LinksUpToDate>false</LinksUpToDate>
  <CharactersWithSpaces>2411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2024-05-22T02:49:00Z</dcterms:created>
  <dc:creator>ke zhang</dc:creator>
  <cp:lastModifiedBy>Administrator</cp:lastModifiedBy>
  <dcterms:modified xsi:type="dcterms:W3CDTF">2024-05-28T01:17:17Z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  <property fmtid="{D5CDD505-2E9C-101B-9397-08002B2CF9AE}" pid="3" name="ICV">
    <vt:lpwstr>382DD62E92774F54AFD9674A1D70378C_12</vt:lpwstr>
  </property>
</Properties>
</file>