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2023年度部门整体支出绩效评价基础数据表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tbl>
      <w:tblPr>
        <w:tblStyle w:val="20"/>
        <w:tblW w:w="927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9"/>
        <w:gridCol w:w="964"/>
        <w:gridCol w:w="965"/>
        <w:gridCol w:w="1"/>
        <w:gridCol w:w="985"/>
        <w:gridCol w:w="986"/>
        <w:gridCol w:w="978"/>
        <w:gridCol w:w="9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341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财政供养人员情况（人）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编制数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2023年实际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在职人数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控制率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经费控制情况（万元）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2022年决算数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2023年预算数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2023年决算数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三公经费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0.95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1、公务用车购置和维护经费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4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其中：公车购置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4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4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4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459" w:firstLineChars="695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公车运行维护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2、出国经费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3、公务接待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0.95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项目支出：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1607.84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1376.12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一般公共服务支出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社会保障和就业支出项目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200.21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268.28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节能环保支出项目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29.9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城乡社区支出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18.4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农林水支出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1197.18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967.98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交通运输支出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10.96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商业服务业支出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自然资源海洋气象支出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粮油物资储备支出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83.77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乡村支出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7.88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彩票公益金项目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21.4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4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其中：办公经费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9.4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8.75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478" w:firstLineChars="704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水费、电费、差旅费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15.5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39.45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478" w:firstLineChars="704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会议费、培训费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6.45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0.23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政府采购金额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</w:rPr>
              <w:t>——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318.21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部门基本支出预算调整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新宋体" w:hAnsi="新宋体" w:eastAsia="新宋体" w:cs="新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</w:rPr>
              <w:t>——</w:t>
            </w:r>
          </w:p>
        </w:tc>
        <w:tc>
          <w:tcPr>
            <w:tcW w:w="19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778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rPr>
                <w:rFonts w:hint="default" w:ascii="新宋体" w:hAnsi="新宋体" w:eastAsia="新宋体" w:cs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1100.11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41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楼堂馆所控制情况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（2023年完工项目）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批复规模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（㎡）</w:t>
            </w:r>
          </w:p>
        </w:tc>
        <w:tc>
          <w:tcPr>
            <w:tcW w:w="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实际规模（㎡）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控制率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预算投资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（万元）</w:t>
            </w:r>
          </w:p>
        </w:tc>
        <w:tc>
          <w:tcPr>
            <w:tcW w:w="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实际投资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（万元）</w:t>
            </w: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投资概算控制率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1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厉行节约保障措施</w:t>
            </w:r>
          </w:p>
        </w:tc>
        <w:tc>
          <w:tcPr>
            <w:tcW w:w="585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sz w:val="21"/>
                <w:szCs w:val="21"/>
                <w:lang w:val="en-US" w:eastAsia="zh-CN"/>
              </w:rPr>
              <w:t>减少不必要的开支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</w:rPr>
        <w:t>说明：“项目支出” 需要填报基本支出以外的所有项目支出情况，“公用经费”填报基本支出</w:t>
      </w:r>
      <w:r>
        <w:rPr>
          <w:rFonts w:hint="eastAsia"/>
          <w:lang w:eastAsia="zh-CN"/>
        </w:rPr>
        <w:t>中的一般商品和服务支出。</w:t>
      </w: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黑体" w:hAnsi="黑体" w:eastAsia="宋体" w:cs="黑体"/>
          <w:sz w:val="21"/>
          <w:szCs w:val="21"/>
          <w:lang w:val="en-US" w:eastAsia="zh-CN"/>
        </w:rPr>
      </w:pPr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>刘子龙</w:t>
      </w:r>
      <w:r>
        <w:rPr>
          <w:rFonts w:hint="eastAsia"/>
        </w:rPr>
        <w:t xml:space="preserve">  填报日期：</w:t>
      </w:r>
      <w:r>
        <w:rPr>
          <w:rFonts w:hint="eastAsia"/>
          <w:lang w:val="en-US" w:eastAsia="zh-CN"/>
        </w:rPr>
        <w:t>2024.05.24</w:t>
      </w:r>
      <w:r>
        <w:rPr>
          <w:rFonts w:hint="eastAsia"/>
        </w:rPr>
        <w:t xml:space="preserve">  联系电话：</w:t>
      </w:r>
      <w:r>
        <w:rPr>
          <w:rFonts w:hint="eastAsia"/>
          <w:lang w:val="en-US" w:eastAsia="zh-CN"/>
        </w:rPr>
        <w:t>17670458970</w:t>
      </w:r>
      <w:r>
        <w:rPr>
          <w:rFonts w:hint="eastAsia"/>
        </w:rPr>
        <w:t xml:space="preserve"> 单位负责人签字：</w:t>
      </w:r>
      <w:r>
        <w:rPr>
          <w:rFonts w:hint="eastAsia"/>
          <w:lang w:val="en-US" w:eastAsia="zh-CN"/>
        </w:rPr>
        <w:t>袁锦锋</w:t>
      </w:r>
    </w:p>
    <w:p>
      <w:pPr>
        <w:rPr>
          <w:spacing w:val="-13"/>
          <w:sz w:val="22"/>
          <w:szCs w:val="22"/>
        </w:rPr>
      </w:pPr>
      <w:r>
        <w:rPr>
          <w:spacing w:val="-13"/>
          <w:sz w:val="22"/>
          <w:szCs w:val="2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仿宋_GB2312" w:hAnsi="仿宋_GB2312" w:eastAsia="仿宋_GB2312" w:cs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3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pStyle w:val="2"/>
      </w:pPr>
    </w:p>
    <w:p/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</w:rPr>
        <w:t>2023年度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  <w:t>华容县团洲乡人民政府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</w:rPr>
        <w:t>整体支出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</w:rPr>
        <w:t>绩效自评报告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华容县团洲乡人民政府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spacing w:val="-118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75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 w:color="auto"/>
        </w:rPr>
        <w:t>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 </w:t>
      </w:r>
    </w:p>
    <w:p>
      <w:pPr>
        <w:spacing w:before="228" w:line="222" w:lineRule="auto"/>
        <w:ind w:firstLine="2432" w:firstLineChars="800"/>
        <w:jc w:val="both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pacing w:val="-8"/>
          <w:sz w:val="32"/>
          <w:szCs w:val="32"/>
          <w:lang w:val="en-US" w:eastAsia="zh-CN"/>
        </w:rPr>
        <w:t>2024</w:t>
      </w:r>
      <w:r>
        <w:rPr>
          <w:rFonts w:hint="eastAsia" w:asciiTheme="majorEastAsia" w:hAnsiTheme="majorEastAsia" w:eastAsiaTheme="majorEastAsia" w:cstheme="majorEastAsia"/>
          <w:spacing w:val="-8"/>
          <w:sz w:val="32"/>
          <w:szCs w:val="32"/>
        </w:rPr>
        <w:t>年</w:t>
      </w:r>
      <w:r>
        <w:rPr>
          <w:rFonts w:hint="eastAsia" w:asciiTheme="majorEastAsia" w:hAnsiTheme="majorEastAsia" w:eastAsiaTheme="majorEastAsia" w:cstheme="majorEastAsia"/>
          <w:spacing w:val="21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21"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pacing w:val="-8"/>
          <w:sz w:val="32"/>
          <w:szCs w:val="32"/>
        </w:rPr>
        <w:t>月</w:t>
      </w:r>
      <w:r>
        <w:rPr>
          <w:rFonts w:hint="eastAsia" w:asciiTheme="majorEastAsia" w:hAnsiTheme="majorEastAsia" w:eastAsiaTheme="majorEastAsia" w:cstheme="majorEastAsia"/>
          <w:spacing w:val="43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43"/>
          <w:sz w:val="32"/>
          <w:szCs w:val="32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pacing w:val="43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sectPr>
          <w:footerReference r:id="rId3" w:type="default"/>
          <w:pgSz w:w="11905" w:h="16838"/>
          <w:pgMar w:top="1984" w:right="1701" w:bottom="1984" w:left="1701" w:header="850" w:footer="1587" w:gutter="0"/>
          <w:pgNumType w:fmt="numberInDash" w:start="7"/>
          <w:cols w:space="0" w:num="1"/>
          <w:rtlGutter w:val="0"/>
          <w:docGrid w:type="lines" w:linePitch="314" w:charSpace="0"/>
        </w:sectPr>
      </w:pPr>
      <w:r>
        <w:br w:type="page"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202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sz w:val="44"/>
          <w:szCs w:val="44"/>
        </w:rPr>
        <w:t>年度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华容县</w:t>
      </w:r>
      <w:r>
        <w:rPr>
          <w:rFonts w:hint="eastAsia" w:ascii="宋体" w:hAnsi="宋体" w:cs="宋体"/>
          <w:sz w:val="44"/>
          <w:szCs w:val="44"/>
          <w:lang w:eastAsia="zh-CN"/>
        </w:rPr>
        <w:t>团洲乡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sz w:val="44"/>
          <w:szCs w:val="44"/>
        </w:rPr>
        <w:t>整体支出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根据《华容县财政局关于开展2023年度部门整体支出绩效自评工作的通知》（华财函〔2024〕103号）的相关规定和要求，现对我部门2023年度整体支出开展绩效自评，现将情况汇报如下：</w:t>
      </w:r>
    </w:p>
    <w:p>
      <w:pPr>
        <w:pStyle w:val="2"/>
        <w:rPr>
          <w:rFonts w:hint="eastAsia" w:ascii="宋体" w:hAnsi="宋体" w:eastAsia="宋体" w:cs="宋体"/>
        </w:rPr>
      </w:pPr>
    </w:p>
    <w:p>
      <w:pPr>
        <w:numPr>
          <w:ilvl w:val="0"/>
          <w:numId w:val="1"/>
        </w:numPr>
        <w:spacing w:before="101" w:line="228" w:lineRule="auto"/>
        <w:ind w:left="648"/>
        <w:rPr>
          <w:rFonts w:hint="eastAsia" w:ascii="宋体" w:hAnsi="宋体" w:eastAsia="宋体" w:cs="宋体"/>
          <w:spacing w:val="5"/>
          <w:sz w:val="32"/>
          <w:szCs w:val="32"/>
        </w:rPr>
      </w:pPr>
      <w:r>
        <w:rPr>
          <w:rFonts w:hint="eastAsia" w:ascii="宋体" w:hAnsi="宋体" w:eastAsia="宋体" w:cs="宋体"/>
          <w:spacing w:val="5"/>
          <w:sz w:val="32"/>
          <w:szCs w:val="32"/>
        </w:rPr>
        <w:t>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华容县</w:t>
      </w:r>
      <w:r>
        <w:rPr>
          <w:rFonts w:hint="eastAsia" w:ascii="宋体" w:hAnsi="宋体" w:cs="宋体"/>
          <w:sz w:val="32"/>
          <w:lang w:val="en-US" w:eastAsia="zh-CN"/>
        </w:rPr>
        <w:t>团洲乡</w:t>
      </w:r>
      <w:r>
        <w:rPr>
          <w:rFonts w:hint="eastAsia" w:ascii="宋体" w:hAnsi="宋体" w:eastAsia="宋体" w:cs="宋体"/>
          <w:sz w:val="32"/>
          <w:lang w:val="en-US" w:eastAsia="zh-CN"/>
        </w:rPr>
        <w:t>人民政府共有</w:t>
      </w:r>
      <w:r>
        <w:rPr>
          <w:rFonts w:hint="eastAsia" w:ascii="宋体" w:hAnsi="宋体" w:eastAsia="宋体" w:cs="宋体"/>
          <w:sz w:val="32"/>
          <w:lang w:val="zh-CN" w:eastAsia="zh-CN"/>
        </w:rPr>
        <w:t>镇政府机关、镇财政所、镇农业综合服务中心、镇社会事业综合服务中心、镇退役军人服务站、镇综合行政执法大队、镇水利服务站</w:t>
      </w:r>
      <w:r>
        <w:rPr>
          <w:rFonts w:hint="eastAsia" w:ascii="宋体" w:hAnsi="宋体" w:eastAsia="宋体" w:cs="宋体"/>
          <w:sz w:val="32"/>
          <w:lang w:val="en-US" w:eastAsia="zh-CN"/>
        </w:rPr>
        <w:t>7个独立核算工作机构。现有人员编制</w:t>
      </w:r>
      <w:r>
        <w:rPr>
          <w:rFonts w:hint="eastAsia" w:ascii="宋体" w:hAnsi="宋体" w:cs="宋体"/>
          <w:sz w:val="32"/>
          <w:lang w:val="en-US" w:eastAsia="zh-CN"/>
        </w:rPr>
        <w:t>62</w:t>
      </w:r>
      <w:r>
        <w:rPr>
          <w:rFonts w:hint="eastAsia" w:ascii="宋体" w:hAnsi="宋体" w:eastAsia="宋体" w:cs="宋体"/>
          <w:sz w:val="32"/>
          <w:lang w:val="en-US" w:eastAsia="zh-CN"/>
        </w:rPr>
        <w:t>名（其中：行政编制3</w:t>
      </w:r>
      <w:r>
        <w:rPr>
          <w:rFonts w:hint="eastAsia" w:ascii="宋体" w:hAnsi="宋体" w:cs="宋体"/>
          <w:sz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lang w:val="en-US" w:eastAsia="zh-CN"/>
        </w:rPr>
        <w:t>名，事业全额编制</w:t>
      </w:r>
      <w:r>
        <w:rPr>
          <w:rFonts w:hint="eastAsia" w:ascii="宋体" w:hAnsi="宋体" w:cs="宋体"/>
          <w:sz w:val="32"/>
          <w:lang w:val="en-US" w:eastAsia="zh-CN"/>
        </w:rPr>
        <w:t>30</w:t>
      </w:r>
      <w:r>
        <w:rPr>
          <w:rFonts w:hint="eastAsia" w:ascii="宋体" w:hAnsi="宋体" w:eastAsia="宋体" w:cs="宋体"/>
          <w:sz w:val="32"/>
          <w:lang w:val="en-US" w:eastAsia="zh-CN"/>
        </w:rPr>
        <w:t>名），实有在职干部、职工</w:t>
      </w:r>
      <w:r>
        <w:rPr>
          <w:rFonts w:hint="eastAsia" w:ascii="宋体" w:hAnsi="宋体" w:cs="宋体"/>
          <w:sz w:val="32"/>
          <w:lang w:val="en-US" w:eastAsia="zh-CN"/>
        </w:rPr>
        <w:t>62</w:t>
      </w:r>
      <w:r>
        <w:rPr>
          <w:rFonts w:hint="eastAsia" w:ascii="宋体" w:hAnsi="宋体" w:eastAsia="宋体" w:cs="宋体"/>
          <w:sz w:val="32"/>
          <w:lang w:val="en-US" w:eastAsia="zh-CN"/>
        </w:rPr>
        <w:t>人。</w:t>
      </w:r>
    </w:p>
    <w:p>
      <w:pPr>
        <w:spacing w:before="216" w:line="226" w:lineRule="auto"/>
        <w:ind w:left="648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2"/>
          <w:sz w:val="32"/>
          <w:szCs w:val="32"/>
        </w:rPr>
        <w:t>二、一般公共预算支出情况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（一）基本支出情况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2023年我单位基本支出共</w:t>
      </w:r>
      <w:r>
        <w:rPr>
          <w:rFonts w:hint="eastAsia" w:ascii="宋体" w:hAnsi="宋体" w:cs="宋体"/>
          <w:sz w:val="32"/>
          <w:lang w:val="en-US" w:eastAsia="zh-CN"/>
        </w:rPr>
        <w:t>1100.11</w:t>
      </w:r>
      <w:r>
        <w:rPr>
          <w:rFonts w:hint="eastAsia" w:ascii="宋体" w:hAnsi="宋体" w:eastAsia="宋体" w:cs="宋体"/>
          <w:sz w:val="32"/>
          <w:lang w:val="en-US" w:eastAsia="zh-CN"/>
        </w:rPr>
        <w:t>万元，主要用于职工的工资福利支出、五险一金支出及商品服务支出；其中人员经费</w:t>
      </w:r>
      <w:r>
        <w:rPr>
          <w:rFonts w:hint="eastAsia" w:ascii="宋体" w:hAnsi="宋体" w:cs="宋体"/>
          <w:sz w:val="32"/>
          <w:lang w:val="en-US" w:eastAsia="zh-CN"/>
        </w:rPr>
        <w:t>900.83</w:t>
      </w:r>
      <w:r>
        <w:rPr>
          <w:rFonts w:hint="eastAsia" w:ascii="宋体" w:hAnsi="宋体" w:eastAsia="宋体" w:cs="宋体"/>
          <w:sz w:val="32"/>
          <w:lang w:val="en-US" w:eastAsia="zh-CN"/>
        </w:rPr>
        <w:t>万元，日常公用经费</w:t>
      </w:r>
      <w:r>
        <w:rPr>
          <w:rFonts w:hint="eastAsia" w:ascii="宋体" w:hAnsi="宋体" w:cs="宋体"/>
          <w:sz w:val="32"/>
          <w:lang w:val="en-US" w:eastAsia="zh-CN"/>
        </w:rPr>
        <w:t>199.28</w:t>
      </w:r>
      <w:r>
        <w:rPr>
          <w:rFonts w:hint="eastAsia" w:ascii="宋体" w:hAnsi="宋体" w:eastAsia="宋体" w:cs="宋体"/>
          <w:sz w:val="32"/>
          <w:lang w:val="en-US" w:eastAsia="zh-CN"/>
        </w:rPr>
        <w:t>万元。2022年基本支出中人员经费</w:t>
      </w:r>
      <w:r>
        <w:rPr>
          <w:rFonts w:hint="eastAsia" w:ascii="宋体" w:hAnsi="宋体" w:cs="宋体"/>
          <w:sz w:val="32"/>
          <w:lang w:val="en-US" w:eastAsia="zh-CN"/>
        </w:rPr>
        <w:t>689.97</w:t>
      </w:r>
      <w:r>
        <w:rPr>
          <w:rFonts w:hint="eastAsia" w:ascii="宋体" w:hAnsi="宋体" w:eastAsia="宋体" w:cs="宋体"/>
          <w:sz w:val="32"/>
          <w:lang w:val="en-US" w:eastAsia="zh-CN"/>
        </w:rPr>
        <w:t>万元，本年比上年增加</w:t>
      </w:r>
      <w:r>
        <w:rPr>
          <w:rFonts w:hint="eastAsia" w:ascii="宋体" w:hAnsi="宋体" w:cs="宋体"/>
          <w:sz w:val="32"/>
          <w:lang w:val="en-US" w:eastAsia="zh-CN"/>
        </w:rPr>
        <w:t>210.86</w:t>
      </w:r>
      <w:r>
        <w:rPr>
          <w:rFonts w:hint="eastAsia" w:ascii="宋体" w:hAnsi="宋体" w:eastAsia="宋体" w:cs="宋体"/>
          <w:sz w:val="32"/>
          <w:lang w:val="en-US" w:eastAsia="zh-CN"/>
        </w:rPr>
        <w:t>万元，增幅13.27%，主要原因是人员的增加；日常公用经费</w:t>
      </w:r>
      <w:r>
        <w:rPr>
          <w:rFonts w:hint="eastAsia" w:ascii="宋体" w:hAnsi="宋体" w:cs="宋体"/>
          <w:sz w:val="32"/>
          <w:lang w:val="en-US" w:eastAsia="zh-CN"/>
        </w:rPr>
        <w:t>199.27</w:t>
      </w:r>
      <w:r>
        <w:rPr>
          <w:rFonts w:hint="eastAsia" w:ascii="宋体" w:hAnsi="宋体" w:eastAsia="宋体" w:cs="宋体"/>
          <w:sz w:val="32"/>
          <w:lang w:val="en-US" w:eastAsia="zh-CN"/>
        </w:rPr>
        <w:t>万元，本年上年度减少</w:t>
      </w:r>
      <w:r>
        <w:rPr>
          <w:rFonts w:hint="eastAsia" w:ascii="宋体" w:hAnsi="宋体" w:cs="宋体"/>
          <w:sz w:val="32"/>
          <w:lang w:val="en-US" w:eastAsia="zh-CN"/>
        </w:rPr>
        <w:t>97.51</w:t>
      </w:r>
      <w:r>
        <w:rPr>
          <w:rFonts w:hint="eastAsia" w:ascii="宋体" w:hAnsi="宋体" w:eastAsia="宋体" w:cs="宋体"/>
          <w:sz w:val="32"/>
          <w:lang w:val="en-US" w:eastAsia="zh-CN"/>
        </w:rPr>
        <w:t>万元，减幅</w:t>
      </w:r>
      <w:r>
        <w:rPr>
          <w:rFonts w:hint="eastAsia" w:ascii="宋体" w:hAnsi="宋体" w:cs="宋体"/>
          <w:sz w:val="32"/>
          <w:lang w:val="en-US" w:eastAsia="zh-CN"/>
        </w:rPr>
        <w:t>32.85</w:t>
      </w:r>
      <w:r>
        <w:rPr>
          <w:rFonts w:hint="eastAsia" w:ascii="宋体" w:hAnsi="宋体" w:eastAsia="宋体" w:cs="宋体"/>
          <w:sz w:val="32"/>
          <w:lang w:val="en-US" w:eastAsia="zh-CN"/>
        </w:rPr>
        <w:t>%，主要原因是厉行节约，减少公用经费。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2023年项目支出为</w:t>
      </w:r>
      <w:r>
        <w:rPr>
          <w:rFonts w:hint="eastAsia" w:ascii="宋体" w:hAnsi="宋体" w:cs="宋体"/>
          <w:sz w:val="32"/>
          <w:lang w:val="en-US" w:eastAsia="zh-CN"/>
        </w:rPr>
        <w:t>1376.12</w:t>
      </w:r>
      <w:r>
        <w:rPr>
          <w:rFonts w:hint="eastAsia" w:ascii="宋体" w:hAnsi="宋体" w:eastAsia="宋体" w:cs="宋体"/>
          <w:sz w:val="32"/>
          <w:lang w:val="en-US" w:eastAsia="zh-CN"/>
        </w:rPr>
        <w:t>万元，占总支出的</w:t>
      </w:r>
      <w:r>
        <w:rPr>
          <w:rFonts w:hint="eastAsia" w:ascii="宋体" w:hAnsi="宋体" w:cs="宋体"/>
          <w:sz w:val="32"/>
          <w:lang w:val="en-US" w:eastAsia="zh-CN"/>
        </w:rPr>
        <w:t>55.57</w:t>
      </w:r>
      <w:r>
        <w:rPr>
          <w:rFonts w:hint="eastAsia" w:ascii="宋体" w:hAnsi="宋体" w:eastAsia="宋体" w:cs="宋体"/>
          <w:sz w:val="32"/>
          <w:lang w:val="en-US" w:eastAsia="zh-CN"/>
        </w:rPr>
        <w:t>%，主要是项目建设支付的办公费、印刷费、差旅费、会议费、培训费、劳务费、对企事业单位的补贴、基础设施建设、拆迁补偿、大型修缮等商品和服务支出。其中商品和服务支出</w:t>
      </w:r>
      <w:r>
        <w:rPr>
          <w:rFonts w:hint="eastAsia" w:ascii="宋体" w:hAnsi="宋体" w:cs="宋体"/>
          <w:sz w:val="32"/>
          <w:lang w:val="en-US" w:eastAsia="zh-CN"/>
        </w:rPr>
        <w:t>351.77</w:t>
      </w:r>
      <w:r>
        <w:rPr>
          <w:rFonts w:hint="eastAsia" w:ascii="宋体" w:hAnsi="宋体" w:eastAsia="宋体" w:cs="宋体"/>
          <w:sz w:val="32"/>
          <w:lang w:val="en-US" w:eastAsia="zh-CN"/>
        </w:rPr>
        <w:t>万元,对个人和家庭的补助</w:t>
      </w:r>
      <w:r>
        <w:rPr>
          <w:rFonts w:hint="eastAsia" w:ascii="宋体" w:hAnsi="宋体" w:cs="宋体"/>
          <w:sz w:val="32"/>
          <w:lang w:val="en-US" w:eastAsia="zh-CN"/>
        </w:rPr>
        <w:t>545.4</w:t>
      </w:r>
      <w:r>
        <w:rPr>
          <w:rFonts w:hint="eastAsia" w:ascii="宋体" w:hAnsi="宋体" w:eastAsia="宋体" w:cs="宋体"/>
          <w:sz w:val="32"/>
          <w:lang w:val="en-US" w:eastAsia="zh-CN"/>
        </w:rPr>
        <w:t>万元，资本性支出</w:t>
      </w:r>
      <w:r>
        <w:rPr>
          <w:rFonts w:hint="eastAsia" w:ascii="宋体" w:hAnsi="宋体" w:cs="宋体"/>
          <w:sz w:val="32"/>
          <w:lang w:val="en-US" w:eastAsia="zh-CN"/>
        </w:rPr>
        <w:t>707.11</w:t>
      </w:r>
      <w:r>
        <w:rPr>
          <w:rFonts w:hint="eastAsia" w:ascii="宋体" w:hAnsi="宋体" w:eastAsia="宋体" w:cs="宋体"/>
          <w:sz w:val="32"/>
          <w:lang w:val="en-US" w:eastAsia="zh-CN"/>
        </w:rPr>
        <w:t>万元。</w:t>
      </w:r>
    </w:p>
    <w:p>
      <w:pPr>
        <w:numPr>
          <w:ilvl w:val="0"/>
          <w:numId w:val="1"/>
        </w:numPr>
        <w:spacing w:before="224" w:line="227" w:lineRule="auto"/>
        <w:ind w:left="648" w:leftChars="0" w:firstLine="0" w:firstLineChars="0"/>
        <w:rPr>
          <w:rFonts w:hint="eastAsia" w:ascii="宋体" w:hAnsi="宋体" w:eastAsia="宋体" w:cs="宋体"/>
          <w:spacing w:val="8"/>
          <w:sz w:val="32"/>
          <w:szCs w:val="32"/>
        </w:rPr>
      </w:pPr>
      <w:r>
        <w:rPr>
          <w:rFonts w:hint="eastAsia" w:ascii="宋体" w:hAnsi="宋体" w:eastAsia="宋体" w:cs="宋体"/>
          <w:spacing w:val="8"/>
          <w:sz w:val="32"/>
          <w:szCs w:val="32"/>
        </w:rPr>
        <w:t>政府性基金预算支出情况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2023年政府性基金预算支出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78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万元,主要是移民补助、基础设施建设等商品和服务支出。其中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商品和服务支出2万元，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对个人和家庭的补助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25.46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万元，资本性支出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50.54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万元。</w:t>
      </w:r>
    </w:p>
    <w:p>
      <w:pPr>
        <w:numPr>
          <w:ilvl w:val="0"/>
          <w:numId w:val="1"/>
        </w:numPr>
        <w:spacing w:before="219" w:line="600" w:lineRule="exact"/>
        <w:ind w:left="648" w:leftChars="0" w:firstLine="0" w:firstLineChars="0"/>
        <w:rPr>
          <w:rFonts w:hint="eastAsia" w:ascii="宋体" w:hAnsi="宋体" w:eastAsia="宋体" w:cs="宋体"/>
          <w:spacing w:val="7"/>
          <w:position w:val="21"/>
          <w:sz w:val="32"/>
          <w:szCs w:val="32"/>
        </w:rPr>
      </w:pPr>
      <w:r>
        <w:rPr>
          <w:rFonts w:hint="eastAsia" w:ascii="宋体" w:hAnsi="宋体" w:eastAsia="宋体" w:cs="宋体"/>
          <w:spacing w:val="7"/>
          <w:position w:val="21"/>
          <w:sz w:val="32"/>
          <w:szCs w:val="32"/>
        </w:rPr>
        <w:t>国有资本经营预算支出情况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2023年无国有资本经营预算支出。</w:t>
      </w:r>
    </w:p>
    <w:p>
      <w:pPr>
        <w:numPr>
          <w:ilvl w:val="0"/>
          <w:numId w:val="1"/>
        </w:numPr>
        <w:spacing w:line="227" w:lineRule="auto"/>
        <w:ind w:left="648" w:leftChars="0" w:firstLine="0" w:firstLineChars="0"/>
        <w:rPr>
          <w:rFonts w:hint="eastAsia" w:ascii="宋体" w:hAnsi="宋体" w:eastAsia="宋体" w:cs="宋体"/>
          <w:spacing w:val="8"/>
          <w:sz w:val="32"/>
          <w:szCs w:val="32"/>
        </w:rPr>
      </w:pPr>
      <w:r>
        <w:rPr>
          <w:rFonts w:hint="eastAsia" w:ascii="宋体" w:hAnsi="宋体" w:eastAsia="宋体" w:cs="宋体"/>
          <w:spacing w:val="8"/>
          <w:sz w:val="32"/>
          <w:szCs w:val="32"/>
        </w:rPr>
        <w:t>社会保险基金预算支出情况</w:t>
      </w:r>
    </w:p>
    <w:p>
      <w:pPr>
        <w:pStyle w:val="12"/>
        <w:numPr>
          <w:ilvl w:val="0"/>
          <w:numId w:val="0"/>
        </w:numPr>
        <w:ind w:left="648" w:leftChars="0"/>
        <w:rPr>
          <w:rFonts w:hint="eastAsia" w:ascii="宋体" w:hAnsi="宋体" w:eastAsia="宋体" w:cs="宋体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24"/>
          <w:lang w:val="en-US" w:eastAsia="zh-CN" w:bidi="ar-SA"/>
        </w:rPr>
        <w:t>2023年无社会保险基金预算支出。</w:t>
      </w:r>
    </w:p>
    <w:p>
      <w:pPr>
        <w:numPr>
          <w:ilvl w:val="0"/>
          <w:numId w:val="1"/>
        </w:numPr>
        <w:spacing w:before="219" w:line="226" w:lineRule="auto"/>
        <w:ind w:left="648" w:leftChars="0" w:firstLine="0" w:firstLineChars="0"/>
        <w:rPr>
          <w:rFonts w:hint="eastAsia" w:ascii="宋体" w:hAnsi="宋体" w:eastAsia="宋体" w:cs="宋体"/>
          <w:spacing w:val="8"/>
          <w:sz w:val="32"/>
          <w:szCs w:val="32"/>
        </w:rPr>
      </w:pPr>
      <w:r>
        <w:rPr>
          <w:rFonts w:hint="eastAsia" w:ascii="宋体" w:hAnsi="宋体" w:eastAsia="宋体" w:cs="宋体"/>
          <w:spacing w:val="8"/>
          <w:sz w:val="32"/>
          <w:szCs w:val="32"/>
        </w:rPr>
        <w:t>部门整体支出绩效情况</w:t>
      </w:r>
    </w:p>
    <w:p>
      <w:pPr>
        <w:spacing w:line="560" w:lineRule="exact"/>
        <w:ind w:firstLine="642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这一年，最可贵的是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  <w:lang w:eastAsia="zh-CN"/>
        </w:rPr>
        <w:t>党的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建设提升了“战斗力”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一是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政治建设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进一步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加强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始终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把学习贯彻习近平总书记最新讲话精神和指示精神作为第一议题，不折不扣落实“三会一课”、组织生活会、民主生活会等制度。每月定期开展一次“上讲谈”活动，党委书记、总支书记轮流上党课，邀请农村故事会主讲人上台讲故事，挖掘乡域内的典型事例，及时传播正能量，乡村两级年轻干部“谈体会”分享工作心得，相互学习，共同进步。二是从严治党进一步深化。制定“清廉团洲”工作方案，对重视不够、力度不大或者履责不到位、成效不明显的单位，及时督促整改。坚持以案释法明纪，通报典型案例2次，组织参观廉政警示基地活动，着力营造风清气正的政治生态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三是党建实效进一步彰显。深入推进“党建+诚信金融”，全方位开展农户评级、造册登记，实现村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社区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授牌全覆盖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累计发放贷款1557笔7643万元。大力推进“消薄清零”行动，因地制宜制定强村攻坚计划，3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个村（社区）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成功退出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集体经济薄弱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村行列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团北村顺利引进生态风干鱼项目，集体经济增收8万多元，后期将借力电商平台，开展直播带货，实现畅销一体。</w:t>
      </w:r>
    </w:p>
    <w:p>
      <w:pPr>
        <w:spacing w:line="560" w:lineRule="exact"/>
        <w:ind w:firstLine="64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——这一年，最自豪的是乡村振兴展现了“新画卷”。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一是脱贫成效持续巩固。严格按照上级部署，切实抓好乡村振兴与脱贫攻坚有效衔接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。对全乡379户脱贫户和14户监测户实施结对联系和帮扶，开展集中走访3次，防返贫监测排查3次。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全面落实相关政策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提供公益岗位43个，雨露计划资助学生30人，完成乡村振兴项目15个，使用资金162万元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，坚决消除返贫风险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二是基建设施不断完善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水利方面，完成垸内3处抗旱排渍机埠的升级改造、7处穿堤涵闸和4处外排机埠的维修整治，有效巩固了我乡防汛备汛安全。交通方面，投资2201万元完成全长11.5公里主干公路黑化，投资280万元完成团东村2.5公里、团华村3.26公里资源产业路建设，投资200余万元完成团新村和团北村40余根高压电杆转迁，极大改善群众生产生活出行环境。养老方面，投资30多万元对敬老院老人住房进行了升级改造，不断提升养老服务质量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三是特色产业多点开花。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依托农业特色产业激发经济活力，完成粮食种植面积3.3万亩，推广稻虾种养1.5万亩。打造油菜花海2000亩，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发展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玉米间种大豆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棉花等基地示范片1500亩，大棚西瓜套种蔬菜3000亩。推进农业化肥减量，统防统治覆盖率达50%，农药农产品残留监测合格率达98%以上。</w:t>
      </w:r>
    </w:p>
    <w:p>
      <w:pPr>
        <w:spacing w:line="560" w:lineRule="exact"/>
        <w:ind w:firstLine="64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——这一年，最高兴的是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  <w:lang w:eastAsia="zh-CN"/>
        </w:rPr>
        <w:t>生态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面貌治出了“绿名片”。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一是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人居环境方面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。全乡开展人居环境每季度一排名、一督查，全面开展杂乱治理，狠抓公共环卫，对农户房前屋后卫生情况彻底整治，通过广播会、屋场会进一步开展垃圾分类宣传。深入开展“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厕所革命”，完成新建厕所300个，整改问题厕所311个。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二是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河湖治理方面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深入推进“河长制”，重点打造了3条样板渠和主渠团新段3公里一乡一亮点，实现水更清、岸更绿、景更美。集中整治7条小微水体，开展清理垃圾保水净、疏洗河道保水活、查控污源保水清、整治排口保水质的“四保”工作，整治长度近3万米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三是禁捕退捕方面。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安装广告宣传牌30余块、发放宣传单5000余份，清理重点水域渔网、地笼等各类非法捕捞渔具，收缴“三无”船舶，封堵通湖路。坚持常规巡查与联合执法并重，成立县、乡、村三级巡查队伍，落实村每天必巡、乡每周常巡、县随机督巡的机制，对巡查过程中发现的问题及时交办、及时处理，累计劝导8700余人，立案处理6人。</w:t>
      </w:r>
    </w:p>
    <w:p>
      <w:pPr>
        <w:spacing w:line="560" w:lineRule="exact"/>
        <w:ind w:firstLine="64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——这一年，最难忘的是合力攻坚打赢了“稳定仗”。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一是维护社会治安稳定。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成立治安巡逻小队，常态化开展巡逻，对人口密集场所安排专人值班值守，切实提升群众安全感。派出所加大违法犯罪打击力度，出警84次，行政拘留22人、刑事拘留14人，守护辖区平安稳定。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进一步加大禁毒宣传力度，精准摸排涉毒信息，扎实做好青少年禁毒预防教育，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154名涉毒人员实行“五包一”管控，定期进行毛发监测，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做到辖区内禁毒宣传全覆盖、涉毒管控无死角。二是抓牢信访矛盾化解。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严格落实党政负责人坐班接访制，全年处访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93人次，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受理办结12345热线回复276起，网信办结24件，做到受理率100%，办结率100%。按照“三到位一处理”信访工作要求，用心用情疏导上访人心结，化解了多年的信访积案，重复信访积案基本得到化解。三是守牢安全生产底线。严格落实党政负责人带队安全生产检查制度，全方位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排查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整治隐患，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扎实开展“五进”、“安全生产月”、安全生产大检查、打非治违等活动16次，组织消防应急演练、防汛演练、应急疏散演练4次，收缴各类烟花爆竹60余箱，97处一般隐患、4处潜在风险隐患和1处重大问题均已整改到位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全年保持安全生产零责任事故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shd w:val="clear" w:color="auto" w:fill="FFFFFF"/>
        </w:rPr>
        <w:t>——这一年，最欣慰的是为民服务提升了“幸福感”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一是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抗旱救灾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措施有力。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是民计民生保障有效。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扎实开展大走访活动，解决了14个群众急难愁盼的共性问题，党群、干群关系更加融洽。完成城乡居民养老保险征缴531.17万元，发放养老金631.84余万元；完成医疗保险征缴1.83万余人，入库561.91余万元，不断完善城乡居民基本保障。举办“春风行动”专场招聘会，成功签约37人,实现家门口就业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新增城乡低保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户、城乡特困人员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人、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发放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残疾两项补贴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596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人，临时救助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1380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人，救助金额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44.85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万元，把兜底保障落到实处。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eastAsia="zh-CN"/>
        </w:rPr>
        <w:t>文教事业发展蓬勃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  <w:lang w:val="en-US" w:eastAsia="zh-CN"/>
        </w:rPr>
        <w:t>成功举办第五届农民故事会，得到《农民日报》《中国文明网》等主流媒体的推介。全面完成团洲中学、团洲中心小学田径场标准化改建，中心小学主体教学楼完成了重新装修，教学条件持续改善。举办团洲乡教育基金募捐活动，新增教育基金48万元，进一步做大教育基金会盘子。</w:t>
      </w:r>
    </w:p>
    <w:p>
      <w:pPr>
        <w:spacing w:before="220" w:line="600" w:lineRule="exact"/>
        <w:ind w:left="641"/>
        <w:rPr>
          <w:rFonts w:hint="eastAsia" w:ascii="宋体" w:hAnsi="宋体" w:eastAsia="宋体" w:cs="宋体"/>
          <w:spacing w:val="9"/>
          <w:position w:val="21"/>
          <w:sz w:val="32"/>
          <w:szCs w:val="32"/>
        </w:rPr>
      </w:pPr>
      <w:r>
        <w:rPr>
          <w:rFonts w:hint="eastAsia" w:ascii="宋体" w:hAnsi="宋体" w:cs="宋体"/>
          <w:spacing w:val="9"/>
          <w:position w:val="21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spacing w:val="9"/>
          <w:position w:val="21"/>
          <w:sz w:val="32"/>
          <w:szCs w:val="32"/>
        </w:rPr>
        <w:t>、存在的问题及原因分析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" w:lineRule="atLeast"/>
        <w:ind w:firstLine="640" w:firstLineChars="200"/>
        <w:jc w:val="both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1.预算绩效指标体系存在进一步完善的空间，我单位现建立的各项预算绩效目标指标仍有不科学、不细致的地方，影响了预算绩效评价的结果。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" w:lineRule="atLeast"/>
        <w:ind w:firstLine="640" w:firstLineChars="200"/>
        <w:jc w:val="both"/>
        <w:rPr>
          <w:rFonts w:hint="eastAsia" w:ascii="宋体" w:hAnsi="宋体" w:eastAsia="宋体" w:cs="宋体"/>
          <w:spacing w:val="9"/>
          <w:position w:val="21"/>
          <w:sz w:val="32"/>
          <w:szCs w:val="32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2.预算绩效管理经验需要进一步积累。因为预算绩效管理工作具有政策性强、专业性强、涉及面广、操作难度大等特点，经验不足，导致工作多走许多弯路，影响工作效果。</w:t>
      </w:r>
    </w:p>
    <w:p>
      <w:pPr>
        <w:spacing w:line="227" w:lineRule="auto"/>
        <w:ind w:left="643"/>
        <w:rPr>
          <w:rFonts w:hint="eastAsia" w:ascii="宋体" w:hAnsi="宋体" w:eastAsia="宋体" w:cs="宋体"/>
          <w:spacing w:val="8"/>
          <w:sz w:val="32"/>
          <w:szCs w:val="32"/>
        </w:rPr>
      </w:pPr>
      <w:r>
        <w:rPr>
          <w:rFonts w:hint="eastAsia" w:ascii="宋体" w:hAnsi="宋体" w:cs="宋体"/>
          <w:spacing w:val="8"/>
          <w:sz w:val="32"/>
          <w:szCs w:val="32"/>
          <w:lang w:eastAsia="zh-CN"/>
        </w:rPr>
        <w:t>七</w:t>
      </w:r>
      <w:r>
        <w:rPr>
          <w:rFonts w:hint="eastAsia" w:ascii="宋体" w:hAnsi="宋体" w:eastAsia="宋体" w:cs="宋体"/>
          <w:spacing w:val="8"/>
          <w:sz w:val="32"/>
          <w:szCs w:val="32"/>
        </w:rPr>
        <w:t>、下一步改进措施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1、细化预算编制工作，认真做好预算的编制。进一步加强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2、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3、完善资产管理，抓好“三公”经费控制。严格编制政府采购年初预算和计划，规范各类资产的购置审批制度、资产出租出借和收入管理制度、资产采购制度、使用管理制度、资产处置和报废审批制度、资产管理岗位职责制度等，加强单位内部的资产管理工作。严格控制“三公”经费的规模和比例，把关“三公”经费支出的审核、审批，杜绝挪用和挤占其他预算资金行为；进一步细化“三公”经费的管理，合理压缩“三公”经费支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4、对相关人员加强培训，特别是针对《预算法》、《行政事业单位会计制度》等学习培训，规范部门预算收支核算，切实提高部门预算收支管理水平。 </w:t>
      </w:r>
    </w:p>
    <w:p>
      <w:pPr>
        <w:numPr>
          <w:ilvl w:val="0"/>
          <w:numId w:val="0"/>
        </w:numPr>
        <w:spacing w:before="220" w:line="600" w:lineRule="exact"/>
        <w:ind w:left="210" w:leftChars="0"/>
        <w:rPr>
          <w:rFonts w:hint="eastAsia" w:ascii="宋体" w:hAnsi="宋体" w:eastAsia="宋体" w:cs="宋体"/>
          <w:spacing w:val="9"/>
          <w:position w:val="21"/>
          <w:sz w:val="32"/>
          <w:szCs w:val="32"/>
        </w:rPr>
      </w:pPr>
      <w:r>
        <w:rPr>
          <w:rFonts w:hint="eastAsia" w:ascii="宋体" w:hAnsi="宋体" w:cs="宋体"/>
          <w:spacing w:val="9"/>
          <w:position w:val="21"/>
          <w:sz w:val="32"/>
          <w:szCs w:val="32"/>
          <w:lang w:eastAsia="zh-CN"/>
        </w:rPr>
        <w:t>八、</w:t>
      </w:r>
      <w:r>
        <w:rPr>
          <w:rFonts w:hint="eastAsia" w:ascii="宋体" w:hAnsi="宋体" w:eastAsia="宋体" w:cs="宋体"/>
          <w:spacing w:val="9"/>
          <w:position w:val="21"/>
          <w:sz w:val="32"/>
          <w:szCs w:val="32"/>
        </w:rPr>
        <w:t>部门整体支出绩效自评结果拟应用和公开情况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" w:lineRule="atLeast"/>
        <w:ind w:firstLine="640" w:firstLineChars="200"/>
        <w:jc w:val="both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1、在下一年度制定绩效目标时，将对往年的工作程序进行反馈，关注最新的发展变化，制定与时俱进的绩效目标，提高绩效目标的可操作性。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" w:lineRule="atLeast"/>
        <w:ind w:firstLine="640" w:firstLineChars="200"/>
        <w:jc w:val="both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2、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  <w:t>拟与预算安排相结合的情况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在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  <w:t>制定合理、可操作的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绩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  <w:t>效目标基础上，将根据年度预算情况，加强对预算执行的监控，提高与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相关部门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  <w:t>的协调配合，跟进资金使用情况，保证资金的执行率，提高资金的使用效益。定期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找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  <w:t>准资金使用过程中与绩效存在差异的地方，及时修正，保证年度目标绩效能按时完成。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 xml:space="preserve">          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3" w:lineRule="atLeast"/>
        <w:ind w:firstLine="640" w:firstLineChars="200"/>
        <w:jc w:val="both"/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3、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-SA"/>
        </w:rPr>
        <w:t>拟公开情况按照政府信息公开相关要求，将绩效自评结果在本单位网站上公开。</w:t>
      </w:r>
    </w:p>
    <w:p>
      <w:pPr>
        <w:pStyle w:val="12"/>
        <w:numPr>
          <w:ilvl w:val="0"/>
          <w:numId w:val="0"/>
        </w:numPr>
        <w:ind w:leftChars="400"/>
        <w:rPr>
          <w:rFonts w:hint="eastAsia" w:ascii="宋体" w:hAnsi="宋体" w:eastAsia="宋体" w:cs="宋体"/>
          <w:spacing w:val="9"/>
          <w:position w:val="21"/>
          <w:sz w:val="32"/>
          <w:szCs w:val="32"/>
        </w:rPr>
      </w:pPr>
      <w:r>
        <w:rPr>
          <w:rFonts w:hint="eastAsia" w:ascii="宋体" w:hAnsi="宋体" w:eastAsia="宋体" w:cs="宋体"/>
          <w:spacing w:val="9"/>
          <w:position w:val="21"/>
          <w:sz w:val="32"/>
          <w:szCs w:val="32"/>
        </w:rPr>
        <w:t>十、其他需要说明的情况</w:t>
      </w:r>
    </w:p>
    <w:p>
      <w:pPr>
        <w:spacing w:before="220" w:line="600" w:lineRule="exact"/>
        <w:ind w:left="641"/>
        <w:rPr>
          <w:rFonts w:hint="eastAsia" w:ascii="宋体" w:hAnsi="宋体" w:eastAsia="宋体" w:cs="宋体"/>
          <w:spacing w:val="9"/>
          <w:position w:val="21"/>
          <w:sz w:val="32"/>
          <w:szCs w:val="32"/>
        </w:rPr>
        <w:sectPr>
          <w:footerReference r:id="rId4" w:type="default"/>
          <w:pgSz w:w="11905" w:h="16838"/>
          <w:pgMar w:top="1984" w:right="1701" w:bottom="1984" w:left="1701" w:header="850" w:footer="992" w:gutter="0"/>
          <w:pgNumType w:fmt="numberInDash"/>
          <w:cols w:space="0" w:num="1"/>
          <w:rtlGutter w:val="0"/>
          <w:docGrid w:type="lines" w:linePitch="314" w:charSpace="0"/>
        </w:sectPr>
      </w:pPr>
      <w:r>
        <w:rPr>
          <w:rFonts w:hint="eastAsia" w:ascii="宋体" w:hAnsi="宋体" w:eastAsia="宋体" w:cs="宋体"/>
          <w:spacing w:val="9"/>
          <w:position w:val="21"/>
          <w:sz w:val="32"/>
          <w:szCs w:val="32"/>
          <w:lang w:eastAsia="zh-CN"/>
        </w:rPr>
        <w:t>无</w:t>
      </w:r>
      <w:r>
        <w:rPr>
          <w:rFonts w:hint="eastAsia" w:ascii="宋体" w:hAnsi="宋体" w:eastAsia="宋体" w:cs="宋体"/>
          <w:spacing w:val="9"/>
          <w:position w:val="21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</w:rPr>
        <w:t>附件</w:t>
      </w:r>
      <w:r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宋体" w:hAnsi="宋体" w:eastAsia="宋体" w:cs="宋体"/>
          <w:spacing w:val="6"/>
          <w:sz w:val="44"/>
          <w:szCs w:val="44"/>
        </w:rPr>
      </w:pPr>
      <w:r>
        <w:rPr>
          <w:rFonts w:hint="eastAsia" w:ascii="宋体" w:hAnsi="宋体" w:eastAsia="宋体" w:cs="宋体"/>
          <w:spacing w:val="6"/>
          <w:sz w:val="44"/>
          <w:szCs w:val="44"/>
        </w:rPr>
        <w:t>2023年度部门整体支出绩效自评表</w:t>
      </w:r>
    </w:p>
    <w:p>
      <w:pPr>
        <w:spacing w:line="132" w:lineRule="exact"/>
        <w:rPr>
          <w:rFonts w:hint="eastAsia" w:ascii="宋体" w:hAnsi="宋体" w:eastAsia="宋体" w:cs="宋体"/>
        </w:rPr>
      </w:pPr>
    </w:p>
    <w:tbl>
      <w:tblPr>
        <w:tblStyle w:val="20"/>
        <w:tblW w:w="5059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988"/>
        <w:gridCol w:w="961"/>
        <w:gridCol w:w="33"/>
        <w:gridCol w:w="988"/>
        <w:gridCol w:w="2"/>
        <w:gridCol w:w="1054"/>
        <w:gridCol w:w="997"/>
        <w:gridCol w:w="692"/>
        <w:gridCol w:w="718"/>
        <w:gridCol w:w="13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1609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省级预算部门、单位名称</w:t>
            </w:r>
          </w:p>
        </w:tc>
        <w:tc>
          <w:tcPr>
            <w:tcW w:w="3390" w:type="pct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华容县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团洲乡人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民政府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年度预算申请（万元）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预算数</w:t>
            </w:r>
          </w:p>
        </w:tc>
        <w:tc>
          <w:tcPr>
            <w:tcW w:w="61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预算数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执行数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分值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执行率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年度资金总额</w:t>
            </w:r>
          </w:p>
        </w:tc>
        <w:tc>
          <w:tcPr>
            <w:tcW w:w="59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778</w:t>
            </w:r>
          </w:p>
        </w:tc>
        <w:tc>
          <w:tcPr>
            <w:tcW w:w="61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2476.23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2476.23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58" w:firstLineChars="28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按收入性质分：</w:t>
            </w: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其中：一般公共预算：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其中：基本支出：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1100.11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政府性基金拨款：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590.16</w:t>
            </w: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840" w:firstLineChars="40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1376.12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纳入专户管理的非税收入拨款：</w:t>
            </w: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其他资金：</w:t>
            </w: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体目标</w:t>
            </w: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预期目标</w:t>
            </w: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77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left"/>
              <w:textAlignment w:val="auto"/>
              <w:rPr>
                <w:rFonts w:hint="default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1、抗旱排渍机埠的升级改造；2、主干公路黑化；3、对敬老院老人住房进行升级改造；4、粮食种植面积3.3万亩。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18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按要求已完成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47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</w:t>
            </w:r>
          </w:p>
        </w:tc>
        <w:tc>
          <w:tcPr>
            <w:tcW w:w="574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指标值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完成值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分值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得分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偏差原因分析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77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实现粮食播种面积3.3万亩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3.3万亩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3.3万亩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主干公路黑化长度11.5公里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11公里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11.5公里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虾稻种植面积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亩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1.5万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办公设备利用率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&gt;=90%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新宋体" w:hAnsi="新宋体" w:eastAsia="新宋体" w:cs="新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考核指标对标对表率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&gt;=90%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完成工作及时率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&gt;=98%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日前预算执行支出率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&gt;=95%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</w:t>
            </w:r>
          </w:p>
        </w:tc>
        <w:tc>
          <w:tcPr>
            <w:tcW w:w="5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（30分）</w:t>
            </w:r>
          </w:p>
        </w:tc>
        <w:tc>
          <w:tcPr>
            <w:tcW w:w="5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团北村引进生态风干鱼项目，集体经济增收10万元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=集体经济较上年提高%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社会和谐稳定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=信访维稳，促进和谐稳定%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各村均打造了1个示范组和1公里美化路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=人居环境得到改善%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可持续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影响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全镇经济发展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=促进全镇经济发展%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auto"/>
              <w:rPr>
                <w:rFonts w:hint="default" w:ascii="新宋体" w:hAnsi="新宋体" w:eastAsia="新宋体" w:cs="新宋体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（10分）</w:t>
            </w:r>
          </w:p>
        </w:tc>
        <w:tc>
          <w:tcPr>
            <w:tcW w:w="57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57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&gt;=95%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93%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57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经济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57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预算内成本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&gt;=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2398.23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2398.23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57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财政拨款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2398.23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2398.23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环境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57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1"/>
                <w:szCs w:val="21"/>
                <w:lang w:val="en-US" w:eastAsia="zh-CN"/>
              </w:rPr>
              <w:t>办公节能</w:t>
            </w:r>
          </w:p>
        </w:tc>
        <w:tc>
          <w:tcPr>
            <w:tcW w:w="6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=达标%</w:t>
            </w:r>
          </w:p>
        </w:tc>
        <w:tc>
          <w:tcPr>
            <w:tcW w:w="5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392" w:type="pct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总分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78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填表人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刘子龙</w:t>
      </w:r>
      <w:r>
        <w:rPr>
          <w:rFonts w:hint="eastAsia"/>
        </w:rPr>
        <w:t>填报日期：</w:t>
      </w:r>
      <w:r>
        <w:rPr>
          <w:rFonts w:hint="eastAsia"/>
          <w:lang w:val="en-US" w:eastAsia="zh-CN"/>
        </w:rPr>
        <w:t>2024.5.24</w:t>
      </w:r>
      <w:r>
        <w:rPr>
          <w:rFonts w:hint="eastAsia"/>
        </w:rPr>
        <w:t>联系电话：</w:t>
      </w:r>
      <w:r>
        <w:rPr>
          <w:rFonts w:hint="eastAsia"/>
          <w:lang w:val="en-US" w:eastAsia="zh-CN"/>
        </w:rPr>
        <w:t>17670458970</w:t>
      </w:r>
      <w:r>
        <w:rPr>
          <w:rFonts w:hint="eastAsia"/>
        </w:rPr>
        <w:t>单位负责人签字：</w:t>
      </w:r>
      <w:r>
        <w:rPr>
          <w:rFonts w:hint="eastAsia"/>
          <w:lang w:val="en-US" w:eastAsia="zh-CN"/>
        </w:rPr>
        <w:t>袁锦锋</w:t>
      </w:r>
    </w:p>
    <w:sectPr>
      <w:footerReference r:id="rId5" w:type="default"/>
      <w:pgSz w:w="11905" w:h="16838"/>
      <w:pgMar w:top="1984" w:right="1701" w:bottom="1984" w:left="1701" w:header="850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???-18030">
    <w:altName w:val="URW Book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altName w:val="方正书宋_GBK"/>
    <w:panose1 w:val="02010609030101010101"/>
    <w:charset w:val="86"/>
    <w:family w:val="auto"/>
    <w:pitch w:val="default"/>
    <w:sig w:usb0="00000000" w:usb1="0000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525" w:leftChars="250" w:right="525" w:rightChars="250"/>
                            <w:textAlignment w:val="auto"/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NxeOVFQIAABU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525" w:leftChars="250" w:right="525" w:rightChars="250"/>
                      <w:textAlignment w:val="auto"/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</w:pP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8576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PbXR6EgIAABU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DP&#10;bXR6EgIAABU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525" w:leftChars="250" w:right="525" w:rightChars="250"/>
                            <w:textAlignment w:val="auto"/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AdoX50UAgAAFQ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525" w:leftChars="250" w:right="525" w:rightChars="250"/>
                      <w:textAlignment w:val="auto"/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9DE3BD"/>
    <w:multiLevelType w:val="singleLevel"/>
    <w:tmpl w:val="C59DE3B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9320B48"/>
    <w:multiLevelType w:val="singleLevel"/>
    <w:tmpl w:val="E9320B4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TrueTypeFonts/>
  <w:bordersDoNotSurroundHeader w:val="0"/>
  <w:bordersDoNotSurroundFooter w:val="0"/>
  <w:documentProtection w:enforcement="0"/>
  <w:defaultTabStop w:val="420"/>
  <w:drawingGridHorizontalSpacing w:val="210"/>
  <w:drawingGridVerticalSpacing w:val="157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zMTc3YjllNTI5Y2UyNTk5ZWVjZGQyYjJmYTkwZjcifQ=="/>
    <w:docVar w:name="KSO_WPS_MARK_KEY" w:val="55841f92-a021-4380-99ac-9bd8fcfd3d41"/>
  </w:docVars>
  <w:rsids>
    <w:rsidRoot w:val="0CCB7736"/>
    <w:rsid w:val="00047FEF"/>
    <w:rsid w:val="000A3906"/>
    <w:rsid w:val="001776F1"/>
    <w:rsid w:val="006F0A16"/>
    <w:rsid w:val="00773328"/>
    <w:rsid w:val="00821883"/>
    <w:rsid w:val="00917857"/>
    <w:rsid w:val="00951882"/>
    <w:rsid w:val="00A755C2"/>
    <w:rsid w:val="00D06DD6"/>
    <w:rsid w:val="011D2710"/>
    <w:rsid w:val="016A347B"/>
    <w:rsid w:val="01B42948"/>
    <w:rsid w:val="01BF20E7"/>
    <w:rsid w:val="01E4322D"/>
    <w:rsid w:val="021138F7"/>
    <w:rsid w:val="02B50488"/>
    <w:rsid w:val="0338470A"/>
    <w:rsid w:val="034822A9"/>
    <w:rsid w:val="03D86621"/>
    <w:rsid w:val="04153D40"/>
    <w:rsid w:val="04EE6171"/>
    <w:rsid w:val="05315F6B"/>
    <w:rsid w:val="05395EA9"/>
    <w:rsid w:val="0616597F"/>
    <w:rsid w:val="06426ACC"/>
    <w:rsid w:val="07A62D33"/>
    <w:rsid w:val="086B5F82"/>
    <w:rsid w:val="09E6794E"/>
    <w:rsid w:val="0A067AB9"/>
    <w:rsid w:val="0A465AEA"/>
    <w:rsid w:val="0ABD557B"/>
    <w:rsid w:val="0BBB5A8D"/>
    <w:rsid w:val="0C104906"/>
    <w:rsid w:val="0C607C21"/>
    <w:rsid w:val="0CCB7736"/>
    <w:rsid w:val="0D9E0E8D"/>
    <w:rsid w:val="0E1F65D3"/>
    <w:rsid w:val="0E3E5716"/>
    <w:rsid w:val="0E6B257C"/>
    <w:rsid w:val="0EAB7397"/>
    <w:rsid w:val="0EF755B3"/>
    <w:rsid w:val="0F17035E"/>
    <w:rsid w:val="0F4E168D"/>
    <w:rsid w:val="0F7A0392"/>
    <w:rsid w:val="0FAF3959"/>
    <w:rsid w:val="0FD26E31"/>
    <w:rsid w:val="1020625B"/>
    <w:rsid w:val="11404466"/>
    <w:rsid w:val="11837AA9"/>
    <w:rsid w:val="11963ADD"/>
    <w:rsid w:val="11EB0F5C"/>
    <w:rsid w:val="11F20483"/>
    <w:rsid w:val="12123C76"/>
    <w:rsid w:val="12831010"/>
    <w:rsid w:val="129038DB"/>
    <w:rsid w:val="13441D7E"/>
    <w:rsid w:val="135C1CDB"/>
    <w:rsid w:val="136F31F8"/>
    <w:rsid w:val="138750E0"/>
    <w:rsid w:val="1396506E"/>
    <w:rsid w:val="13D82A59"/>
    <w:rsid w:val="140E6961"/>
    <w:rsid w:val="15604228"/>
    <w:rsid w:val="15A620D3"/>
    <w:rsid w:val="16A3369E"/>
    <w:rsid w:val="16F5004B"/>
    <w:rsid w:val="17114A8B"/>
    <w:rsid w:val="176B77A7"/>
    <w:rsid w:val="178536BD"/>
    <w:rsid w:val="18952734"/>
    <w:rsid w:val="19516372"/>
    <w:rsid w:val="19575CC2"/>
    <w:rsid w:val="19A80228"/>
    <w:rsid w:val="19AF68C7"/>
    <w:rsid w:val="19E85A53"/>
    <w:rsid w:val="1A101464"/>
    <w:rsid w:val="1A4C1518"/>
    <w:rsid w:val="1AB71087"/>
    <w:rsid w:val="1AB74849"/>
    <w:rsid w:val="1AC52FF2"/>
    <w:rsid w:val="1AE6175D"/>
    <w:rsid w:val="1B742AA7"/>
    <w:rsid w:val="1BD5498B"/>
    <w:rsid w:val="1BF15B4E"/>
    <w:rsid w:val="1CA34935"/>
    <w:rsid w:val="1D5A640E"/>
    <w:rsid w:val="1E9351E5"/>
    <w:rsid w:val="1F7640EC"/>
    <w:rsid w:val="20176B8B"/>
    <w:rsid w:val="20D30097"/>
    <w:rsid w:val="20D76C5F"/>
    <w:rsid w:val="20E55C2B"/>
    <w:rsid w:val="21057490"/>
    <w:rsid w:val="214A230E"/>
    <w:rsid w:val="21B052C4"/>
    <w:rsid w:val="226C6BA7"/>
    <w:rsid w:val="22B43877"/>
    <w:rsid w:val="22CA430C"/>
    <w:rsid w:val="22DF2F05"/>
    <w:rsid w:val="22FF5445"/>
    <w:rsid w:val="23201E3D"/>
    <w:rsid w:val="2342170A"/>
    <w:rsid w:val="238D0E57"/>
    <w:rsid w:val="24256710"/>
    <w:rsid w:val="251E7983"/>
    <w:rsid w:val="25FE2B31"/>
    <w:rsid w:val="260D5D83"/>
    <w:rsid w:val="260E1D77"/>
    <w:rsid w:val="277A77CA"/>
    <w:rsid w:val="28043432"/>
    <w:rsid w:val="284A2254"/>
    <w:rsid w:val="28E30DCE"/>
    <w:rsid w:val="29165294"/>
    <w:rsid w:val="292F1467"/>
    <w:rsid w:val="29786927"/>
    <w:rsid w:val="297B51B4"/>
    <w:rsid w:val="29E40467"/>
    <w:rsid w:val="29F527E2"/>
    <w:rsid w:val="2A9A1E2C"/>
    <w:rsid w:val="2BF35971"/>
    <w:rsid w:val="2C487650"/>
    <w:rsid w:val="2C5A7AC4"/>
    <w:rsid w:val="2E4F43C0"/>
    <w:rsid w:val="2EC7368E"/>
    <w:rsid w:val="2EDC05D9"/>
    <w:rsid w:val="2F240CAA"/>
    <w:rsid w:val="2F5137B6"/>
    <w:rsid w:val="2FF62815"/>
    <w:rsid w:val="30FB4B41"/>
    <w:rsid w:val="31621165"/>
    <w:rsid w:val="31D50CD0"/>
    <w:rsid w:val="322E1E8E"/>
    <w:rsid w:val="323C5548"/>
    <w:rsid w:val="33235CE2"/>
    <w:rsid w:val="33A4019B"/>
    <w:rsid w:val="33F22F3B"/>
    <w:rsid w:val="34281B05"/>
    <w:rsid w:val="359F2200"/>
    <w:rsid w:val="35A42962"/>
    <w:rsid w:val="36AD0EA9"/>
    <w:rsid w:val="36FF783F"/>
    <w:rsid w:val="37450F88"/>
    <w:rsid w:val="375F1A7E"/>
    <w:rsid w:val="378B026E"/>
    <w:rsid w:val="37B47BE4"/>
    <w:rsid w:val="37D6106F"/>
    <w:rsid w:val="37F52D97"/>
    <w:rsid w:val="38241593"/>
    <w:rsid w:val="38856E40"/>
    <w:rsid w:val="38BE1DF3"/>
    <w:rsid w:val="38F862EB"/>
    <w:rsid w:val="39343807"/>
    <w:rsid w:val="39887BBC"/>
    <w:rsid w:val="3A0F7AD4"/>
    <w:rsid w:val="3A53023B"/>
    <w:rsid w:val="3AF42D2D"/>
    <w:rsid w:val="3B062751"/>
    <w:rsid w:val="3B3A041F"/>
    <w:rsid w:val="3BAE6BF9"/>
    <w:rsid w:val="3BEE0229"/>
    <w:rsid w:val="3C3568D7"/>
    <w:rsid w:val="3CCA47F2"/>
    <w:rsid w:val="3CDE0708"/>
    <w:rsid w:val="3D33006A"/>
    <w:rsid w:val="3D3954D4"/>
    <w:rsid w:val="3D5877DF"/>
    <w:rsid w:val="3D5C4FEC"/>
    <w:rsid w:val="3DAE53BC"/>
    <w:rsid w:val="3DC55CAA"/>
    <w:rsid w:val="3DD556CA"/>
    <w:rsid w:val="3DFE271A"/>
    <w:rsid w:val="3E5F4AE1"/>
    <w:rsid w:val="3F450429"/>
    <w:rsid w:val="3FB6105E"/>
    <w:rsid w:val="3FBF3F86"/>
    <w:rsid w:val="3FF70715"/>
    <w:rsid w:val="3FFD550C"/>
    <w:rsid w:val="4021030A"/>
    <w:rsid w:val="40226C80"/>
    <w:rsid w:val="40C451A5"/>
    <w:rsid w:val="40C671E5"/>
    <w:rsid w:val="41051ABE"/>
    <w:rsid w:val="4156470B"/>
    <w:rsid w:val="41943ACE"/>
    <w:rsid w:val="42521D88"/>
    <w:rsid w:val="425D4066"/>
    <w:rsid w:val="42605E1E"/>
    <w:rsid w:val="430118BA"/>
    <w:rsid w:val="43173FD4"/>
    <w:rsid w:val="43B27D8E"/>
    <w:rsid w:val="43D00200"/>
    <w:rsid w:val="44143822"/>
    <w:rsid w:val="44654A12"/>
    <w:rsid w:val="44E421C9"/>
    <w:rsid w:val="44F7CFC5"/>
    <w:rsid w:val="45320384"/>
    <w:rsid w:val="457C5F26"/>
    <w:rsid w:val="4716830A"/>
    <w:rsid w:val="47BF53CA"/>
    <w:rsid w:val="48B126BB"/>
    <w:rsid w:val="49CF255F"/>
    <w:rsid w:val="4A3239D7"/>
    <w:rsid w:val="4B2C5DCD"/>
    <w:rsid w:val="4B46D032"/>
    <w:rsid w:val="4B7D1173"/>
    <w:rsid w:val="4BBDFBDE"/>
    <w:rsid w:val="4BCF5C41"/>
    <w:rsid w:val="4C150E22"/>
    <w:rsid w:val="4C6A38FC"/>
    <w:rsid w:val="4CD520DA"/>
    <w:rsid w:val="4CE74BC3"/>
    <w:rsid w:val="4CEEB85C"/>
    <w:rsid w:val="4CF5000E"/>
    <w:rsid w:val="4CF74D38"/>
    <w:rsid w:val="4D6D6EEB"/>
    <w:rsid w:val="4DB17672"/>
    <w:rsid w:val="4DB27F04"/>
    <w:rsid w:val="4F5D15A2"/>
    <w:rsid w:val="4FCB46B2"/>
    <w:rsid w:val="4FFE57BD"/>
    <w:rsid w:val="50AC44C4"/>
    <w:rsid w:val="50EA6DB9"/>
    <w:rsid w:val="50FC089B"/>
    <w:rsid w:val="51453FF0"/>
    <w:rsid w:val="515661FD"/>
    <w:rsid w:val="51714DE5"/>
    <w:rsid w:val="51CA7471"/>
    <w:rsid w:val="521C2FA3"/>
    <w:rsid w:val="522529B2"/>
    <w:rsid w:val="524806C4"/>
    <w:rsid w:val="5301082D"/>
    <w:rsid w:val="5387476B"/>
    <w:rsid w:val="53910AF4"/>
    <w:rsid w:val="53FBDA3F"/>
    <w:rsid w:val="54F63F7F"/>
    <w:rsid w:val="555952B3"/>
    <w:rsid w:val="555E65E4"/>
    <w:rsid w:val="556B5A36"/>
    <w:rsid w:val="5599697B"/>
    <w:rsid w:val="55AF40BB"/>
    <w:rsid w:val="55E65FDC"/>
    <w:rsid w:val="5613734A"/>
    <w:rsid w:val="562D7E5B"/>
    <w:rsid w:val="564F3D12"/>
    <w:rsid w:val="56F72F7C"/>
    <w:rsid w:val="5717642E"/>
    <w:rsid w:val="57946554"/>
    <w:rsid w:val="57CF94F0"/>
    <w:rsid w:val="57D80A00"/>
    <w:rsid w:val="586243BF"/>
    <w:rsid w:val="58FD3402"/>
    <w:rsid w:val="5968027A"/>
    <w:rsid w:val="5AAF7799"/>
    <w:rsid w:val="5AB04BD0"/>
    <w:rsid w:val="5B5C1753"/>
    <w:rsid w:val="5BE211F7"/>
    <w:rsid w:val="5BF510BE"/>
    <w:rsid w:val="5C6C4B26"/>
    <w:rsid w:val="5D03DFF6"/>
    <w:rsid w:val="5D9C3D56"/>
    <w:rsid w:val="5DD775C7"/>
    <w:rsid w:val="5E134100"/>
    <w:rsid w:val="5F7A1C50"/>
    <w:rsid w:val="5FC69000"/>
    <w:rsid w:val="601C4AB5"/>
    <w:rsid w:val="604F2F3E"/>
    <w:rsid w:val="60624663"/>
    <w:rsid w:val="60BE691E"/>
    <w:rsid w:val="60F838FC"/>
    <w:rsid w:val="61444403"/>
    <w:rsid w:val="62265BDF"/>
    <w:rsid w:val="62E1699A"/>
    <w:rsid w:val="62FBC294"/>
    <w:rsid w:val="63123C13"/>
    <w:rsid w:val="637D5875"/>
    <w:rsid w:val="64147F0D"/>
    <w:rsid w:val="64B713E7"/>
    <w:rsid w:val="64D66362"/>
    <w:rsid w:val="65860217"/>
    <w:rsid w:val="659D5052"/>
    <w:rsid w:val="667E0AA1"/>
    <w:rsid w:val="66AE5CE5"/>
    <w:rsid w:val="66D4191C"/>
    <w:rsid w:val="677027A4"/>
    <w:rsid w:val="67B37C7A"/>
    <w:rsid w:val="67F20A94"/>
    <w:rsid w:val="68FB17C3"/>
    <w:rsid w:val="695F12F9"/>
    <w:rsid w:val="69636C3A"/>
    <w:rsid w:val="696D83E8"/>
    <w:rsid w:val="69C60A20"/>
    <w:rsid w:val="69CF7B2C"/>
    <w:rsid w:val="69EE4FDB"/>
    <w:rsid w:val="69FEC155"/>
    <w:rsid w:val="6A0B0004"/>
    <w:rsid w:val="6A3273AF"/>
    <w:rsid w:val="6AC56475"/>
    <w:rsid w:val="6AD35263"/>
    <w:rsid w:val="6B8D38AE"/>
    <w:rsid w:val="6BA1010E"/>
    <w:rsid w:val="6BC80F42"/>
    <w:rsid w:val="6CE47E41"/>
    <w:rsid w:val="6CED5810"/>
    <w:rsid w:val="6CF92413"/>
    <w:rsid w:val="6DFE5E04"/>
    <w:rsid w:val="6E0D1F7B"/>
    <w:rsid w:val="6E796921"/>
    <w:rsid w:val="6E87203D"/>
    <w:rsid w:val="6EEBA32F"/>
    <w:rsid w:val="6F7B9D2E"/>
    <w:rsid w:val="6F9278BB"/>
    <w:rsid w:val="6FB7D4E3"/>
    <w:rsid w:val="6FBE0EF0"/>
    <w:rsid w:val="6FFF1C22"/>
    <w:rsid w:val="70EC5DDE"/>
    <w:rsid w:val="71385A33"/>
    <w:rsid w:val="71572F19"/>
    <w:rsid w:val="719B7427"/>
    <w:rsid w:val="71E33685"/>
    <w:rsid w:val="71F326B3"/>
    <w:rsid w:val="71F7DE42"/>
    <w:rsid w:val="724A6793"/>
    <w:rsid w:val="72647B59"/>
    <w:rsid w:val="7372FC32"/>
    <w:rsid w:val="73A56E44"/>
    <w:rsid w:val="73B12A87"/>
    <w:rsid w:val="741F26FA"/>
    <w:rsid w:val="74470DF8"/>
    <w:rsid w:val="744E1D52"/>
    <w:rsid w:val="74BD60BB"/>
    <w:rsid w:val="74CF0052"/>
    <w:rsid w:val="74FA3C0D"/>
    <w:rsid w:val="751D6EAE"/>
    <w:rsid w:val="75A02515"/>
    <w:rsid w:val="75FD1676"/>
    <w:rsid w:val="7687113B"/>
    <w:rsid w:val="76C3247D"/>
    <w:rsid w:val="76EFC8B0"/>
    <w:rsid w:val="776ACBF9"/>
    <w:rsid w:val="77FF7A21"/>
    <w:rsid w:val="7951325E"/>
    <w:rsid w:val="799536BA"/>
    <w:rsid w:val="7AFF0B61"/>
    <w:rsid w:val="7B170752"/>
    <w:rsid w:val="7B382425"/>
    <w:rsid w:val="7B67F043"/>
    <w:rsid w:val="7B8F681B"/>
    <w:rsid w:val="7BC55225"/>
    <w:rsid w:val="7BFF9B5C"/>
    <w:rsid w:val="7C3B673F"/>
    <w:rsid w:val="7CED5089"/>
    <w:rsid w:val="7D8636B9"/>
    <w:rsid w:val="7DD96C0E"/>
    <w:rsid w:val="7E352599"/>
    <w:rsid w:val="7E474F7B"/>
    <w:rsid w:val="7E7F4A49"/>
    <w:rsid w:val="7E8F7AC1"/>
    <w:rsid w:val="7EEDBD0E"/>
    <w:rsid w:val="7F2BE2DA"/>
    <w:rsid w:val="7F7F87CE"/>
    <w:rsid w:val="7FB79B09"/>
    <w:rsid w:val="7FE97AB9"/>
    <w:rsid w:val="7FF13FB3"/>
    <w:rsid w:val="7FF31D0E"/>
    <w:rsid w:val="7FFDD6B3"/>
    <w:rsid w:val="7FFFB476"/>
    <w:rsid w:val="8BDF47C4"/>
    <w:rsid w:val="97BCC380"/>
    <w:rsid w:val="9FFF52D8"/>
    <w:rsid w:val="A7F581DE"/>
    <w:rsid w:val="AEB56B76"/>
    <w:rsid w:val="AF9DF110"/>
    <w:rsid w:val="AFABB544"/>
    <w:rsid w:val="B8EB831F"/>
    <w:rsid w:val="B97CA8A2"/>
    <w:rsid w:val="BDEC0853"/>
    <w:rsid w:val="BEDF2C93"/>
    <w:rsid w:val="BFCF8B12"/>
    <w:rsid w:val="BFDE3C5E"/>
    <w:rsid w:val="BFF98747"/>
    <w:rsid w:val="BFFBFE8B"/>
    <w:rsid w:val="CD1D59DB"/>
    <w:rsid w:val="D3392114"/>
    <w:rsid w:val="D5FFFA29"/>
    <w:rsid w:val="D8BFEB7A"/>
    <w:rsid w:val="DA7C7C00"/>
    <w:rsid w:val="DBBAFFF2"/>
    <w:rsid w:val="DCEDDEBC"/>
    <w:rsid w:val="DD7F0B52"/>
    <w:rsid w:val="DF2D0D8F"/>
    <w:rsid w:val="DF5FFD2E"/>
    <w:rsid w:val="DF7CB467"/>
    <w:rsid w:val="DFD16BC5"/>
    <w:rsid w:val="E7C7ECFD"/>
    <w:rsid w:val="E8D77873"/>
    <w:rsid w:val="E993F613"/>
    <w:rsid w:val="EAF02C80"/>
    <w:rsid w:val="EAFDC676"/>
    <w:rsid w:val="EC7CC44F"/>
    <w:rsid w:val="EDFFCE85"/>
    <w:rsid w:val="EE4B6327"/>
    <w:rsid w:val="EFFEB24D"/>
    <w:rsid w:val="EFFFEA89"/>
    <w:rsid w:val="F67CDAB7"/>
    <w:rsid w:val="F7FFE2AA"/>
    <w:rsid w:val="FA96002D"/>
    <w:rsid w:val="FAFB27C0"/>
    <w:rsid w:val="FAFD7633"/>
    <w:rsid w:val="FB1719BC"/>
    <w:rsid w:val="FB2CBFEE"/>
    <w:rsid w:val="FBF58250"/>
    <w:rsid w:val="FCABCEC9"/>
    <w:rsid w:val="FD2B24D7"/>
    <w:rsid w:val="FDB340CE"/>
    <w:rsid w:val="FDFF90A7"/>
    <w:rsid w:val="FECB43AA"/>
    <w:rsid w:val="FEF02C5D"/>
    <w:rsid w:val="FEF9D4A3"/>
    <w:rsid w:val="FF5F60DE"/>
    <w:rsid w:val="FF5FC66C"/>
    <w:rsid w:val="FF9F4BB4"/>
    <w:rsid w:val="FFBB7CF0"/>
    <w:rsid w:val="FFDD4AC6"/>
    <w:rsid w:val="FFDEE716"/>
    <w:rsid w:val="FFF927C6"/>
    <w:rsid w:val="FFFB44AF"/>
    <w:rsid w:val="FFFE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15">
    <w:name w:val="Default Paragraph Font"/>
    <w:semiHidden/>
    <w:qFormat/>
    <w:uiPriority w:val="99"/>
  </w:style>
  <w:style w:type="table" w:default="1" w:styleId="1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Body Text"/>
    <w:basedOn w:val="1"/>
    <w:next w:val="5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7">
    <w:name w:val="Body Text Indent 2"/>
    <w:basedOn w:val="1"/>
    <w:qFormat/>
    <w:uiPriority w:val="0"/>
    <w:pPr>
      <w:spacing w:after="120" w:afterAutospacing="0" w:line="480" w:lineRule="auto"/>
      <w:ind w:left="420" w:leftChars="200"/>
    </w:pPr>
  </w:style>
  <w:style w:type="paragraph" w:styleId="8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6"/>
    <w:next w:val="11"/>
    <w:qFormat/>
    <w:uiPriority w:val="0"/>
    <w:pPr>
      <w:spacing w:before="100" w:beforeAutospacing="1" w:after="0"/>
      <w:ind w:left="0" w:firstLine="420" w:firstLineChars="200"/>
    </w:pPr>
    <w:rPr>
      <w:rFonts w:ascii="Calibri" w:hAnsi="Calibri" w:eastAsia="宋体" w:cs="Times New Roman"/>
    </w:rPr>
  </w:style>
  <w:style w:type="table" w:styleId="14">
    <w:name w:val="Table Grid"/>
    <w:basedOn w:val="1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99"/>
    <w:rPr>
      <w:rFonts w:cs="Times New Roman"/>
    </w:rPr>
  </w:style>
  <w:style w:type="character" w:customStyle="1" w:styleId="17">
    <w:name w:val="Footer Char"/>
    <w:basedOn w:val="15"/>
    <w:link w:val="8"/>
    <w:semiHidden/>
    <w:qFormat/>
    <w:uiPriority w:val="99"/>
    <w:rPr>
      <w:sz w:val="18"/>
      <w:szCs w:val="18"/>
    </w:rPr>
  </w:style>
  <w:style w:type="character" w:customStyle="1" w:styleId="18">
    <w:name w:val="Header Char"/>
    <w:basedOn w:val="15"/>
    <w:link w:val="9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22">
    <w:name w:val="BodyText"/>
    <w:basedOn w:val="1"/>
    <w:next w:val="23"/>
    <w:qFormat/>
    <w:uiPriority w:val="0"/>
    <w:pPr>
      <w:widowControl/>
      <w:spacing w:before="100" w:beforeAutospacing="1" w:after="120" w:line="560" w:lineRule="exact"/>
      <w:ind w:firstLine="640" w:firstLineChars="200"/>
      <w:textAlignment w:val="baseline"/>
    </w:pPr>
    <w:rPr>
      <w:rFonts w:eastAsia="仿宋_GB2312"/>
      <w:sz w:val="32"/>
      <w:szCs w:val="32"/>
    </w:rPr>
  </w:style>
  <w:style w:type="paragraph" w:customStyle="1" w:styleId="23">
    <w:name w:val="UserStyle_3"/>
    <w:basedOn w:val="1"/>
    <w:qFormat/>
    <w:uiPriority w:val="0"/>
    <w:pPr>
      <w:widowControl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100" w:beforeAutospacing="1" w:after="100" w:afterAutospacing="1" w:line="560" w:lineRule="exact"/>
      <w:ind w:firstLine="640" w:firstLineChars="200"/>
      <w:jc w:val="center"/>
      <w:textAlignment w:val="baseline"/>
    </w:pPr>
    <w:rPr>
      <w:rFonts w:ascii="???-18030" w:hAnsi="???-18030" w:eastAsia="仿宋_GB2312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12</Pages>
  <Words>4148</Words>
  <Characters>4703</Characters>
  <Lines>0</Lines>
  <Paragraphs>0</Paragraphs>
  <TotalTime>2</TotalTime>
  <ScaleCrop>false</ScaleCrop>
  <LinksUpToDate>false</LinksUpToDate>
  <CharactersWithSpaces>4784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2020-06-07T09:07:00Z</dcterms:created>
  <dc:creator>Administrator</dc:creator>
  <cp:lastModifiedBy>user</cp:lastModifiedBy>
  <cp:lastPrinted>2024-05-21T15:59:00Z</cp:lastPrinted>
  <dcterms:modified xsi:type="dcterms:W3CDTF">2024-05-30T10:36:41Z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KSOSaveFontToCloudKey">
    <vt:lpwstr>386772509_embed</vt:lpwstr>
  </property>
  <property fmtid="{D5CDD505-2E9C-101B-9397-08002B2CF9AE}" pid="4" name="ICV">
    <vt:lpwstr>9CC01C7BD4944ED0AB76D6B45FFD8790_13</vt:lpwstr>
  </property>
</Properties>
</file>