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5912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2023年度</w:t>
      </w:r>
    </w:p>
    <w:p w14:paraId="4F83C5C2">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84"/>
          <w:szCs w:val="84"/>
          <w:highlight w:val="none"/>
        </w:rPr>
      </w:pPr>
      <w:r>
        <w:rPr>
          <w:rFonts w:hint="eastAsia" w:hAnsi="Times New Roman"/>
          <w:color w:val="auto"/>
          <w:sz w:val="84"/>
          <w:szCs w:val="84"/>
          <w:highlight w:val="none"/>
          <w:lang w:val="zh-CN"/>
        </w:rPr>
        <w:t>华容县北景港镇人民政府</w:t>
      </w:r>
      <w:r>
        <w:rPr>
          <w:rFonts w:hint="eastAsia" w:ascii="方正小标宋_GBK" w:hAnsi="方正小标宋_GBK" w:eastAsia="方正小标宋_GBK" w:cs="方正小标宋_GBK"/>
          <w:color w:val="auto"/>
          <w:sz w:val="84"/>
          <w:szCs w:val="84"/>
          <w:highlight w:val="none"/>
        </w:rPr>
        <w:t>部门决算</w:t>
      </w:r>
    </w:p>
    <w:p w14:paraId="323A9774">
      <w:pPr>
        <w:pStyle w:val="14"/>
        <w:keepNext w:val="0"/>
        <w:keepLines w:val="0"/>
        <w:pageBreakBefore w:val="0"/>
        <w:widowControl w:val="0"/>
        <w:kinsoku/>
        <w:wordWrap/>
        <w:overflowPunct/>
        <w:topLinePunct w:val="0"/>
        <w:bidi w:val="0"/>
        <w:snapToGrid/>
        <w:spacing w:line="500" w:lineRule="exact"/>
        <w:jc w:val="both"/>
        <w:textAlignment w:val="auto"/>
        <w:rPr>
          <w:b/>
          <w:color w:val="auto"/>
          <w:sz w:val="36"/>
          <w:szCs w:val="28"/>
          <w:highlight w:val="none"/>
        </w:rPr>
      </w:pPr>
    </w:p>
    <w:p w14:paraId="348D3B1F">
      <w:pPr>
        <w:pStyle w:val="14"/>
        <w:keepNext w:val="0"/>
        <w:keepLines w:val="0"/>
        <w:pageBreakBefore w:val="0"/>
        <w:widowControl w:val="0"/>
        <w:kinsoku/>
        <w:wordWrap/>
        <w:overflowPunct/>
        <w:topLinePunct w:val="0"/>
        <w:bidi w:val="0"/>
        <w:snapToGrid/>
        <w:spacing w:line="500" w:lineRule="exact"/>
        <w:jc w:val="center"/>
        <w:textAlignment w:val="auto"/>
        <w:rPr>
          <w:b/>
          <w:color w:val="auto"/>
          <w:sz w:val="36"/>
          <w:szCs w:val="28"/>
          <w:highlight w:val="none"/>
        </w:rPr>
      </w:pPr>
      <w:r>
        <w:rPr>
          <w:rFonts w:hint="eastAsia"/>
          <w:b/>
          <w:color w:val="auto"/>
          <w:sz w:val="36"/>
          <w:szCs w:val="28"/>
          <w:highlight w:val="none"/>
        </w:rPr>
        <w:t>目录</w:t>
      </w:r>
    </w:p>
    <w:p w14:paraId="22D2CF6D">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highlight w:val="none"/>
        </w:rPr>
      </w:pPr>
      <w:r>
        <w:rPr>
          <w:rFonts w:hint="eastAsia" w:hAnsi="黑体"/>
          <w:bCs/>
          <w:color w:val="auto"/>
          <w:sz w:val="28"/>
          <w:szCs w:val="28"/>
          <w:highlight w:val="none"/>
        </w:rPr>
        <w:t>第一部分华容县北景港镇人民政府概况</w:t>
      </w:r>
    </w:p>
    <w:p w14:paraId="69648A39">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29B0D6B7">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696F1823">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highlight w:val="none"/>
        </w:rPr>
      </w:pPr>
      <w:r>
        <w:rPr>
          <w:rFonts w:hint="eastAsia" w:hAnsi="黑体"/>
          <w:bCs/>
          <w:color w:val="auto"/>
          <w:sz w:val="28"/>
          <w:szCs w:val="28"/>
          <w:highlight w:val="none"/>
        </w:rPr>
        <w:t>第二部分 部门决算表</w:t>
      </w:r>
    </w:p>
    <w:p w14:paraId="213343BE">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794AAB3E">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5FC15927">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759976B7">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25670448">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63E0BF0B">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488CFC8D">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0C78E6BB">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67AFF452">
      <w:pPr>
        <w:pStyle w:val="14"/>
        <w:keepNext w:val="0"/>
        <w:keepLines w:val="0"/>
        <w:pageBreakBefore w:val="0"/>
        <w:widowControl w:val="0"/>
        <w:kinsoku/>
        <w:wordWrap/>
        <w:overflowPunct/>
        <w:topLinePunct w:val="0"/>
        <w:bidi w:val="0"/>
        <w:snapToGrid/>
        <w:spacing w:line="500" w:lineRule="exact"/>
        <w:ind w:firstLine="700" w:firstLineChars="25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5C965BD2">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keepNext w:val="0"/>
        <w:keepLines w:val="0"/>
        <w:pageBreakBefore w:val="0"/>
        <w:widowControl w:val="0"/>
        <w:kinsoku/>
        <w:wordWrap/>
        <w:overflowPunct/>
        <w:topLinePunct w:val="0"/>
        <w:autoSpaceDE w:val="0"/>
        <w:autoSpaceDN w:val="0"/>
        <w:bidi w:val="0"/>
        <w:adjustRightInd w:val="0"/>
        <w:snapToGrid/>
        <w:spacing w:line="500" w:lineRule="exact"/>
        <w:ind w:firstLine="700" w:firstLineChars="250"/>
        <w:textAlignment w:val="auto"/>
        <w:rPr>
          <w:rFonts w:ascii="Calibri" w:hAnsi="Calibri" w:eastAsia="宋体" w:cs="Times New Roman"/>
          <w:szCs w:val="24"/>
          <w:highlight w:val="none"/>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4CD9E9C">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highlight w:val="none"/>
        </w:rPr>
      </w:pPr>
      <w:r>
        <w:rPr>
          <w:rFonts w:hint="eastAsia" w:hAnsi="黑体"/>
          <w:bCs/>
          <w:color w:val="auto"/>
          <w:sz w:val="28"/>
          <w:szCs w:val="28"/>
          <w:highlight w:val="none"/>
        </w:rPr>
        <w:t>第四部分 名词解释</w:t>
      </w:r>
    </w:p>
    <w:p w14:paraId="116BA87B">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highlight w:val="none"/>
        </w:rPr>
      </w:pPr>
      <w:r>
        <w:rPr>
          <w:rFonts w:hint="eastAsia" w:hAnsi="黑体"/>
          <w:bCs/>
          <w:color w:val="auto"/>
          <w:sz w:val="28"/>
          <w:szCs w:val="28"/>
          <w:highlight w:val="none"/>
        </w:rPr>
        <w:t>第五部分 附件</w:t>
      </w:r>
    </w:p>
    <w:p w14:paraId="651ADDFC">
      <w:pPr>
        <w:pStyle w:val="14"/>
        <w:keepNext w:val="0"/>
        <w:keepLines w:val="0"/>
        <w:pageBreakBefore w:val="0"/>
        <w:widowControl w:val="0"/>
        <w:kinsoku/>
        <w:wordWrap/>
        <w:overflowPunct/>
        <w:topLinePunct w:val="0"/>
        <w:bidi w:val="0"/>
        <w:snapToGrid/>
        <w:spacing w:line="500" w:lineRule="exact"/>
        <w:textAlignment w:val="auto"/>
        <w:rPr>
          <w:rFonts w:hAnsi="黑体"/>
          <w:bCs/>
          <w:color w:val="auto"/>
          <w:sz w:val="28"/>
          <w:szCs w:val="28"/>
          <w:highlight w:val="none"/>
        </w:rPr>
      </w:pPr>
    </w:p>
    <w:p w14:paraId="3FAD95C8">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67BD381D">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07B20F1E">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026F8AB0">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4F3F1F80">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680B6D48">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6D83D018">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5831C618">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666D7081">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1B3A14D0">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525BD9BB">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54A4115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09E2E005">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5336E4AB">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rPr>
        <w:t>华容县北景港镇人民政府概况</w:t>
      </w:r>
    </w:p>
    <w:p w14:paraId="50DD3959">
      <w:pPr>
        <w:keepNext w:val="0"/>
        <w:keepLines w:val="0"/>
        <w:pageBreakBefore w:val="0"/>
        <w:widowControl w:val="0"/>
        <w:kinsoku/>
        <w:wordWrap/>
        <w:overflowPunct/>
        <w:topLinePunct w:val="0"/>
        <w:bidi w:val="0"/>
        <w:snapToGrid/>
        <w:spacing w:line="600" w:lineRule="exact"/>
        <w:textAlignment w:val="auto"/>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一、部门职责</w:t>
      </w:r>
    </w:p>
    <w:p w14:paraId="1EB3134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14:paraId="5C0735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14:paraId="568C19B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14:paraId="1E7BBE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14:paraId="6B0ED7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镇退役军人服务站：负责退役军人就业创业、优抚帮扶、权益保障、数据信息采集、走访慰问等事务性工作。</w:t>
      </w:r>
    </w:p>
    <w:p w14:paraId="77C19B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14:paraId="52FBFC6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14:paraId="374ED283">
      <w:pPr>
        <w:keepNext w:val="0"/>
        <w:keepLines w:val="0"/>
        <w:pageBreakBefore w:val="0"/>
        <w:widowControl w:val="0"/>
        <w:kinsoku/>
        <w:wordWrap/>
        <w:overflowPunct/>
        <w:topLinePunct w:val="0"/>
        <w:bidi w:val="0"/>
        <w:snapToGrid/>
        <w:spacing w:line="600" w:lineRule="exact"/>
        <w:textAlignment w:val="auto"/>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二、机构设置及决算单位构成</w:t>
      </w:r>
    </w:p>
    <w:p w14:paraId="424D82DC">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p>
    <w:p w14:paraId="536CD1F3">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hint="eastAsia" w:ascii="宋体" w:hAnsi="Times New Roman" w:eastAsia="宋体" w:cs="宋体"/>
          <w:sz w:val="32"/>
          <w:szCs w:val="32"/>
          <w:highlight w:val="none"/>
        </w:rPr>
        <w:t>华容县北景港镇人民政府单位内设机构包括：</w:t>
      </w:r>
      <w:r>
        <w:rPr>
          <w:rFonts w:hint="eastAsia" w:ascii="宋体" w:hAnsi="Times New Roman" w:eastAsia="宋体" w:cs="宋体"/>
          <w:sz w:val="32"/>
          <w:szCs w:val="32"/>
          <w:highlight w:val="none"/>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none"/>
        </w:rPr>
        <w:t>。</w:t>
      </w:r>
    </w:p>
    <w:p w14:paraId="36351681">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（二）决算单位构成。</w:t>
      </w:r>
    </w:p>
    <w:p w14:paraId="1491F56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hint="eastAsia" w:ascii="宋体" w:hAnsi="Times New Roman" w:eastAsia="宋体" w:cs="宋体"/>
          <w:sz w:val="32"/>
          <w:szCs w:val="32"/>
          <w:highlight w:val="none"/>
        </w:rPr>
        <w:t>华容县北景港镇人民政府单位2023年部门决算汇总公开单位构成包括：</w:t>
      </w:r>
      <w:r>
        <w:rPr>
          <w:rFonts w:hint="eastAsia" w:ascii="宋体" w:hAnsi="Times New Roman" w:eastAsia="宋体" w:cs="宋体"/>
          <w:sz w:val="32"/>
          <w:szCs w:val="32"/>
          <w:highlight w:val="none"/>
          <w:lang w:val="zh-CN"/>
        </w:rPr>
        <w:t>镇政府机关、镇财政所、镇农业综合服务中心、镇社会事业综合服务中心、镇退役军人服务站、镇综合行政执法大队、镇水利服务站</w:t>
      </w:r>
      <w:r>
        <w:rPr>
          <w:rFonts w:hint="eastAsia" w:ascii="宋体" w:hAnsi="Times New Roman" w:eastAsia="宋体" w:cs="宋体"/>
          <w:sz w:val="32"/>
          <w:szCs w:val="32"/>
          <w:highlight w:val="none"/>
        </w:rPr>
        <w:t>。</w:t>
      </w:r>
    </w:p>
    <w:p w14:paraId="03C09345">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3EEF6722">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19CDDAB3">
      <w:pPr>
        <w:pStyle w:val="14"/>
        <w:keepNext w:val="0"/>
        <w:keepLines w:val="0"/>
        <w:pageBreakBefore w:val="0"/>
        <w:widowControl w:val="0"/>
        <w:kinsoku/>
        <w:wordWrap/>
        <w:overflowPunct/>
        <w:topLinePunct w:val="0"/>
        <w:bidi w:val="0"/>
        <w:snapToGrid/>
        <w:jc w:val="center"/>
        <w:textAlignment w:val="auto"/>
        <w:rPr>
          <w:rFonts w:hAnsi="黑体"/>
          <w:bCs/>
          <w:color w:val="auto"/>
          <w:kern w:val="2"/>
          <w:sz w:val="32"/>
          <w:szCs w:val="32"/>
          <w:highlight w:val="none"/>
        </w:rPr>
      </w:pPr>
      <w:r>
        <w:rPr>
          <w:rFonts w:hint="eastAsia" w:hAnsi="黑体"/>
          <w:bCs/>
          <w:color w:val="auto"/>
          <w:kern w:val="2"/>
          <w:sz w:val="32"/>
          <w:szCs w:val="32"/>
          <w:highlight w:val="none"/>
        </w:rPr>
        <w:t>详见附件表格</w:t>
      </w:r>
    </w:p>
    <w:p w14:paraId="1FDA869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4A0D3AD4">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00626E1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2023年度部门决算情况说明</w:t>
      </w:r>
    </w:p>
    <w:p w14:paraId="1CDE57EE">
      <w:pPr>
        <w:keepNext w:val="0"/>
        <w:keepLines w:val="0"/>
        <w:pageBreakBefore w:val="0"/>
        <w:widowControl w:val="0"/>
        <w:kinsoku/>
        <w:wordWrap/>
        <w:overflowPunct/>
        <w:topLinePunct w:val="0"/>
        <w:bidi w:val="0"/>
        <w:snapToGrid/>
        <w:ind w:firstLine="640" w:firstLineChars="200"/>
        <w:jc w:val="left"/>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一、收入支出决算总体情况说明</w:t>
      </w:r>
    </w:p>
    <w:p w14:paraId="17552C95">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年度收、支总计均为</w:t>
      </w:r>
      <w:r>
        <w:rPr>
          <w:rFonts w:ascii="宋体" w:hAnsi="Times New Roman" w:eastAsia="宋体" w:cs="宋体"/>
          <w:sz w:val="32"/>
          <w:szCs w:val="32"/>
          <w:highlight w:val="none"/>
          <w:lang w:val="zh-CN"/>
        </w:rPr>
        <w:t>3098.58</w:t>
      </w:r>
      <w:r>
        <w:rPr>
          <w:rFonts w:hint="eastAsia" w:ascii="宋体" w:hAnsi="Times New Roman" w:eastAsia="宋体" w:cs="宋体"/>
          <w:sz w:val="32"/>
          <w:szCs w:val="32"/>
          <w:highlight w:val="none"/>
          <w:lang w:val="zh-CN"/>
        </w:rPr>
        <w:t>万元，与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年相比，收、支总计各增加</w:t>
      </w:r>
      <w:r>
        <w:rPr>
          <w:rFonts w:ascii="宋体" w:hAnsi="Times New Roman" w:eastAsia="宋体" w:cs="宋体"/>
          <w:sz w:val="32"/>
          <w:szCs w:val="32"/>
          <w:highlight w:val="none"/>
          <w:lang w:val="zh-CN"/>
        </w:rPr>
        <w:t>400.55</w:t>
      </w:r>
      <w:r>
        <w:rPr>
          <w:rFonts w:hint="eastAsia" w:ascii="宋体" w:hAnsi="Times New Roman" w:eastAsia="宋体" w:cs="宋体"/>
          <w:sz w:val="32"/>
          <w:szCs w:val="32"/>
          <w:highlight w:val="none"/>
          <w:lang w:val="zh-CN"/>
        </w:rPr>
        <w:t>万元，增长</w:t>
      </w:r>
      <w:r>
        <w:rPr>
          <w:rFonts w:ascii="宋体" w:hAnsi="Times New Roman" w:eastAsia="宋体" w:cs="宋体"/>
          <w:sz w:val="32"/>
          <w:szCs w:val="32"/>
          <w:highlight w:val="none"/>
          <w:lang w:val="zh-CN"/>
        </w:rPr>
        <w:t>14.85%</w:t>
      </w:r>
      <w:r>
        <w:rPr>
          <w:rFonts w:hint="eastAsia" w:ascii="宋体" w:hAnsi="Times New Roman" w:eastAsia="宋体" w:cs="宋体"/>
          <w:sz w:val="32"/>
          <w:szCs w:val="32"/>
          <w:highlight w:val="none"/>
          <w:lang w:val="zh-CN"/>
        </w:rPr>
        <w:t>。主要原因是</w:t>
      </w:r>
      <w:r>
        <w:rPr>
          <w:rFonts w:hint="eastAsia" w:ascii="宋体" w:hAnsi="Times New Roman" w:eastAsia="宋体" w:cs="宋体"/>
          <w:sz w:val="32"/>
          <w:szCs w:val="32"/>
          <w:highlight w:val="none"/>
          <w:lang w:val="zh-CN"/>
        </w:rPr>
        <w:t>政府任务增加，财政拨款项目收入支出增加</w:t>
      </w:r>
      <w:r>
        <w:rPr>
          <w:rFonts w:hint="eastAsia" w:ascii="宋体" w:hAnsi="Times New Roman" w:eastAsia="宋体" w:cs="宋体"/>
          <w:sz w:val="32"/>
          <w:szCs w:val="32"/>
          <w:highlight w:val="none"/>
        </w:rPr>
        <w:t>。</w:t>
      </w:r>
    </w:p>
    <w:p w14:paraId="4D581BE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二、收入决算情况说明</w:t>
      </w:r>
    </w:p>
    <w:p w14:paraId="2F9C2B4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年度收入合计</w:t>
      </w:r>
      <w:r>
        <w:rPr>
          <w:rFonts w:ascii="宋体" w:hAnsi="Times New Roman" w:eastAsia="宋体" w:cs="宋体"/>
          <w:sz w:val="32"/>
          <w:szCs w:val="32"/>
          <w:highlight w:val="none"/>
        </w:rPr>
        <w:t>3098.58</w:t>
      </w:r>
      <w:r>
        <w:rPr>
          <w:rFonts w:hint="eastAsia" w:ascii="宋体" w:hAnsi="Times New Roman" w:eastAsia="宋体" w:cs="宋体"/>
          <w:sz w:val="32"/>
          <w:szCs w:val="32"/>
          <w:highlight w:val="none"/>
        </w:rPr>
        <w:t>万元，其中：财政拨款收入</w:t>
      </w:r>
      <w:r>
        <w:rPr>
          <w:rFonts w:ascii="宋体" w:hAnsi="Times New Roman" w:eastAsia="宋体" w:cs="宋体"/>
          <w:sz w:val="32"/>
          <w:szCs w:val="32"/>
          <w:highlight w:val="none"/>
        </w:rPr>
        <w:t>3098.58</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w:t>
      </w:r>
    </w:p>
    <w:p w14:paraId="25EDE847">
      <w:pPr>
        <w:pStyle w:val="14"/>
        <w:keepNext w:val="0"/>
        <w:keepLines w:val="0"/>
        <w:pageBreakBefore w:val="0"/>
        <w:widowControl w:val="0"/>
        <w:kinsoku/>
        <w:wordWrap/>
        <w:overflowPunct/>
        <w:topLinePunct w:val="0"/>
        <w:bidi w:val="0"/>
        <w:snapToGrid/>
        <w:spacing w:line="600" w:lineRule="exact"/>
        <w:ind w:left="420" w:leftChars="200" w:firstLine="160" w:firstLineChars="50"/>
        <w:textAlignment w:val="auto"/>
        <w:rPr>
          <w:rFonts w:hAnsi="黑体"/>
          <w:bCs/>
          <w:color w:val="auto"/>
          <w:sz w:val="32"/>
          <w:szCs w:val="32"/>
          <w:highlight w:val="none"/>
        </w:rPr>
      </w:pPr>
      <w:r>
        <w:rPr>
          <w:rFonts w:hint="eastAsia" w:hAnsi="黑体"/>
          <w:bCs/>
          <w:color w:val="auto"/>
          <w:sz w:val="32"/>
          <w:szCs w:val="32"/>
          <w:highlight w:val="none"/>
        </w:rPr>
        <w:t>三、支出决算情况说明</w:t>
      </w:r>
    </w:p>
    <w:p w14:paraId="2687277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年度支出合计</w:t>
      </w:r>
      <w:r>
        <w:rPr>
          <w:rFonts w:ascii="宋体" w:hAnsi="Times New Roman" w:eastAsia="宋体" w:cs="宋体"/>
          <w:sz w:val="32"/>
          <w:szCs w:val="32"/>
          <w:highlight w:val="none"/>
        </w:rPr>
        <w:t>3098.58</w:t>
      </w:r>
      <w:r>
        <w:rPr>
          <w:rFonts w:hint="eastAsia" w:ascii="宋体" w:hAnsi="Times New Roman" w:eastAsia="宋体" w:cs="宋体"/>
          <w:sz w:val="32"/>
          <w:szCs w:val="32"/>
          <w:highlight w:val="none"/>
        </w:rPr>
        <w:t>万元，其中：基本支出</w:t>
      </w:r>
      <w:r>
        <w:rPr>
          <w:rFonts w:ascii="宋体" w:hAnsi="Times New Roman" w:eastAsia="宋体" w:cs="宋体"/>
          <w:sz w:val="32"/>
          <w:szCs w:val="32"/>
          <w:highlight w:val="none"/>
          <w:lang w:val="zh-CN"/>
        </w:rPr>
        <w:t>1066.55</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占</w:t>
      </w:r>
      <w:r>
        <w:rPr>
          <w:rFonts w:ascii="宋体" w:hAnsi="Times New Roman" w:eastAsia="宋体" w:cs="宋体"/>
          <w:sz w:val="32"/>
          <w:szCs w:val="32"/>
          <w:highlight w:val="none"/>
        </w:rPr>
        <w:t>34.42%</w:t>
      </w:r>
      <w:r>
        <w:rPr>
          <w:rFonts w:hint="eastAsia" w:ascii="宋体" w:hAnsi="Times New Roman" w:eastAsia="宋体" w:cs="宋体"/>
          <w:sz w:val="32"/>
          <w:szCs w:val="32"/>
          <w:highlight w:val="none"/>
        </w:rPr>
        <w:t>；项目支出</w:t>
      </w:r>
      <w:r>
        <w:rPr>
          <w:rFonts w:ascii="宋体" w:hAnsi="Times New Roman" w:eastAsia="宋体" w:cs="宋体"/>
          <w:sz w:val="32"/>
          <w:szCs w:val="32"/>
          <w:highlight w:val="none"/>
        </w:rPr>
        <w:t>2032.0</w:t>
      </w:r>
      <w:r>
        <w:rPr>
          <w:rFonts w:hint="eastAsia" w:ascii="宋体" w:hAnsi="Times New Roman" w:eastAsia="宋体" w:cs="宋体"/>
          <w:sz w:val="32"/>
          <w:szCs w:val="32"/>
          <w:highlight w:val="none"/>
        </w:rPr>
        <w:t>3万元，占</w:t>
      </w:r>
      <w:r>
        <w:rPr>
          <w:rFonts w:ascii="宋体" w:hAnsi="Times New Roman" w:eastAsia="宋体" w:cs="宋体"/>
          <w:sz w:val="32"/>
          <w:szCs w:val="32"/>
          <w:highlight w:val="none"/>
        </w:rPr>
        <w:t>65.58%</w:t>
      </w:r>
      <w:r>
        <w:rPr>
          <w:rFonts w:hint="eastAsia" w:ascii="宋体" w:hAnsi="Times New Roman" w:eastAsia="宋体" w:cs="宋体"/>
          <w:sz w:val="32"/>
          <w:szCs w:val="32"/>
          <w:highlight w:val="none"/>
        </w:rPr>
        <w:t>。</w:t>
      </w:r>
    </w:p>
    <w:p w14:paraId="5527F98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四、财政拨款收入支出决算总体情况说明</w:t>
      </w:r>
    </w:p>
    <w:p w14:paraId="46EB3ACA">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年度财政拨款收、支总计均为</w:t>
      </w:r>
      <w:r>
        <w:rPr>
          <w:rFonts w:ascii="宋体" w:hAnsi="Times New Roman" w:eastAsia="宋体" w:cs="宋体"/>
          <w:sz w:val="32"/>
          <w:szCs w:val="32"/>
          <w:highlight w:val="none"/>
        </w:rPr>
        <w:t>3098.58</w:t>
      </w:r>
      <w:r>
        <w:rPr>
          <w:rFonts w:hint="eastAsia" w:ascii="宋体" w:hAnsi="Times New Roman" w:eastAsia="宋体" w:cs="宋体"/>
          <w:sz w:val="32"/>
          <w:szCs w:val="32"/>
          <w:highlight w:val="none"/>
        </w:rPr>
        <w:t>万元，</w:t>
      </w:r>
      <w:r>
        <w:rPr>
          <w:rFonts w:hint="eastAsia" w:ascii="宋体" w:hAnsi="Times New Roman" w:eastAsia="宋体" w:cs="宋体"/>
          <w:sz w:val="32"/>
          <w:szCs w:val="32"/>
          <w:highlight w:val="none"/>
          <w:lang w:val="zh-CN"/>
        </w:rPr>
        <w:t>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w:t>
      </w:r>
      <w:r>
        <w:rPr>
          <w:rFonts w:hint="eastAsia" w:ascii="宋体" w:hAnsi="Times New Roman" w:eastAsia="宋体" w:cs="宋体"/>
          <w:sz w:val="32"/>
          <w:szCs w:val="32"/>
          <w:highlight w:val="none"/>
        </w:rPr>
        <w:t>财政拨款收、支总计各增加</w:t>
      </w:r>
      <w:r>
        <w:rPr>
          <w:rFonts w:ascii="宋体" w:hAnsi="Times New Roman" w:eastAsia="宋体" w:cs="宋体"/>
          <w:sz w:val="32"/>
          <w:szCs w:val="32"/>
          <w:highlight w:val="none"/>
        </w:rPr>
        <w:t>400.55</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14.85%</w:t>
      </w:r>
      <w:r>
        <w:rPr>
          <w:rFonts w:hint="eastAsia" w:ascii="宋体" w:hAnsi="Times New Roman" w:eastAsia="宋体" w:cs="宋体"/>
          <w:sz w:val="32"/>
          <w:szCs w:val="32"/>
          <w:highlight w:val="none"/>
        </w:rPr>
        <w:t>。</w:t>
      </w:r>
      <w:r>
        <w:rPr>
          <w:rFonts w:hint="eastAsia" w:ascii="宋体" w:hAnsi="Times New Roman" w:eastAsia="宋体" w:cs="宋体"/>
          <w:sz w:val="32"/>
          <w:szCs w:val="32"/>
          <w:highlight w:val="none"/>
          <w:lang w:val="zh-CN"/>
        </w:rPr>
        <w:t>主要原因是</w:t>
      </w:r>
      <w:r>
        <w:rPr>
          <w:rFonts w:hint="eastAsia" w:ascii="宋体" w:hAnsi="Times New Roman" w:eastAsia="宋体" w:cs="宋体"/>
          <w:sz w:val="32"/>
          <w:szCs w:val="32"/>
          <w:highlight w:val="none"/>
          <w:lang w:val="zh-CN"/>
        </w:rPr>
        <w:t>政府任务增加，财政拨款项目收入支出增加</w:t>
      </w:r>
      <w:r>
        <w:rPr>
          <w:rFonts w:hint="eastAsia" w:ascii="宋体" w:hAnsi="Times New Roman" w:eastAsia="宋体" w:cs="宋体"/>
          <w:sz w:val="32"/>
          <w:szCs w:val="32"/>
          <w:highlight w:val="none"/>
        </w:rPr>
        <w:t>。</w:t>
      </w:r>
    </w:p>
    <w:p w14:paraId="4FCA80F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五、一般公共预算财政拨款支出决算情况说明</w:t>
      </w:r>
    </w:p>
    <w:p w14:paraId="1D4282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（一）一般公共预算财政拨款支出决算总体情况</w:t>
      </w:r>
    </w:p>
    <w:p w14:paraId="57D60E8F">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年度财政拨款支出</w:t>
      </w:r>
      <w:r>
        <w:rPr>
          <w:rFonts w:ascii="宋体" w:hAnsi="Times New Roman" w:eastAsia="宋体" w:cs="宋体"/>
          <w:sz w:val="32"/>
          <w:szCs w:val="32"/>
          <w:highlight w:val="none"/>
        </w:rPr>
        <w:t>2800.58</w:t>
      </w:r>
      <w:r>
        <w:rPr>
          <w:rFonts w:hint="eastAsia" w:ascii="宋体" w:hAnsi="Times New Roman" w:eastAsia="宋体" w:cs="宋体"/>
          <w:sz w:val="32"/>
          <w:szCs w:val="32"/>
          <w:highlight w:val="none"/>
        </w:rPr>
        <w:t>万元，占本年支出合计的</w:t>
      </w:r>
      <w:r>
        <w:rPr>
          <w:rFonts w:ascii="宋体" w:hAnsi="Times New Roman" w:eastAsia="宋体" w:cs="宋体"/>
          <w:sz w:val="32"/>
          <w:szCs w:val="32"/>
          <w:highlight w:val="none"/>
        </w:rPr>
        <w:t>90.38%</w:t>
      </w:r>
      <w:r>
        <w:rPr>
          <w:rFonts w:hint="eastAsia" w:ascii="宋体" w:hAnsi="Times New Roman" w:eastAsia="宋体" w:cs="宋体"/>
          <w:sz w:val="32"/>
          <w:szCs w:val="32"/>
          <w:highlight w:val="none"/>
        </w:rPr>
        <w:t>。与</w:t>
      </w:r>
      <w:r>
        <w:rPr>
          <w:rFonts w:ascii="宋体" w:hAnsi="Times New Roman" w:eastAsia="宋体" w:cs="宋体"/>
          <w:sz w:val="32"/>
          <w:szCs w:val="32"/>
          <w:highlight w:val="none"/>
        </w:rPr>
        <w:t>2022</w:t>
      </w:r>
      <w:r>
        <w:rPr>
          <w:rFonts w:hint="eastAsia" w:ascii="宋体" w:hAnsi="Times New Roman" w:eastAsia="宋体" w:cs="宋体"/>
          <w:sz w:val="32"/>
          <w:szCs w:val="32"/>
          <w:highlight w:val="none"/>
        </w:rPr>
        <w:t>年度相比，财政拨款支出增加</w:t>
      </w:r>
      <w:r>
        <w:rPr>
          <w:rFonts w:ascii="宋体" w:hAnsi="Times New Roman" w:eastAsia="宋体" w:cs="宋体"/>
          <w:sz w:val="32"/>
          <w:szCs w:val="32"/>
          <w:highlight w:val="none"/>
        </w:rPr>
        <w:t>145</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5.44%,</w:t>
      </w:r>
      <w:r>
        <w:rPr>
          <w:rFonts w:hint="eastAsia" w:ascii="宋体" w:hAnsi="Times New Roman" w:eastAsia="宋体" w:cs="宋体"/>
          <w:sz w:val="32"/>
          <w:szCs w:val="32"/>
          <w:highlight w:val="none"/>
        </w:rPr>
        <w:t>主要原因是</w:t>
      </w:r>
      <w:r>
        <w:rPr>
          <w:rFonts w:hint="eastAsia" w:ascii="宋体" w:hAnsi="Times New Roman" w:eastAsia="宋体" w:cs="宋体"/>
          <w:sz w:val="32"/>
          <w:szCs w:val="32"/>
          <w:highlight w:val="none"/>
          <w:lang w:val="zh-CN"/>
        </w:rPr>
        <w:t>政府任务增加，财政拨款项目收入支出增加</w:t>
      </w:r>
      <w:r>
        <w:rPr>
          <w:rFonts w:hint="eastAsia" w:ascii="宋体" w:hAnsi="Times New Roman" w:eastAsia="宋体" w:cs="宋体"/>
          <w:sz w:val="32"/>
          <w:szCs w:val="32"/>
          <w:highlight w:val="none"/>
          <w:lang w:val="zh-CN"/>
        </w:rPr>
        <w:t>。</w:t>
      </w:r>
    </w:p>
    <w:p w14:paraId="24B5C8FC">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（二）一般公共预算财政拨款支出决算结构情况</w:t>
      </w:r>
    </w:p>
    <w:p w14:paraId="0DAB3447">
      <w:pPr>
        <w:keepNext w:val="0"/>
        <w:keepLines w:val="0"/>
        <w:pageBreakBefore w:val="0"/>
        <w:widowControl w:val="0"/>
        <w:kinsoku/>
        <w:wordWrap/>
        <w:overflowPunct/>
        <w:topLinePunct w:val="0"/>
        <w:autoSpaceDE w:val="0"/>
        <w:autoSpaceDN w:val="0"/>
        <w:bidi w:val="0"/>
        <w:adjustRightInd w:val="0"/>
        <w:snapToGrid/>
        <w:ind w:firstLine="641"/>
        <w:textAlignment w:val="auto"/>
        <w:rPr>
          <w:rFonts w:ascii="Calibri" w:hAnsi="Calibri" w:eastAsia="宋体" w:cs="Calibri"/>
          <w:szCs w:val="21"/>
          <w:highlight w:val="none"/>
          <w:lang w:val="zh-CN"/>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年度财政拨款支出</w:t>
      </w:r>
      <w:r>
        <w:rPr>
          <w:rFonts w:ascii="宋体" w:hAnsi="Times New Roman" w:eastAsia="宋体" w:cs="宋体"/>
          <w:kern w:val="0"/>
          <w:sz w:val="32"/>
          <w:szCs w:val="32"/>
          <w:highlight w:val="none"/>
        </w:rPr>
        <w:t>2800.58</w:t>
      </w:r>
      <w:r>
        <w:rPr>
          <w:rFonts w:hint="eastAsia" w:ascii="宋体" w:hAnsi="Times New Roman" w:eastAsia="宋体" w:cs="宋体"/>
          <w:kern w:val="0"/>
          <w:sz w:val="32"/>
          <w:szCs w:val="32"/>
          <w:highlight w:val="none"/>
        </w:rPr>
        <w:t>万元，主要用于以下方面：一般公共服务（类）支出</w:t>
      </w:r>
      <w:r>
        <w:rPr>
          <w:rFonts w:ascii="宋体" w:hAnsi="Times New Roman" w:eastAsia="宋体" w:cs="宋体"/>
          <w:kern w:val="0"/>
          <w:sz w:val="32"/>
          <w:szCs w:val="32"/>
          <w:highlight w:val="none"/>
        </w:rPr>
        <w:t>891.87</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31.85%</w:t>
      </w:r>
      <w:r>
        <w:rPr>
          <w:rFonts w:hint="eastAsia" w:ascii="宋体" w:hAnsi="Times New Roman" w:eastAsia="宋体" w:cs="宋体"/>
          <w:kern w:val="0"/>
          <w:sz w:val="32"/>
          <w:szCs w:val="32"/>
          <w:highlight w:val="none"/>
        </w:rPr>
        <w:t>；国防（类）支出</w:t>
      </w:r>
      <w:r>
        <w:rPr>
          <w:rFonts w:ascii="宋体" w:hAnsi="Times New Roman" w:eastAsia="宋体" w:cs="宋体"/>
          <w:kern w:val="0"/>
          <w:sz w:val="32"/>
          <w:szCs w:val="32"/>
          <w:highlight w:val="none"/>
        </w:rPr>
        <w:t>3.5</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0.12%</w:t>
      </w:r>
      <w:r>
        <w:rPr>
          <w:rFonts w:hint="eastAsia" w:ascii="宋体" w:hAnsi="Times New Roman" w:eastAsia="宋体" w:cs="宋体"/>
          <w:kern w:val="0"/>
          <w:sz w:val="32"/>
          <w:szCs w:val="32"/>
          <w:highlight w:val="none"/>
        </w:rPr>
        <w:t>；公共安全（类）支出</w:t>
      </w:r>
      <w:r>
        <w:rPr>
          <w:rFonts w:ascii="宋体" w:hAnsi="Times New Roman" w:eastAsia="宋体" w:cs="宋体"/>
          <w:kern w:val="0"/>
          <w:sz w:val="32"/>
          <w:szCs w:val="32"/>
          <w:highlight w:val="none"/>
        </w:rPr>
        <w:t>1.62</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0.06%</w:t>
      </w:r>
      <w:r>
        <w:rPr>
          <w:rFonts w:hint="eastAsia" w:ascii="宋体" w:hAnsi="Times New Roman" w:eastAsia="宋体" w:cs="宋体"/>
          <w:kern w:val="0"/>
          <w:sz w:val="32"/>
          <w:szCs w:val="32"/>
          <w:highlight w:val="none"/>
        </w:rPr>
        <w:t>；文化旅游体育与传媒（类）支出</w:t>
      </w:r>
      <w:r>
        <w:rPr>
          <w:rFonts w:ascii="宋体" w:hAnsi="Times New Roman" w:eastAsia="宋体" w:cs="宋体"/>
          <w:kern w:val="0"/>
          <w:sz w:val="32"/>
          <w:szCs w:val="32"/>
          <w:highlight w:val="none"/>
        </w:rPr>
        <w:t>25.8</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0.92%</w:t>
      </w:r>
      <w:r>
        <w:rPr>
          <w:rFonts w:hint="eastAsia" w:ascii="宋体" w:hAnsi="Times New Roman" w:eastAsia="宋体" w:cs="宋体"/>
          <w:kern w:val="0"/>
          <w:sz w:val="32"/>
          <w:szCs w:val="32"/>
          <w:highlight w:val="none"/>
        </w:rPr>
        <w:t>；社会保障和就业（类）支出</w:t>
      </w:r>
      <w:r>
        <w:rPr>
          <w:rFonts w:ascii="宋体" w:hAnsi="Times New Roman" w:eastAsia="宋体" w:cs="宋体"/>
          <w:kern w:val="0"/>
          <w:sz w:val="32"/>
          <w:szCs w:val="32"/>
          <w:highlight w:val="none"/>
        </w:rPr>
        <w:t>342.24</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12.22%</w:t>
      </w:r>
      <w:r>
        <w:rPr>
          <w:rFonts w:hint="eastAsia" w:ascii="宋体" w:hAnsi="Times New Roman" w:eastAsia="宋体" w:cs="宋体"/>
          <w:kern w:val="0"/>
          <w:sz w:val="32"/>
          <w:szCs w:val="32"/>
          <w:highlight w:val="none"/>
        </w:rPr>
        <w:t>；节能环保（类）支出</w:t>
      </w:r>
      <w:r>
        <w:rPr>
          <w:rFonts w:ascii="宋体" w:hAnsi="Times New Roman" w:eastAsia="宋体" w:cs="宋体"/>
          <w:kern w:val="0"/>
          <w:sz w:val="32"/>
          <w:szCs w:val="32"/>
          <w:highlight w:val="none"/>
        </w:rPr>
        <w:t>17</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0.61%</w:t>
      </w:r>
      <w:r>
        <w:rPr>
          <w:rFonts w:hint="eastAsia" w:ascii="宋体" w:hAnsi="Times New Roman" w:eastAsia="宋体" w:cs="宋体"/>
          <w:kern w:val="0"/>
          <w:sz w:val="32"/>
          <w:szCs w:val="32"/>
          <w:highlight w:val="none"/>
        </w:rPr>
        <w:t>；城乡社区（类）支出</w:t>
      </w:r>
      <w:r>
        <w:rPr>
          <w:rFonts w:ascii="宋体" w:hAnsi="Times New Roman" w:eastAsia="宋体" w:cs="宋体"/>
          <w:kern w:val="0"/>
          <w:sz w:val="32"/>
          <w:szCs w:val="32"/>
          <w:highlight w:val="none"/>
        </w:rPr>
        <w:t>159.84</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5.71%</w:t>
      </w:r>
      <w:r>
        <w:rPr>
          <w:rFonts w:hint="eastAsia" w:ascii="宋体" w:hAnsi="Times New Roman" w:eastAsia="宋体" w:cs="宋体"/>
          <w:kern w:val="0"/>
          <w:sz w:val="32"/>
          <w:szCs w:val="32"/>
          <w:highlight w:val="none"/>
        </w:rPr>
        <w:t>；农林水（类）支出</w:t>
      </w:r>
      <w:r>
        <w:rPr>
          <w:rFonts w:ascii="宋体" w:hAnsi="Times New Roman" w:eastAsia="宋体" w:cs="宋体"/>
          <w:kern w:val="0"/>
          <w:sz w:val="32"/>
          <w:szCs w:val="32"/>
          <w:highlight w:val="none"/>
        </w:rPr>
        <w:t>1104.34</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39.43%</w:t>
      </w:r>
      <w:r>
        <w:rPr>
          <w:rFonts w:hint="eastAsia" w:ascii="宋体" w:hAnsi="Times New Roman" w:eastAsia="宋体" w:cs="宋体"/>
          <w:kern w:val="0"/>
          <w:sz w:val="32"/>
          <w:szCs w:val="32"/>
          <w:highlight w:val="none"/>
        </w:rPr>
        <w:t>；交通运输（类）支出</w:t>
      </w:r>
      <w:r>
        <w:rPr>
          <w:rFonts w:ascii="宋体" w:hAnsi="Times New Roman" w:eastAsia="宋体" w:cs="宋体"/>
          <w:kern w:val="0"/>
          <w:sz w:val="32"/>
          <w:szCs w:val="32"/>
          <w:highlight w:val="none"/>
        </w:rPr>
        <w:t>10.87</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0.39%</w:t>
      </w:r>
      <w:r>
        <w:rPr>
          <w:rFonts w:hint="eastAsia" w:ascii="宋体" w:hAnsi="Times New Roman" w:eastAsia="宋体" w:cs="宋体"/>
          <w:kern w:val="0"/>
          <w:sz w:val="32"/>
          <w:szCs w:val="32"/>
          <w:highlight w:val="none"/>
        </w:rPr>
        <w:t>；商业服务业等（类）支出</w:t>
      </w:r>
      <w:r>
        <w:rPr>
          <w:rFonts w:ascii="宋体" w:hAnsi="Times New Roman" w:eastAsia="宋体" w:cs="宋体"/>
          <w:kern w:val="0"/>
          <w:sz w:val="32"/>
          <w:szCs w:val="32"/>
          <w:highlight w:val="none"/>
        </w:rPr>
        <w:t>5</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0.18%</w:t>
      </w:r>
      <w:r>
        <w:rPr>
          <w:rFonts w:hint="eastAsia" w:ascii="宋体" w:hAnsi="Times New Roman" w:eastAsia="宋体" w:cs="宋体"/>
          <w:kern w:val="0"/>
          <w:sz w:val="32"/>
          <w:szCs w:val="32"/>
          <w:highlight w:val="none"/>
        </w:rPr>
        <w:t>；然资源海洋气象等（类）支出</w:t>
      </w:r>
      <w:r>
        <w:rPr>
          <w:rFonts w:ascii="宋体" w:hAnsi="Times New Roman" w:eastAsia="宋体" w:cs="宋体"/>
          <w:kern w:val="0"/>
          <w:sz w:val="32"/>
          <w:szCs w:val="32"/>
          <w:highlight w:val="none"/>
        </w:rPr>
        <w:t>39</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1.39%</w:t>
      </w:r>
      <w:r>
        <w:rPr>
          <w:rFonts w:hint="eastAsia" w:ascii="宋体" w:hAnsi="Times New Roman" w:eastAsia="宋体" w:cs="宋体"/>
          <w:kern w:val="0"/>
          <w:sz w:val="32"/>
          <w:szCs w:val="32"/>
          <w:highlight w:val="none"/>
        </w:rPr>
        <w:t>；住房保障（类）支出</w:t>
      </w:r>
      <w:r>
        <w:rPr>
          <w:rFonts w:ascii="宋体" w:hAnsi="Times New Roman" w:eastAsia="宋体" w:cs="宋体"/>
          <w:kern w:val="0"/>
          <w:sz w:val="32"/>
          <w:szCs w:val="32"/>
          <w:highlight w:val="none"/>
        </w:rPr>
        <w:t>100</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3.57%</w:t>
      </w:r>
      <w:r>
        <w:rPr>
          <w:rFonts w:hint="eastAsia" w:ascii="宋体" w:hAnsi="Times New Roman" w:eastAsia="宋体" w:cs="宋体"/>
          <w:kern w:val="0"/>
          <w:sz w:val="32"/>
          <w:szCs w:val="32"/>
          <w:highlight w:val="none"/>
        </w:rPr>
        <w:t>；粮油物资储备（类）支出</w:t>
      </w:r>
      <w:r>
        <w:rPr>
          <w:rFonts w:ascii="宋体" w:hAnsi="Times New Roman" w:eastAsia="宋体" w:cs="宋体"/>
          <w:kern w:val="0"/>
          <w:sz w:val="32"/>
          <w:szCs w:val="32"/>
          <w:highlight w:val="none"/>
        </w:rPr>
        <w:t>83</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2.96%</w:t>
      </w:r>
      <w:r>
        <w:rPr>
          <w:rFonts w:hint="eastAsia" w:ascii="宋体" w:hAnsi="Times New Roman" w:eastAsia="宋体" w:cs="宋体"/>
          <w:kern w:val="0"/>
          <w:sz w:val="32"/>
          <w:szCs w:val="32"/>
          <w:highlight w:val="none"/>
        </w:rPr>
        <w:t>；其他（类）支出</w:t>
      </w:r>
      <w:r>
        <w:rPr>
          <w:rFonts w:ascii="宋体" w:hAnsi="Times New Roman" w:eastAsia="宋体" w:cs="宋体"/>
          <w:kern w:val="0"/>
          <w:sz w:val="32"/>
          <w:szCs w:val="32"/>
          <w:highlight w:val="none"/>
        </w:rPr>
        <w:t>16.5</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0.59%</w:t>
      </w:r>
      <w:r>
        <w:rPr>
          <w:rFonts w:hint="eastAsia" w:ascii="宋体" w:hAnsi="Times New Roman" w:eastAsia="宋体" w:cs="宋体"/>
          <w:kern w:val="0"/>
          <w:sz w:val="32"/>
          <w:szCs w:val="32"/>
          <w:highlight w:val="none"/>
        </w:rPr>
        <w:t>。</w:t>
      </w:r>
    </w:p>
    <w:p w14:paraId="5B1A701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（三）一般公共预算财政拨款支出决算具体情况</w:t>
      </w:r>
    </w:p>
    <w:p w14:paraId="573353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年度财政拨款支出年初预算为</w:t>
      </w:r>
      <w:r>
        <w:rPr>
          <w:rFonts w:ascii="宋体" w:hAnsi="Times New Roman" w:eastAsia="宋体" w:cs="宋体"/>
          <w:color w:val="auto"/>
          <w:sz w:val="32"/>
          <w:szCs w:val="32"/>
          <w:highlight w:val="none"/>
        </w:rPr>
        <w:t>710.87</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2800.58</w:t>
      </w:r>
      <w:r>
        <w:rPr>
          <w:rFonts w:hint="eastAsia" w:ascii="宋体" w:hAnsi="Times New Roman" w:eastAsia="宋体" w:cs="宋体"/>
          <w:color w:val="auto"/>
          <w:sz w:val="32"/>
          <w:szCs w:val="32"/>
          <w:highlight w:val="none"/>
        </w:rPr>
        <w:t>万元，完成年初预算的</w:t>
      </w:r>
      <w:r>
        <w:rPr>
          <w:rFonts w:ascii="宋体" w:hAnsi="Times New Roman" w:eastAsia="宋体" w:cs="宋体"/>
          <w:color w:val="auto"/>
          <w:sz w:val="32"/>
          <w:szCs w:val="32"/>
          <w:highlight w:val="none"/>
        </w:rPr>
        <w:t>393.97%</w:t>
      </w:r>
      <w:r>
        <w:rPr>
          <w:rFonts w:hint="eastAsia" w:ascii="宋体" w:hAnsi="Times New Roman" w:eastAsia="宋体" w:cs="宋体"/>
          <w:color w:val="auto"/>
          <w:sz w:val="32"/>
          <w:szCs w:val="32"/>
          <w:highlight w:val="none"/>
        </w:rPr>
        <w:t>。其中：</w:t>
      </w:r>
    </w:p>
    <w:p w14:paraId="53E1C7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一般公共服务支出（类）人大事务（款）其他人大事务支出（项）。年初预算为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5.8</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31D67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一般公共服务支出（类）政协事务（款）其他政协事务支出（项）。年初预算为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0.36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27977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一般公共服务支出（类）政府办公厅（室）及相关机构事务（款）行政运行（项）。年初预算为</w:t>
      </w:r>
      <w:r>
        <w:rPr>
          <w:rFonts w:ascii="宋体" w:hAnsi="Times New Roman" w:eastAsia="宋体" w:cs="宋体"/>
          <w:color w:val="auto"/>
          <w:sz w:val="32"/>
          <w:szCs w:val="32"/>
          <w:highlight w:val="none"/>
        </w:rPr>
        <w:t>710.87</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818.41</w:t>
      </w:r>
      <w:r>
        <w:rPr>
          <w:rFonts w:hint="eastAsia" w:ascii="宋体" w:hAnsi="Times New Roman" w:eastAsia="宋体" w:cs="宋体"/>
          <w:color w:val="auto"/>
          <w:sz w:val="32"/>
          <w:szCs w:val="32"/>
          <w:highlight w:val="none"/>
        </w:rPr>
        <w:t>万元，完成年初预算的</w:t>
      </w:r>
      <w:r>
        <w:rPr>
          <w:rFonts w:ascii="宋体" w:hAnsi="Times New Roman" w:eastAsia="宋体" w:cs="宋体"/>
          <w:color w:val="auto"/>
          <w:sz w:val="32"/>
          <w:szCs w:val="32"/>
          <w:highlight w:val="none"/>
        </w:rPr>
        <w:t>115.13%</w:t>
      </w:r>
      <w:r>
        <w:rPr>
          <w:rFonts w:hint="eastAsia" w:ascii="宋体" w:hAnsi="Times New Roman" w:eastAsia="宋体" w:cs="宋体"/>
          <w:color w:val="auto"/>
          <w:sz w:val="32"/>
          <w:szCs w:val="32"/>
          <w:highlight w:val="none"/>
        </w:rPr>
        <w:t>。决算数大于预算数的主要原因是业务工作任务增加，调整预算支出，财政追拨经费。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E47F1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一般公共服务支出（类）政府办公厅（室）及相关机构事务（款）信访事务（项）。年初预算为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4</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1727F7A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一般公共服务支出（类）财政事务（款）一般行政管理事务（项）。年初预算为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1C47CBE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一般公共服务支出（类）税收事务（款）其他税收事务支出（项）。年初预算为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39.7</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676BA54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一般公共服务支出（类）党委办公厅（室）及相关机构事务（款）行政运行（项）。年初预算为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6ED79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一般公共服务支出（类）其他共产党事务支出（款）一般行政管理事务（项）。年初预算为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18</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7CFF24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一般公共服务支出（类）其他一般公共服务支出（款）其他一般公共服务支出（项）。年初预算为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C7D4D5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国防支出（类）国防动员（款）其他国防动员支出（项）。年初预算为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738EC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公共安全支出（类）公安（款）其他公安支出（项）。年初预算为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1.62</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38896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文化旅游体育与传媒支出（类）文化和旅游（款）文化活动（项）。年初预算为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8</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3031A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文化旅游体育与传媒支出（类）文化和旅游（款）其他文化和旅游支出（项）。年初预算为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8.8</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41DF2E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文化旅游体育与传媒支出（类）其他文化旅游体育与传媒支出（款）其他文化旅游体育与传媒支出（项）。年初预算为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9</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43B7A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社会保障和就业支出（类）民政管理事务（款）基层政权建设和社区治理（项）。年初预算为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p>
    <w:p w14:paraId="4667E0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Calibri"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社会保障和就业支出（类）抚恤（款）其他优抚支出（项）。年初预算为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27.91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w:t>
      </w:r>
      <w:r>
        <w:rPr>
          <w:rFonts w:hint="eastAsia" w:ascii="宋体" w:hAnsi="Calibri" w:eastAsia="宋体" w:cs="宋体"/>
          <w:color w:val="auto"/>
          <w:sz w:val="32"/>
          <w:szCs w:val="32"/>
          <w:highlight w:val="none"/>
        </w:rPr>
        <w:t>务工作任务增加，调整预算支出，财政追拨经费。</w:t>
      </w:r>
      <w:r>
        <w:rPr>
          <w:rFonts w:ascii="宋体" w:hAnsi="Calibri" w:eastAsia="宋体" w:cs="宋体"/>
          <w:color w:val="auto"/>
          <w:sz w:val="32"/>
          <w:szCs w:val="32"/>
          <w:highlight w:val="none"/>
        </w:rPr>
        <w:t xml:space="preserve">  </w:t>
      </w:r>
    </w:p>
    <w:p w14:paraId="58DE91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社会保障和就业支出（类）社会福利（款）老年福利（项）。年初预算为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46C7E5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社会保障和就业支出（类）残疾人事业（款）行政运行（项）。年初预算为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08A461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社会保障和就业支出（类）残疾人事业（款）残疾人就业（项）。年初预算为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0.56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08751B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社会保障和就业支出（类）临时救助（款）临时救助支出（项）。年初预算为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97.61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5658C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社会保障和就业支出（类）特困人员救助供养（款）城市特困人员救助供养支出（项）。年初预算为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79.86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A48B5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社会保障和就业支出（类）特困人员救助供养（款）农村特困人员救助供养支出（项）。年初预算为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122.11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7644F6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社会保障和就业支出（类）退役军人管理事务（款）其他退役军人事务管理支出（项）。年初预算为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5.2</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9F4CEA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社会保障和就业支出（类）其他社会保障和就业支出（款）其他社会保障和就业支出（项）。年初预算为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4B446D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节能环保支出（类）自然生态保护（款）农村环境保护（项）。年初预算为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p>
    <w:p w14:paraId="451DFC0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节能环保支出（类）自然生态保护（款）其他自然生态保护支出（项）。年初预算为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520913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城乡社区支出（类）城乡社区管理事务（款）其他城乡社区管理事务支出（项）。年初预算为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90</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0E089C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城乡社区支出（类）城乡社区公共设施（款）小城镇基础设施建设（项）。年初预算为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43C4F54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城乡社区支出（类）城乡社区公共设施（款）其他城乡社区公共设施支出（项）。年初预算为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13.84</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4027340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农林水支出（类）农业农村（款）科技转化与推广服务（项）。年初预算为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AA2A2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农林水支出（类）农业农村（款）病虫害控制（项）。年初预算为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4</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BDC78A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农林水支出（类）农业农村（款）防灾救灾（项）。年初预算为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35.9</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73AE4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农林水支出（类）农业农村（款）农村社会事业（项）。年初预算为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86.51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703AD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农林水支出（类）农业农村（款）其他农业农村支出（项）。年初预算为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17</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73C405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农林水支出（类）林业和草原（款）一般行政管理事务（项）。年初预算为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4D784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农林水支出（类）林业和草原（款）林业草原防灾减灾（项）。年初预算为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3.87</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6FFB01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农林水支出（类）水利（款）行政运行（项）。年初预算为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91.5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1B791C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农林水支出（类）水利（款）水利工程建设（项）。年初预算为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34</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EB322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农林水支出（类）水利（款）水利工程运行与维护（项）。年初预算为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5.26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1F9B8D5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农林水支出（类）水利（款）抗旱（项）。年初预算为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17.33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820A5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农林水支出（类）水利（款）大中型水库移民后期扶持专项支出（项）。年初预算为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8</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7FCB47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农林水支出（类）水利（款）其他水利支出（项）。年初预算为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10</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FF40F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农林水支出（类）巩固脱贫攻坚成果衔接乡村振兴（款）其他巩固脱贫衔接乡村振兴支出（项）。年初预算为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254.83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7A3741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农林水支出（类）农村综合改革（款）对村级公益事业建设的补助（项）。年初预算为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50</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6939C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农林水支出（类）农村综合改革（款）对村民委员会和村党支部的补助（项）。年初预算为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325.25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B9C77B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农林水支出（类）目标价格补贴（款）棉花目标价格补贴（项）。年初预算为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90.9</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57530F6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农林水支出（类）其他农林水支出（款）其他农林水支出（项）。年初预算为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63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4333715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交通运输支出（类）公路水路运输（款）公路养护（项）。年初预算为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10.87</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37EFC5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商业服务业等支出（类）商业流通事务（款）其他商业流通事务支出（项）。年初预算为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6E17119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自然资源海洋气象等支出（类）自然资源事务（款）行政运行（项）。年初预算为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623BB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自然资源海洋气象等支出（类）自然资源事务（款）自然资源利用与保护（项）。年初预算为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27A7868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住房保障支出（类）保障性安居工程支出（款）其他保障性安居工程支出（项）。年初预算为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100</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11D5CE2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粮油物资储备支出（类）粮油物资事务（款）其他粮油物资事务支出（项）。年初预算为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83</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ascii="宋体" w:hAnsi="Times New Roman" w:eastAsia="宋体" w:cs="宋体"/>
          <w:color w:val="auto"/>
          <w:sz w:val="32"/>
          <w:szCs w:val="32"/>
          <w:highlight w:val="none"/>
        </w:rPr>
        <w:t xml:space="preserve">  </w:t>
      </w:r>
    </w:p>
    <w:p w14:paraId="0DE1D30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Calibri" w:eastAsia="宋体" w:cs="宋体"/>
          <w:color w:val="auto"/>
          <w:sz w:val="32"/>
          <w:szCs w:val="32"/>
          <w:highlight w:val="none"/>
        </w:rPr>
      </w:pPr>
      <w:r>
        <w:rPr>
          <w:rFonts w:hint="eastAsia" w:ascii="宋体" w:hAnsi="Times New Roman" w:eastAsia="宋体" w:cs="宋体"/>
          <w:color w:val="auto"/>
          <w:sz w:val="32"/>
          <w:szCs w:val="32"/>
          <w:highlight w:val="none"/>
        </w:rPr>
        <w:t>其他支出（类）其他支出（款）其他支出（项）。年初预算为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16.5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，无法计算百分比。决算数大于预算数的主要原因是业务工作任务增加，调整预算支出，财政追拨经费</w:t>
      </w:r>
      <w:r>
        <w:rPr>
          <w:rFonts w:hint="eastAsia" w:ascii="宋体" w:cs="宋体"/>
          <w:color w:val="auto"/>
          <w:sz w:val="32"/>
          <w:szCs w:val="32"/>
          <w:highlight w:val="none"/>
        </w:rPr>
        <w:t>。</w:t>
      </w:r>
      <w:r>
        <w:rPr>
          <w:rFonts w:ascii="宋体" w:hAnsi="Calibri" w:eastAsia="宋体" w:cs="宋体"/>
          <w:color w:val="auto"/>
          <w:sz w:val="32"/>
          <w:szCs w:val="32"/>
          <w:highlight w:val="none"/>
        </w:rPr>
        <w:t xml:space="preserve">  </w:t>
      </w:r>
    </w:p>
    <w:p w14:paraId="49D36A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六、一般公共预算财政拨款基本支出决算情况说明</w:t>
      </w:r>
    </w:p>
    <w:p w14:paraId="6D5BCD90">
      <w:pPr>
        <w:keepNext w:val="0"/>
        <w:keepLines w:val="0"/>
        <w:pageBreakBefore w:val="0"/>
        <w:widowControl w:val="0"/>
        <w:kinsoku/>
        <w:wordWrap/>
        <w:overflowPunct/>
        <w:topLinePunct w:val="0"/>
        <w:autoSpaceDE w:val="0"/>
        <w:autoSpaceDN w:val="0"/>
        <w:bidi w:val="0"/>
        <w:adjustRightInd w:val="0"/>
        <w:snapToGrid/>
        <w:ind w:firstLine="640"/>
        <w:jc w:val="left"/>
        <w:textAlignment w:val="auto"/>
        <w:rPr>
          <w:rFonts w:ascii="宋体" w:hAnsi="Times New Roman" w:eastAsia="宋体" w:cs="宋体"/>
          <w:kern w:val="0"/>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w:t>
      </w:r>
      <w:r>
        <w:rPr>
          <w:rFonts w:hint="eastAsia" w:ascii="宋体" w:hAnsi="Times New Roman" w:eastAsia="宋体" w:cs="宋体"/>
          <w:kern w:val="0"/>
          <w:sz w:val="32"/>
          <w:szCs w:val="32"/>
          <w:highlight w:val="none"/>
        </w:rPr>
        <w:t>财政拨款基本支出</w:t>
      </w:r>
      <w:r>
        <w:rPr>
          <w:rFonts w:ascii="宋体" w:hAnsi="Times New Roman" w:eastAsia="宋体" w:cs="宋体"/>
          <w:kern w:val="0"/>
          <w:sz w:val="32"/>
          <w:szCs w:val="32"/>
          <w:highlight w:val="none"/>
        </w:rPr>
        <w:t>1066.55</w:t>
      </w:r>
      <w:r>
        <w:rPr>
          <w:rFonts w:hint="eastAsia" w:ascii="宋体" w:hAnsi="Times New Roman" w:eastAsia="宋体" w:cs="宋体"/>
          <w:kern w:val="0"/>
          <w:sz w:val="32"/>
          <w:szCs w:val="32"/>
          <w:highlight w:val="none"/>
        </w:rPr>
        <w:t>万元，其中</w:t>
      </w:r>
      <w:r>
        <w:rPr>
          <w:rFonts w:ascii="宋体" w:hAnsi="Times New Roman" w:eastAsia="宋体" w:cs="宋体"/>
          <w:kern w:val="0"/>
          <w:sz w:val="32"/>
          <w:szCs w:val="32"/>
          <w:highlight w:val="none"/>
        </w:rPr>
        <w:t>:</w:t>
      </w:r>
    </w:p>
    <w:p w14:paraId="2684E539">
      <w:pPr>
        <w:keepNext w:val="0"/>
        <w:keepLines w:val="0"/>
        <w:pageBreakBefore w:val="0"/>
        <w:widowControl w:val="0"/>
        <w:kinsoku/>
        <w:wordWrap/>
        <w:overflowPunct/>
        <w:topLinePunct w:val="0"/>
        <w:autoSpaceDE w:val="0"/>
        <w:autoSpaceDN w:val="0"/>
        <w:bidi w:val="0"/>
        <w:adjustRightInd w:val="0"/>
        <w:snapToGrid/>
        <w:ind w:firstLine="643"/>
        <w:jc w:val="left"/>
        <w:textAlignment w:val="auto"/>
        <w:rPr>
          <w:rFonts w:ascii="宋体" w:hAnsi="Times New Roman" w:eastAsia="宋体" w:cs="宋体"/>
          <w:kern w:val="0"/>
          <w:sz w:val="32"/>
          <w:szCs w:val="32"/>
          <w:highlight w:val="none"/>
          <w:lang w:val="zh-CN"/>
        </w:rPr>
      </w:pPr>
      <w:r>
        <w:rPr>
          <w:rFonts w:hint="eastAsia" w:ascii="宋体" w:hAnsi="Times New Roman" w:eastAsia="宋体" w:cs="宋体"/>
          <w:b/>
          <w:bCs/>
          <w:kern w:val="0"/>
          <w:sz w:val="32"/>
          <w:szCs w:val="32"/>
          <w:highlight w:val="none"/>
        </w:rPr>
        <w:t>人员经费</w:t>
      </w:r>
      <w:r>
        <w:rPr>
          <w:rFonts w:ascii="宋体" w:hAnsi="Times New Roman" w:eastAsia="宋体" w:cs="宋体"/>
          <w:kern w:val="0"/>
          <w:sz w:val="32"/>
          <w:szCs w:val="32"/>
          <w:highlight w:val="none"/>
        </w:rPr>
        <w:t>758.78</w:t>
      </w:r>
      <w:r>
        <w:rPr>
          <w:rFonts w:hint="eastAsia" w:ascii="宋体" w:hAnsi="Times New Roman" w:eastAsia="宋体" w:cs="宋体"/>
          <w:kern w:val="0"/>
          <w:sz w:val="32"/>
          <w:szCs w:val="32"/>
          <w:highlight w:val="none"/>
        </w:rPr>
        <w:t>万元，</w:t>
      </w:r>
      <w:r>
        <w:rPr>
          <w:rFonts w:hint="eastAsia" w:ascii="宋体" w:hAnsi="Times New Roman" w:eastAsia="宋体" w:cs="宋体"/>
          <w:sz w:val="32"/>
          <w:szCs w:val="32"/>
          <w:highlight w:val="none"/>
          <w:lang w:val="zh-CN"/>
        </w:rPr>
        <w:t>占基本支出的</w:t>
      </w:r>
      <w:r>
        <w:rPr>
          <w:rFonts w:ascii="宋体" w:hAnsi="Times New Roman" w:eastAsia="宋体" w:cs="宋体"/>
          <w:kern w:val="0"/>
          <w:sz w:val="32"/>
          <w:szCs w:val="32"/>
          <w:highlight w:val="none"/>
        </w:rPr>
        <w:t>71.14%</w:t>
      </w:r>
      <w:r>
        <w:rPr>
          <w:rFonts w:hint="eastAsia" w:ascii="宋体" w:hAnsi="Times New Roman" w:eastAsia="宋体" w:cs="宋体"/>
          <w:kern w:val="0"/>
          <w:sz w:val="32"/>
          <w:szCs w:val="32"/>
          <w:highlight w:val="none"/>
        </w:rPr>
        <w:t>，主要包括基本工资、津贴补贴、</w:t>
      </w:r>
      <w:r>
        <w:rPr>
          <w:rFonts w:hint="eastAsia" w:ascii="宋体" w:hAnsi="Times New Roman" w:eastAsia="宋体" w:cs="宋体"/>
          <w:kern w:val="0"/>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570EB9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ascii="宋体" w:hAnsi="Times New Roman" w:eastAsia="宋体" w:cs="宋体"/>
          <w:b/>
          <w:bCs/>
          <w:color w:val="auto"/>
          <w:sz w:val="32"/>
          <w:szCs w:val="32"/>
          <w:highlight w:val="none"/>
        </w:rPr>
        <w:t>公用经费</w:t>
      </w:r>
      <w:r>
        <w:rPr>
          <w:rFonts w:ascii="宋体" w:hAnsi="Times New Roman" w:eastAsia="宋体" w:cs="宋体"/>
          <w:color w:val="auto"/>
          <w:sz w:val="32"/>
          <w:szCs w:val="32"/>
          <w:highlight w:val="none"/>
        </w:rPr>
        <w:t>307.77</w:t>
      </w:r>
      <w:r>
        <w:rPr>
          <w:rFonts w:hint="eastAsia" w:ascii="宋体" w:hAnsi="Times New Roman" w:eastAsia="宋体" w:cs="宋体"/>
          <w:color w:val="auto"/>
          <w:sz w:val="32"/>
          <w:szCs w:val="32"/>
          <w:highlight w:val="none"/>
        </w:rPr>
        <w:t>万元，</w:t>
      </w:r>
      <w:r>
        <w:rPr>
          <w:rFonts w:hint="eastAsia" w:ascii="宋体" w:hAnsi="Times New Roman" w:eastAsia="宋体" w:cs="宋体"/>
          <w:color w:val="auto"/>
          <w:sz w:val="32"/>
          <w:szCs w:val="32"/>
          <w:highlight w:val="none"/>
          <w:lang w:val="zh-CN"/>
        </w:rPr>
        <w:t>占基本支出的</w:t>
      </w:r>
      <w:r>
        <w:rPr>
          <w:rFonts w:ascii="宋体" w:hAnsi="Times New Roman" w:eastAsia="宋体" w:cs="宋体"/>
          <w:color w:val="auto"/>
          <w:sz w:val="32"/>
          <w:szCs w:val="32"/>
          <w:highlight w:val="none"/>
        </w:rPr>
        <w:t>28.86%</w:t>
      </w:r>
      <w:r>
        <w:rPr>
          <w:rFonts w:hint="eastAsia" w:ascii="宋体" w:hAnsi="Times New Roman" w:eastAsia="宋体" w:cs="宋体"/>
          <w:color w:val="auto"/>
          <w:sz w:val="32"/>
          <w:szCs w:val="32"/>
          <w:highlight w:val="non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6B522F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highlight w:val="none"/>
        </w:rPr>
      </w:pPr>
      <w:r>
        <w:rPr>
          <w:rFonts w:hint="eastAsia" w:hAnsi="黑体"/>
          <w:bCs/>
          <w:color w:val="auto"/>
          <w:sz w:val="32"/>
          <w:szCs w:val="32"/>
          <w:highlight w:val="none"/>
        </w:rPr>
        <w:t>七、财政拨款三公经费支出决算情况说明</w:t>
      </w:r>
    </w:p>
    <w:p w14:paraId="75112E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（一）“三公”经费财政拨款支出决算总体情况说明</w:t>
      </w:r>
    </w:p>
    <w:p w14:paraId="5965E301">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三公</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经费财政拨款支出预算为</w:t>
      </w:r>
      <w:r>
        <w:rPr>
          <w:rFonts w:ascii="宋体" w:hAnsi="Times New Roman" w:eastAsia="宋体" w:cs="宋体"/>
          <w:sz w:val="32"/>
          <w:szCs w:val="32"/>
          <w:highlight w:val="none"/>
          <w:lang w:val="zh-CN"/>
        </w:rPr>
        <w:t>5.3</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万元，完成预算的</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，与上年相比减少</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万元，减少</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。其中：</w:t>
      </w:r>
    </w:p>
    <w:p w14:paraId="5B3F238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rPr>
        <w:t>因公出国（境）费支出预算为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w:t>
      </w:r>
      <w:r>
        <w:rPr>
          <w:rFonts w:hint="eastAsia" w:ascii="宋体" w:hAnsi="Calibri" w:eastAsia="宋体" w:cs="宋体"/>
          <w:sz w:val="32"/>
          <w:szCs w:val="32"/>
          <w:highlight w:val="none"/>
        </w:rPr>
        <w:t>由于预算为</w:t>
      </w:r>
      <w:r>
        <w:rPr>
          <w:rFonts w:ascii="宋体" w:hAnsi="Calibri" w:eastAsia="宋体" w:cs="宋体"/>
          <w:sz w:val="32"/>
          <w:szCs w:val="32"/>
          <w:highlight w:val="none"/>
        </w:rPr>
        <w:t>0</w:t>
      </w:r>
      <w:r>
        <w:rPr>
          <w:rFonts w:hint="eastAsia" w:ascii="宋体" w:hAnsi="Calibri" w:eastAsia="宋体" w:cs="宋体"/>
          <w:sz w:val="32"/>
          <w:szCs w:val="32"/>
          <w:highlight w:val="none"/>
        </w:rPr>
        <w:t>，无法计算百分比</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w:t>
      </w:r>
      <w:r>
        <w:rPr>
          <w:rFonts w:ascii="宋体" w:hAnsi="Times New Roman" w:eastAsia="宋体" w:cs="宋体"/>
          <w:sz w:val="32"/>
          <w:szCs w:val="32"/>
          <w:highlight w:val="none"/>
          <w:lang w:val="zh-CN"/>
        </w:rPr>
        <w:t xml:space="preserve">   </w:t>
      </w:r>
    </w:p>
    <w:p w14:paraId="52F3213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lang w:val="zh-CN"/>
        </w:rPr>
        <w:t>公务接待费支出预算为</w:t>
      </w:r>
      <w:r>
        <w:rPr>
          <w:rFonts w:ascii="宋体" w:hAnsi="Times New Roman" w:eastAsia="宋体" w:cs="宋体"/>
          <w:sz w:val="32"/>
          <w:szCs w:val="32"/>
          <w:highlight w:val="none"/>
          <w:lang w:val="zh-CN"/>
        </w:rPr>
        <w:t>5.3</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万元，完成预算的</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w:t>
      </w:r>
      <w:r>
        <w:rPr>
          <w:rFonts w:hint="eastAsia" w:ascii="宋体" w:hAnsi="Times New Roman" w:eastAsia="宋体" w:cs="宋体"/>
          <w:sz w:val="32"/>
          <w:szCs w:val="32"/>
          <w:highlight w:val="none"/>
          <w:lang w:val="en-US" w:eastAsia="zh-CN"/>
        </w:rPr>
        <w:t>主要原因是认真贯彻落实中央“八项规定”精神和厉行节约要求，从严控制“三公”经费开支，全年实际支出比预算有所节约。</w:t>
      </w:r>
      <w:r>
        <w:rPr>
          <w:rFonts w:hint="eastAsia" w:ascii="宋体" w:hAnsi="Times New Roman" w:eastAsia="宋体" w:cs="宋体"/>
          <w:sz w:val="32"/>
          <w:szCs w:val="32"/>
          <w:highlight w:val="none"/>
          <w:lang w:val="zh-CN"/>
        </w:rPr>
        <w:t>与上年相比减少</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万元，减少</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w:t>
      </w:r>
      <w:r>
        <w:rPr>
          <w:rFonts w:ascii="宋体" w:hAnsi="Times New Roman" w:eastAsia="宋体" w:cs="宋体"/>
          <w:sz w:val="32"/>
          <w:szCs w:val="32"/>
          <w:highlight w:val="none"/>
          <w:lang w:val="zh-CN"/>
        </w:rPr>
        <w:t xml:space="preserve">   </w:t>
      </w:r>
    </w:p>
    <w:p w14:paraId="484C255C">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Times New Roman" w:hAnsi="Times New Roman" w:eastAsia="宋体" w:cs="Times New Roman"/>
          <w:szCs w:val="21"/>
          <w:highlight w:val="none"/>
        </w:rPr>
      </w:pPr>
      <w:r>
        <w:rPr>
          <w:rFonts w:hint="eastAsia" w:ascii="宋体" w:hAnsi="Times New Roman" w:eastAsia="宋体" w:cs="宋体"/>
          <w:sz w:val="32"/>
          <w:szCs w:val="32"/>
          <w:highlight w:val="none"/>
        </w:rPr>
        <w:t>公务用车购置费支出预算为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w:t>
      </w:r>
      <w:r>
        <w:rPr>
          <w:rFonts w:hint="eastAsia" w:ascii="宋体" w:hAnsi="Calibri" w:eastAsia="宋体" w:cs="宋体"/>
          <w:sz w:val="32"/>
          <w:szCs w:val="32"/>
          <w:highlight w:val="none"/>
        </w:rPr>
        <w:t>由于预算为</w:t>
      </w:r>
      <w:r>
        <w:rPr>
          <w:rFonts w:ascii="宋体" w:hAnsi="Calibri" w:eastAsia="宋体" w:cs="宋体"/>
          <w:sz w:val="32"/>
          <w:szCs w:val="32"/>
          <w:highlight w:val="none"/>
        </w:rPr>
        <w:t>0</w:t>
      </w:r>
      <w:r>
        <w:rPr>
          <w:rFonts w:hint="eastAsia" w:ascii="宋体" w:hAnsi="Calibri" w:eastAsia="宋体" w:cs="宋体"/>
          <w:sz w:val="32"/>
          <w:szCs w:val="32"/>
          <w:highlight w:val="none"/>
        </w:rPr>
        <w:t>，无法计算百分比</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w:t>
      </w:r>
      <w:r>
        <w:rPr>
          <w:rFonts w:ascii="宋体" w:hAnsi="Times New Roman" w:eastAsia="宋体" w:cs="宋体"/>
          <w:sz w:val="32"/>
          <w:szCs w:val="32"/>
          <w:highlight w:val="none"/>
          <w:lang w:val="zh-CN"/>
        </w:rPr>
        <w:t xml:space="preserve">   </w:t>
      </w:r>
    </w:p>
    <w:p w14:paraId="48AA655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公务用车购置费及运行维护费支出预算为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w:t>
      </w:r>
      <w:r>
        <w:rPr>
          <w:rFonts w:hint="eastAsia" w:ascii="宋体" w:hAnsi="Calibri" w:eastAsia="宋体" w:cs="宋体"/>
          <w:color w:val="auto"/>
          <w:sz w:val="32"/>
          <w:szCs w:val="32"/>
          <w:highlight w:val="none"/>
        </w:rPr>
        <w:t>由于预算为</w:t>
      </w:r>
      <w:r>
        <w:rPr>
          <w:rFonts w:ascii="宋体" w:hAnsi="Calibri" w:eastAsia="宋体" w:cs="宋体"/>
          <w:color w:val="auto"/>
          <w:sz w:val="32"/>
          <w:szCs w:val="32"/>
          <w:highlight w:val="none"/>
        </w:rPr>
        <w:t>0</w:t>
      </w:r>
      <w:r>
        <w:rPr>
          <w:rFonts w:hint="eastAsia" w:ascii="宋体" w:hAnsi="Calibri" w:eastAsia="宋体" w:cs="宋体"/>
          <w:color w:val="auto"/>
          <w:sz w:val="32"/>
          <w:szCs w:val="32"/>
          <w:highlight w:val="none"/>
        </w:rPr>
        <w:t>，无法计算百分比</w:t>
      </w:r>
      <w:r>
        <w:rPr>
          <w:rFonts w:hint="eastAsia" w:ascii="宋体" w:hAnsi="Times New Roman" w:eastAsia="宋体" w:cs="宋体"/>
          <w:color w:val="auto"/>
          <w:sz w:val="32"/>
          <w:szCs w:val="32"/>
          <w:highlight w:val="none"/>
        </w:rPr>
        <w:t>，与上年相比减少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w:t>
      </w:r>
    </w:p>
    <w:p w14:paraId="2F8CB3D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（二）“三公”经费财政拨款支出决算具体情况说明</w:t>
      </w:r>
    </w:p>
    <w:p w14:paraId="72EA26A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2023</w:t>
      </w:r>
      <w:r>
        <w:rPr>
          <w:rFonts w:hint="eastAsia" w:ascii="宋体" w:hAnsi="Times New Roman" w:eastAsia="宋体" w:cs="宋体"/>
          <w:kern w:val="0"/>
          <w:sz w:val="32"/>
          <w:szCs w:val="32"/>
          <w:highlight w:val="none"/>
          <w:lang w:val="zh-CN"/>
        </w:rPr>
        <w:t>年度</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三公</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经费财政拨款支出决算中，因公出国（境）费支出决算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；公务接待费支出决算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；公务用车购置费及运行维护费支出决算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w:t>
      </w:r>
    </w:p>
    <w:p w14:paraId="3448E29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1</w:t>
      </w:r>
      <w:r>
        <w:rPr>
          <w:rFonts w:hint="eastAsia" w:ascii="宋体" w:hAnsi="Times New Roman" w:eastAsia="宋体" w:cs="宋体"/>
          <w:kern w:val="0"/>
          <w:sz w:val="32"/>
          <w:szCs w:val="32"/>
          <w:highlight w:val="none"/>
          <w:lang w:val="zh-CN"/>
        </w:rPr>
        <w:t>、因公出国（境）费支出决算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万元，全年安排因公出国（境）团组</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个，累计</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人次。</w:t>
      </w:r>
    </w:p>
    <w:p w14:paraId="47F962EC">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w:t>
      </w:r>
      <w:r>
        <w:rPr>
          <w:rFonts w:hint="eastAsia" w:ascii="宋体" w:hAnsi="Times New Roman" w:eastAsia="宋体" w:cs="宋体"/>
          <w:kern w:val="0"/>
          <w:sz w:val="32"/>
          <w:szCs w:val="32"/>
          <w:highlight w:val="none"/>
          <w:lang w:val="zh-CN"/>
        </w:rPr>
        <w:t>、公务接待费支出决算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万元，全年共接待来访团组</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个、来宾</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人次。</w:t>
      </w:r>
    </w:p>
    <w:p w14:paraId="5AD730D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lang w:val="zh-CN"/>
        </w:rPr>
        <w:t xml:space="preserve"> 3</w:t>
      </w:r>
      <w:r>
        <w:rPr>
          <w:rFonts w:hint="eastAsia" w:ascii="宋体" w:hAnsi="Times New Roman" w:eastAsia="宋体" w:cs="宋体"/>
          <w:color w:val="auto"/>
          <w:sz w:val="32"/>
          <w:szCs w:val="32"/>
          <w:highlight w:val="none"/>
          <w:lang w:val="zh-CN"/>
        </w:rPr>
        <w:t>、公务用车购置费及运行维护费支出决算</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万元，其中：公务用车购置费</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万元，更新公务用车</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辆。公务用车运行维护费</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元，截止</w:t>
      </w:r>
      <w:r>
        <w:rPr>
          <w:rFonts w:ascii="宋体" w:hAnsi="Times New Roman" w:eastAsia="宋体" w:cs="宋体"/>
          <w:color w:val="auto"/>
          <w:sz w:val="32"/>
          <w:szCs w:val="32"/>
          <w:highlight w:val="none"/>
          <w:lang w:val="zh-CN"/>
        </w:rPr>
        <w:t>2023</w:t>
      </w:r>
      <w:r>
        <w:rPr>
          <w:rFonts w:hint="eastAsia" w:ascii="宋体" w:hAnsi="Times New Roman" w:eastAsia="宋体" w:cs="宋体"/>
          <w:color w:val="auto"/>
          <w:sz w:val="32"/>
          <w:szCs w:val="32"/>
          <w:highlight w:val="none"/>
          <w:lang w:val="zh-CN"/>
        </w:rPr>
        <w:t>年</w:t>
      </w:r>
      <w:r>
        <w:rPr>
          <w:rFonts w:ascii="宋体" w:hAnsi="Times New Roman" w:eastAsia="宋体" w:cs="宋体"/>
          <w:color w:val="auto"/>
          <w:sz w:val="32"/>
          <w:szCs w:val="32"/>
          <w:highlight w:val="none"/>
          <w:lang w:val="zh-CN"/>
        </w:rPr>
        <w:t>12</w:t>
      </w:r>
      <w:r>
        <w:rPr>
          <w:rFonts w:hint="eastAsia" w:ascii="宋体" w:hAnsi="Times New Roman" w:eastAsia="宋体" w:cs="宋体"/>
          <w:color w:val="auto"/>
          <w:sz w:val="32"/>
          <w:szCs w:val="32"/>
          <w:highlight w:val="none"/>
          <w:lang w:val="zh-CN"/>
        </w:rPr>
        <w:t>月</w:t>
      </w:r>
      <w:r>
        <w:rPr>
          <w:rFonts w:ascii="宋体" w:hAnsi="Times New Roman" w:eastAsia="宋体" w:cs="宋体"/>
          <w:color w:val="auto"/>
          <w:sz w:val="32"/>
          <w:szCs w:val="32"/>
          <w:highlight w:val="none"/>
          <w:lang w:val="zh-CN"/>
        </w:rPr>
        <w:t>31</w:t>
      </w:r>
      <w:r>
        <w:rPr>
          <w:rFonts w:hint="eastAsia" w:ascii="宋体" w:hAnsi="Times New Roman" w:eastAsia="宋体" w:cs="宋体"/>
          <w:color w:val="auto"/>
          <w:sz w:val="32"/>
          <w:szCs w:val="32"/>
          <w:highlight w:val="none"/>
          <w:lang w:val="zh-CN"/>
        </w:rPr>
        <w:t>日，我单位开支财政拨款的公务用车保有量为</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w:t>
      </w:r>
      <w:r>
        <w:rPr>
          <w:rFonts w:hint="eastAsia" w:ascii="宋体" w:hAnsi="Times New Roman" w:eastAsia="宋体" w:cs="宋体"/>
          <w:color w:val="auto"/>
          <w:sz w:val="32"/>
          <w:szCs w:val="32"/>
          <w:highlight w:val="none"/>
        </w:rPr>
        <w:t>。</w:t>
      </w:r>
    </w:p>
    <w:p w14:paraId="595CEF1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八、政府性基金预算收入支出决算情况</w:t>
      </w:r>
    </w:p>
    <w:p w14:paraId="6301176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lang w:val="zh-CN"/>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年政府性基金预算财政拨款收入</w:t>
      </w:r>
      <w:r>
        <w:rPr>
          <w:rFonts w:ascii="宋体" w:hAnsi="Times New Roman" w:eastAsia="宋体" w:cs="宋体"/>
          <w:sz w:val="32"/>
          <w:szCs w:val="32"/>
          <w:highlight w:val="none"/>
          <w:lang w:val="zh-CN"/>
        </w:rPr>
        <w:t>298</w:t>
      </w:r>
      <w:r>
        <w:rPr>
          <w:rFonts w:hint="eastAsia" w:ascii="宋体" w:hAnsi="Times New Roman" w:eastAsia="宋体" w:cs="宋体"/>
          <w:sz w:val="32"/>
          <w:szCs w:val="32"/>
          <w:highlight w:val="none"/>
          <w:lang w:val="zh-CN"/>
        </w:rPr>
        <w:t>元万元，年初结转和结余</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本年支出</w:t>
      </w:r>
      <w:r>
        <w:rPr>
          <w:rFonts w:ascii="宋体" w:hAnsi="Times New Roman" w:eastAsia="宋体" w:cs="宋体"/>
          <w:sz w:val="32"/>
          <w:szCs w:val="32"/>
          <w:highlight w:val="none"/>
          <w:lang w:val="zh-CN"/>
        </w:rPr>
        <w:t>298</w:t>
      </w:r>
      <w:r>
        <w:rPr>
          <w:rFonts w:hint="eastAsia" w:ascii="宋体" w:hAnsi="Times New Roman" w:eastAsia="宋体" w:cs="宋体"/>
          <w:sz w:val="32"/>
          <w:szCs w:val="32"/>
          <w:highlight w:val="none"/>
          <w:lang w:val="zh-CN"/>
        </w:rPr>
        <w:t>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其中：基本支出</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元万元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项目支出</w:t>
      </w:r>
      <w:r>
        <w:rPr>
          <w:rFonts w:ascii="宋体" w:hAnsi="Times New Roman" w:eastAsia="宋体" w:cs="宋体"/>
          <w:sz w:val="32"/>
          <w:szCs w:val="32"/>
          <w:highlight w:val="none"/>
          <w:lang w:val="zh-CN"/>
        </w:rPr>
        <w:t>298</w:t>
      </w:r>
      <w:r>
        <w:rPr>
          <w:rFonts w:hint="eastAsia" w:ascii="宋体" w:hAnsi="Times New Roman" w:eastAsia="宋体" w:cs="宋体"/>
          <w:sz w:val="32"/>
          <w:szCs w:val="32"/>
          <w:highlight w:val="none"/>
          <w:lang w:val="zh-CN"/>
        </w:rPr>
        <w:t>元万元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年末结转和结余</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元万元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具体情况如下：</w:t>
      </w:r>
    </w:p>
    <w:p w14:paraId="71F058D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lang w:val="zh-CN"/>
        </w:rPr>
        <w:t>社会保障和就业支出（类）大中型水库移民后期扶持基金支出（款）基础设施建设和经济发展（项）。年初预算为</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18</w:t>
      </w:r>
      <w:r>
        <w:rPr>
          <w:rFonts w:hint="eastAsia" w:ascii="宋体" w:hAnsi="Times New Roman" w:eastAsia="宋体" w:cs="宋体"/>
          <w:sz w:val="32"/>
          <w:szCs w:val="32"/>
          <w:highlight w:val="none"/>
          <w:lang w:val="zh-CN"/>
        </w:rPr>
        <w:t>万元，</w:t>
      </w:r>
      <w:r>
        <w:rPr>
          <w:rFonts w:hint="eastAsia" w:ascii="宋体" w:hAnsi="Calibri" w:eastAsia="宋体" w:cs="宋体"/>
          <w:sz w:val="32"/>
          <w:szCs w:val="32"/>
          <w:highlight w:val="none"/>
        </w:rPr>
        <w:t>由于年初预算为</w:t>
      </w:r>
      <w:r>
        <w:rPr>
          <w:rFonts w:ascii="宋体" w:hAnsi="Calibri" w:eastAsia="宋体" w:cs="宋体"/>
          <w:sz w:val="32"/>
          <w:szCs w:val="32"/>
          <w:highlight w:val="none"/>
        </w:rPr>
        <w:t>0</w:t>
      </w:r>
      <w:r>
        <w:rPr>
          <w:rFonts w:hint="eastAsia" w:ascii="宋体" w:hAnsi="Calibri" w:eastAsia="宋体" w:cs="宋体"/>
          <w:sz w:val="32"/>
          <w:szCs w:val="32"/>
          <w:highlight w:val="none"/>
        </w:rPr>
        <w:t>，无法计算百分比。</w:t>
      </w:r>
      <w:r>
        <w:rPr>
          <w:rFonts w:hint="eastAsia" w:ascii="宋体" w:hAnsi="Times New Roman" w:eastAsia="宋体" w:cs="宋体"/>
          <w:sz w:val="32"/>
          <w:szCs w:val="32"/>
          <w:highlight w:val="none"/>
          <w:lang w:val="zh-CN"/>
        </w:rPr>
        <w:t>决算数大于预算数的主要原因是业务工作任务增加，调整预算支出，财政追拨经费。</w:t>
      </w:r>
    </w:p>
    <w:p w14:paraId="0D15C44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lang w:val="zh-CN"/>
        </w:rPr>
        <w:t>其他支出（类）</w:t>
      </w:r>
      <w:r>
        <w:rPr>
          <w:rFonts w:hint="eastAsia" w:ascii="宋体" w:hAnsi="Times New Roman" w:eastAsia="宋体" w:cs="宋体"/>
          <w:sz w:val="32"/>
          <w:szCs w:val="32"/>
          <w:highlight w:val="none"/>
          <w:lang w:val="zh-CN"/>
        </w:rPr>
        <w:t>其他政府性基金及对应专项债务收入安</w:t>
      </w:r>
      <w:r>
        <w:rPr>
          <w:rFonts w:hint="eastAsia" w:ascii="宋体" w:hAnsi="Times New Roman" w:eastAsia="宋体" w:cs="宋体"/>
          <w:sz w:val="32"/>
          <w:szCs w:val="32"/>
          <w:highlight w:val="none"/>
          <w:lang w:val="zh-CN"/>
        </w:rPr>
        <w:t>（款）</w:t>
      </w:r>
      <w:r>
        <w:rPr>
          <w:rFonts w:hint="eastAsia" w:ascii="宋体" w:hAnsi="Times New Roman" w:eastAsia="宋体" w:cs="宋体"/>
          <w:sz w:val="32"/>
          <w:szCs w:val="32"/>
          <w:highlight w:val="none"/>
          <w:lang w:val="zh-CN"/>
        </w:rPr>
        <w:t>其他政府性基金安排的支出</w:t>
      </w:r>
      <w:r>
        <w:rPr>
          <w:rFonts w:hint="eastAsia" w:ascii="宋体" w:hAnsi="Times New Roman" w:eastAsia="宋体" w:cs="宋体"/>
          <w:sz w:val="32"/>
          <w:szCs w:val="32"/>
          <w:highlight w:val="none"/>
          <w:lang w:val="zh-CN"/>
        </w:rPr>
        <w:t>（项）。年初预算为</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200</w:t>
      </w:r>
      <w:r>
        <w:rPr>
          <w:rFonts w:hint="eastAsia" w:ascii="宋体" w:hAnsi="Times New Roman" w:eastAsia="宋体" w:cs="宋体"/>
          <w:sz w:val="32"/>
          <w:szCs w:val="32"/>
          <w:highlight w:val="none"/>
          <w:lang w:val="zh-CN"/>
        </w:rPr>
        <w:t>万元，</w:t>
      </w:r>
      <w:r>
        <w:rPr>
          <w:rFonts w:hint="eastAsia" w:ascii="宋体" w:hAnsi="Calibri" w:eastAsia="宋体" w:cs="宋体"/>
          <w:sz w:val="32"/>
          <w:szCs w:val="32"/>
          <w:highlight w:val="none"/>
        </w:rPr>
        <w:t>由于年初预算为</w:t>
      </w:r>
      <w:r>
        <w:rPr>
          <w:rFonts w:ascii="宋体" w:hAnsi="Calibri" w:eastAsia="宋体" w:cs="宋体"/>
          <w:sz w:val="32"/>
          <w:szCs w:val="32"/>
          <w:highlight w:val="none"/>
        </w:rPr>
        <w:t>0</w:t>
      </w:r>
      <w:r>
        <w:rPr>
          <w:rFonts w:hint="eastAsia" w:ascii="宋体" w:hAnsi="Calibri" w:eastAsia="宋体" w:cs="宋体"/>
          <w:sz w:val="32"/>
          <w:szCs w:val="32"/>
          <w:highlight w:val="none"/>
        </w:rPr>
        <w:t>，无法计算百分比。</w:t>
      </w:r>
      <w:r>
        <w:rPr>
          <w:rFonts w:hint="eastAsia" w:ascii="宋体" w:hAnsi="Times New Roman" w:eastAsia="宋体" w:cs="宋体"/>
          <w:sz w:val="32"/>
          <w:szCs w:val="32"/>
          <w:highlight w:val="none"/>
          <w:lang w:val="zh-CN"/>
        </w:rPr>
        <w:t>决算数大于预算数的主要原因是业务工作任务增加，调整预算支出，财政追拨经费。</w:t>
      </w:r>
    </w:p>
    <w:p w14:paraId="1B53E3A9">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lang w:val="zh-CN"/>
        </w:rPr>
        <w:t>其他支出（类）</w:t>
      </w:r>
      <w:r>
        <w:rPr>
          <w:rFonts w:hint="eastAsia" w:ascii="宋体" w:hAnsi="Times New Roman" w:eastAsia="宋体" w:cs="宋体"/>
          <w:sz w:val="32"/>
          <w:szCs w:val="32"/>
          <w:highlight w:val="none"/>
          <w:lang w:val="zh-CN"/>
        </w:rPr>
        <w:t>彩票公益金安排的支出</w:t>
      </w:r>
      <w:r>
        <w:rPr>
          <w:rFonts w:hint="eastAsia" w:ascii="宋体" w:hAnsi="Times New Roman" w:eastAsia="宋体" w:cs="宋体"/>
          <w:sz w:val="32"/>
          <w:szCs w:val="32"/>
          <w:highlight w:val="none"/>
          <w:lang w:val="zh-CN"/>
        </w:rPr>
        <w:t>（款）</w:t>
      </w:r>
      <w:r>
        <w:rPr>
          <w:rFonts w:hint="eastAsia" w:ascii="宋体" w:hAnsi="Times New Roman" w:eastAsia="宋体" w:cs="宋体"/>
          <w:sz w:val="32"/>
          <w:szCs w:val="32"/>
          <w:highlight w:val="none"/>
          <w:lang w:val="zh-CN"/>
        </w:rPr>
        <w:t>用于社会福利的彩票公益金支出</w:t>
      </w:r>
      <w:r>
        <w:rPr>
          <w:rFonts w:hint="eastAsia" w:ascii="宋体" w:hAnsi="Times New Roman" w:eastAsia="宋体" w:cs="宋体"/>
          <w:sz w:val="32"/>
          <w:szCs w:val="32"/>
          <w:highlight w:val="none"/>
          <w:lang w:val="zh-CN"/>
        </w:rPr>
        <w:t>（项）。年初预算为</w:t>
      </w:r>
      <w:r>
        <w:rPr>
          <w:rFonts w:ascii="宋体" w:hAnsi="Times New Roman" w:eastAsia="宋体" w:cs="宋体"/>
          <w:sz w:val="32"/>
          <w:szCs w:val="32"/>
          <w:highlight w:val="none"/>
          <w:lang w:val="zh-CN"/>
        </w:rPr>
        <w:t>0</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73</w:t>
      </w:r>
      <w:r>
        <w:rPr>
          <w:rFonts w:hint="eastAsia" w:ascii="宋体" w:hAnsi="Times New Roman" w:eastAsia="宋体" w:cs="宋体"/>
          <w:sz w:val="32"/>
          <w:szCs w:val="32"/>
          <w:highlight w:val="none"/>
          <w:lang w:val="zh-CN"/>
        </w:rPr>
        <w:t>万元，</w:t>
      </w:r>
      <w:r>
        <w:rPr>
          <w:rFonts w:hint="eastAsia" w:ascii="宋体" w:hAnsi="Calibri" w:eastAsia="宋体" w:cs="宋体"/>
          <w:sz w:val="32"/>
          <w:szCs w:val="32"/>
          <w:highlight w:val="none"/>
        </w:rPr>
        <w:t>由于年初预算为</w:t>
      </w:r>
      <w:r>
        <w:rPr>
          <w:rFonts w:ascii="宋体" w:hAnsi="Calibri" w:eastAsia="宋体" w:cs="宋体"/>
          <w:sz w:val="32"/>
          <w:szCs w:val="32"/>
          <w:highlight w:val="none"/>
        </w:rPr>
        <w:t>0</w:t>
      </w:r>
      <w:r>
        <w:rPr>
          <w:rFonts w:hint="eastAsia" w:ascii="宋体" w:hAnsi="Calibri" w:eastAsia="宋体" w:cs="宋体"/>
          <w:sz w:val="32"/>
          <w:szCs w:val="32"/>
          <w:highlight w:val="none"/>
        </w:rPr>
        <w:t>，无法计算百分比。</w:t>
      </w:r>
      <w:r>
        <w:rPr>
          <w:rFonts w:hint="eastAsia" w:ascii="宋体" w:hAnsi="Times New Roman" w:eastAsia="宋体" w:cs="宋体"/>
          <w:sz w:val="32"/>
          <w:szCs w:val="32"/>
          <w:highlight w:val="none"/>
          <w:lang w:val="zh-CN"/>
        </w:rPr>
        <w:t>决算数大于预算数的主要原因是业务工作任务增加，调整预算支出，财政追拨经费。</w:t>
      </w:r>
    </w:p>
    <w:p w14:paraId="61D41F56">
      <w:pPr>
        <w:pStyle w:val="14"/>
        <w:keepNext w:val="0"/>
        <w:keepLines w:val="0"/>
        <w:pageBreakBefore w:val="0"/>
        <w:widowControl w:val="0"/>
        <w:kinsoku/>
        <w:wordWrap/>
        <w:overflowPunct/>
        <w:topLinePunct w:val="0"/>
        <w:bidi w:val="0"/>
        <w:snapToGrid/>
        <w:spacing w:line="600" w:lineRule="exact"/>
        <w:ind w:firstLine="630"/>
        <w:textAlignment w:val="auto"/>
        <w:rPr>
          <w:rFonts w:hint="eastAsia" w:ascii="宋体" w:hAnsi="Times New Roman" w:eastAsia="宋体" w:cs="宋体"/>
          <w:color w:val="auto"/>
          <w:sz w:val="32"/>
          <w:szCs w:val="32"/>
          <w:highlight w:val="none"/>
          <w:lang w:val="zh-CN"/>
        </w:rPr>
      </w:pPr>
      <w:r>
        <w:rPr>
          <w:rFonts w:hint="eastAsia" w:ascii="宋体" w:hAnsi="Times New Roman" w:eastAsia="宋体" w:cs="宋体"/>
          <w:color w:val="auto"/>
          <w:sz w:val="32"/>
          <w:szCs w:val="32"/>
          <w:highlight w:val="none"/>
          <w:lang w:val="zh-CN"/>
        </w:rPr>
        <w:t>其他支出（类）</w:t>
      </w:r>
      <w:r>
        <w:rPr>
          <w:rFonts w:hint="eastAsia" w:ascii="宋体" w:hAnsi="Times New Roman" w:eastAsia="宋体" w:cs="宋体"/>
          <w:color w:val="auto"/>
          <w:sz w:val="32"/>
          <w:szCs w:val="32"/>
          <w:highlight w:val="none"/>
          <w:lang w:val="zh-CN"/>
        </w:rPr>
        <w:t>彩票公益金安排的支出</w:t>
      </w:r>
      <w:r>
        <w:rPr>
          <w:rFonts w:hint="eastAsia" w:ascii="宋体" w:hAnsi="Times New Roman" w:eastAsia="宋体" w:cs="宋体"/>
          <w:color w:val="auto"/>
          <w:sz w:val="32"/>
          <w:szCs w:val="32"/>
          <w:highlight w:val="none"/>
          <w:lang w:val="zh-CN"/>
        </w:rPr>
        <w:t>（款）</w:t>
      </w:r>
      <w:r>
        <w:rPr>
          <w:rFonts w:hint="eastAsia" w:ascii="宋体" w:hAnsi="Times New Roman" w:eastAsia="宋体" w:cs="宋体"/>
          <w:color w:val="auto"/>
          <w:sz w:val="32"/>
          <w:szCs w:val="32"/>
          <w:highlight w:val="none"/>
          <w:lang w:val="zh-CN"/>
        </w:rPr>
        <w:t>用于体育事业的彩票公益金支出</w:t>
      </w:r>
      <w:r>
        <w:rPr>
          <w:rFonts w:hint="eastAsia" w:ascii="宋体" w:hAnsi="Times New Roman" w:eastAsia="宋体" w:cs="宋体"/>
          <w:color w:val="auto"/>
          <w:sz w:val="32"/>
          <w:szCs w:val="32"/>
          <w:highlight w:val="none"/>
          <w:lang w:val="zh-CN"/>
        </w:rPr>
        <w:t>（项）。年初预算为</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万元，支出决算为</w:t>
      </w:r>
      <w:r>
        <w:rPr>
          <w:rFonts w:ascii="宋体" w:hAnsi="Times New Roman" w:eastAsia="宋体" w:cs="宋体"/>
          <w:color w:val="auto"/>
          <w:sz w:val="32"/>
          <w:szCs w:val="32"/>
          <w:highlight w:val="none"/>
          <w:lang w:val="zh-CN"/>
        </w:rPr>
        <w:t>7</w:t>
      </w:r>
      <w:r>
        <w:rPr>
          <w:rFonts w:hint="eastAsia" w:ascii="宋体" w:hAnsi="Times New Roman" w:eastAsia="宋体" w:cs="宋体"/>
          <w:color w:val="auto"/>
          <w:sz w:val="32"/>
          <w:szCs w:val="32"/>
          <w:highlight w:val="none"/>
          <w:lang w:val="zh-CN"/>
        </w:rPr>
        <w:t>万元，</w:t>
      </w:r>
      <w:r>
        <w:rPr>
          <w:rFonts w:hint="eastAsia" w:ascii="宋体" w:hAnsi="Calibri" w:eastAsia="宋体" w:cs="宋体"/>
          <w:color w:val="auto"/>
          <w:sz w:val="32"/>
          <w:szCs w:val="32"/>
          <w:highlight w:val="none"/>
        </w:rPr>
        <w:t>由于年初预算为</w:t>
      </w:r>
      <w:r>
        <w:rPr>
          <w:rFonts w:ascii="宋体" w:hAnsi="Calibri" w:eastAsia="宋体" w:cs="宋体"/>
          <w:color w:val="auto"/>
          <w:sz w:val="32"/>
          <w:szCs w:val="32"/>
          <w:highlight w:val="none"/>
        </w:rPr>
        <w:t>0</w:t>
      </w:r>
      <w:r>
        <w:rPr>
          <w:rFonts w:hint="eastAsia" w:ascii="宋体" w:hAnsi="Calibri" w:eastAsia="宋体" w:cs="宋体"/>
          <w:color w:val="auto"/>
          <w:sz w:val="32"/>
          <w:szCs w:val="32"/>
          <w:highlight w:val="none"/>
        </w:rPr>
        <w:t>，无法计算百分比。</w:t>
      </w:r>
      <w:r>
        <w:rPr>
          <w:rFonts w:hint="eastAsia" w:ascii="宋体" w:hAnsi="Times New Roman" w:eastAsia="宋体" w:cs="宋体"/>
          <w:color w:val="auto"/>
          <w:sz w:val="32"/>
          <w:szCs w:val="32"/>
          <w:highlight w:val="none"/>
          <w:lang w:val="zh-CN"/>
        </w:rPr>
        <w:t>决算数大于预算数的主要原因是业务工作任务增加，调整预算支出，财政追拨经费。</w:t>
      </w:r>
    </w:p>
    <w:p w14:paraId="545044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5A8B6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宋体" w:hAnsi="Times New Roman" w:eastAsia="宋体" w:cs="宋体"/>
          <w:kern w:val="2"/>
          <w:sz w:val="32"/>
          <w:szCs w:val="32"/>
          <w:highlight w:val="none"/>
          <w:lang w:val="zh-CN" w:eastAsia="zh-CN" w:bidi="ar-SA"/>
        </w:rPr>
      </w:pPr>
      <w:r>
        <w:rPr>
          <w:rFonts w:hint="eastAsia" w:ascii="宋体" w:hAnsi="Times New Roman" w:eastAsia="宋体" w:cs="宋体"/>
          <w:kern w:val="2"/>
          <w:sz w:val="32"/>
          <w:szCs w:val="32"/>
          <w:highlight w:val="none"/>
          <w:lang w:val="en-US" w:eastAsia="zh-CN" w:bidi="ar-SA"/>
        </w:rPr>
        <w:t>2023年本单位没有使用国有资本经营预算安排的支出。</w:t>
      </w:r>
    </w:p>
    <w:p w14:paraId="1DCDA09F">
      <w:pPr>
        <w:pStyle w:val="14"/>
        <w:keepNext w:val="0"/>
        <w:keepLines w:val="0"/>
        <w:pageBreakBefore w:val="0"/>
        <w:widowControl w:val="0"/>
        <w:kinsoku/>
        <w:wordWrap/>
        <w:overflowPunct/>
        <w:topLinePunct w:val="0"/>
        <w:bidi w:val="0"/>
        <w:snapToGrid/>
        <w:spacing w:line="600" w:lineRule="exact"/>
        <w:ind w:firstLine="63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十、关于机关运行经费支出说明</w:t>
      </w:r>
    </w:p>
    <w:p w14:paraId="7FAB9EC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lang w:val="zh-CN"/>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年度机关运行经费支出</w:t>
      </w:r>
      <w:r>
        <w:rPr>
          <w:rFonts w:ascii="宋体" w:hAnsi="Times New Roman" w:eastAsia="宋体" w:cs="宋体"/>
          <w:sz w:val="32"/>
          <w:szCs w:val="32"/>
          <w:highlight w:val="none"/>
        </w:rPr>
        <w:t>307.77</w:t>
      </w:r>
      <w:r>
        <w:rPr>
          <w:rFonts w:hint="eastAsia" w:ascii="宋体" w:hAnsi="Times New Roman" w:eastAsia="宋体" w:cs="宋体"/>
          <w:sz w:val="32"/>
          <w:szCs w:val="32"/>
          <w:highlight w:val="none"/>
        </w:rPr>
        <w:t>万元。比年初预算数增加</w:t>
      </w:r>
      <w:r>
        <w:rPr>
          <w:rFonts w:ascii="宋体" w:hAnsi="Times New Roman" w:eastAsia="宋体" w:cs="宋体"/>
          <w:sz w:val="32"/>
          <w:szCs w:val="32"/>
          <w:highlight w:val="none"/>
        </w:rPr>
        <w:t>286.83</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1369.77%</w:t>
      </w:r>
      <w:r>
        <w:rPr>
          <w:rFonts w:hint="eastAsia" w:ascii="宋体" w:hAnsi="Times New Roman" w:eastAsia="宋体" w:cs="宋体"/>
          <w:sz w:val="32"/>
          <w:szCs w:val="32"/>
          <w:highlight w:val="none"/>
        </w:rPr>
        <w:t>，主</w:t>
      </w:r>
      <w:bookmarkStart w:id="0" w:name="_GoBack"/>
      <w:bookmarkEnd w:id="0"/>
      <w:r>
        <w:rPr>
          <w:rFonts w:hint="eastAsia" w:ascii="宋体" w:hAnsi="Times New Roman" w:eastAsia="宋体" w:cs="宋体"/>
          <w:sz w:val="32"/>
          <w:szCs w:val="32"/>
          <w:highlight w:val="none"/>
        </w:rPr>
        <w:t>要原因是：</w:t>
      </w:r>
      <w:r>
        <w:rPr>
          <w:rFonts w:hint="eastAsia" w:ascii="宋体" w:hAnsi="Times New Roman" w:eastAsia="宋体" w:cs="宋体"/>
          <w:sz w:val="32"/>
          <w:szCs w:val="32"/>
          <w:highlight w:val="none"/>
        </w:rPr>
        <w:t>业务工作任务增加，为保障机构正常运转，财政追拨机关运行经费</w:t>
      </w:r>
      <w:r>
        <w:rPr>
          <w:rFonts w:hint="eastAsia" w:ascii="宋体" w:hAnsi="Times New Roman" w:eastAsia="宋体" w:cs="宋体"/>
          <w:kern w:val="0"/>
          <w:sz w:val="32"/>
          <w:szCs w:val="32"/>
          <w:highlight w:val="none"/>
          <w:lang w:val="zh-CN"/>
        </w:rPr>
        <w:t>。</w:t>
      </w:r>
    </w:p>
    <w:p w14:paraId="1D46DEA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一</w:t>
      </w:r>
      <w:r>
        <w:rPr>
          <w:rFonts w:hint="eastAsia" w:hAnsi="黑体"/>
          <w:bCs/>
          <w:color w:val="auto"/>
          <w:sz w:val="32"/>
          <w:szCs w:val="32"/>
          <w:highlight w:val="none"/>
        </w:rPr>
        <w:t>、一般性支出情况说明</w:t>
      </w:r>
    </w:p>
    <w:p w14:paraId="562FEDC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年本部门开支会议费</w:t>
      </w:r>
      <w:r>
        <w:rPr>
          <w:rFonts w:ascii="宋体" w:hAnsi="Times New Roman" w:eastAsia="宋体" w:cs="宋体"/>
          <w:kern w:val="0"/>
          <w:sz w:val="32"/>
          <w:szCs w:val="32"/>
          <w:highlight w:val="none"/>
        </w:rPr>
        <w:t>6.59</w:t>
      </w:r>
      <w:r>
        <w:rPr>
          <w:rFonts w:hint="eastAsia" w:ascii="宋体" w:hAnsi="Times New Roman" w:eastAsia="宋体" w:cs="宋体"/>
          <w:kern w:val="0"/>
          <w:sz w:val="32"/>
          <w:szCs w:val="32"/>
          <w:highlight w:val="none"/>
        </w:rPr>
        <w:t>万元，用于召开</w:t>
      </w:r>
      <w:r>
        <w:rPr>
          <w:rFonts w:hint="eastAsia" w:ascii="宋体" w:hAnsi="Times New Roman" w:eastAsia="宋体" w:cs="宋体"/>
          <w:kern w:val="0"/>
          <w:sz w:val="32"/>
          <w:szCs w:val="32"/>
          <w:highlight w:val="none"/>
        </w:rPr>
        <w:t>业务工作会议</w:t>
      </w:r>
      <w:r>
        <w:rPr>
          <w:rFonts w:hint="eastAsia" w:ascii="宋体" w:hAnsi="Times New Roman" w:eastAsia="宋体" w:cs="宋体"/>
          <w:kern w:val="0"/>
          <w:sz w:val="32"/>
          <w:szCs w:val="32"/>
          <w:highlight w:val="none"/>
        </w:rPr>
        <w:t>，人数</w:t>
      </w:r>
      <w:r>
        <w:rPr>
          <w:rFonts w:ascii="宋体" w:hAnsi="Times New Roman" w:eastAsia="宋体" w:cs="宋体"/>
          <w:kern w:val="0"/>
          <w:sz w:val="32"/>
          <w:szCs w:val="32"/>
          <w:highlight w:val="none"/>
        </w:rPr>
        <w:t>490</w:t>
      </w:r>
      <w:r>
        <w:rPr>
          <w:rFonts w:hint="eastAsia" w:ascii="宋体" w:hAnsi="Times New Roman" w:eastAsia="宋体" w:cs="宋体"/>
          <w:kern w:val="0"/>
          <w:sz w:val="32"/>
          <w:szCs w:val="32"/>
          <w:highlight w:val="none"/>
        </w:rPr>
        <w:t>人，内容为</w:t>
      </w:r>
      <w:r>
        <w:rPr>
          <w:rFonts w:hint="eastAsia" w:ascii="宋体" w:hAnsi="Times New Roman" w:eastAsia="宋体" w:cs="宋体"/>
          <w:kern w:val="0"/>
          <w:sz w:val="32"/>
          <w:szCs w:val="32"/>
          <w:highlight w:val="none"/>
        </w:rPr>
        <w:t>防汛抗旱、乡村振兴、人居环境整治、党建工作、换届选举、机构改革等工作会议</w:t>
      </w:r>
      <w:r>
        <w:rPr>
          <w:rFonts w:hint="eastAsia" w:ascii="宋体" w:hAnsi="Times New Roman" w:eastAsia="宋体" w:cs="宋体"/>
          <w:kern w:val="0"/>
          <w:sz w:val="32"/>
          <w:szCs w:val="32"/>
          <w:highlight w:val="none"/>
        </w:rPr>
        <w:t>；开支培训费</w:t>
      </w:r>
      <w:r>
        <w:rPr>
          <w:rFonts w:ascii="宋体" w:hAnsi="Times New Roman" w:eastAsia="宋体" w:cs="宋体"/>
          <w:kern w:val="0"/>
          <w:sz w:val="32"/>
          <w:szCs w:val="32"/>
          <w:highlight w:val="none"/>
        </w:rPr>
        <w:t>9.9</w:t>
      </w:r>
      <w:r>
        <w:rPr>
          <w:rFonts w:hint="eastAsia" w:ascii="宋体" w:hAnsi="Times New Roman" w:eastAsia="宋体" w:cs="宋体"/>
          <w:kern w:val="0"/>
          <w:sz w:val="32"/>
          <w:szCs w:val="32"/>
          <w:highlight w:val="none"/>
        </w:rPr>
        <w:t>万元，用于开展</w:t>
      </w:r>
      <w:r>
        <w:rPr>
          <w:rFonts w:hint="eastAsia" w:ascii="宋体" w:hAnsi="Times New Roman" w:eastAsia="宋体" w:cs="宋体"/>
          <w:kern w:val="0"/>
          <w:sz w:val="32"/>
          <w:szCs w:val="32"/>
          <w:highlight w:val="none"/>
        </w:rPr>
        <w:t>知识技能</w:t>
      </w:r>
      <w:r>
        <w:rPr>
          <w:rFonts w:hint="eastAsia" w:ascii="宋体" w:hAnsi="Times New Roman" w:eastAsia="宋体" w:cs="宋体"/>
          <w:kern w:val="0"/>
          <w:sz w:val="32"/>
          <w:szCs w:val="32"/>
          <w:highlight w:val="none"/>
        </w:rPr>
        <w:t>培训，人数</w:t>
      </w:r>
      <w:r>
        <w:rPr>
          <w:rFonts w:ascii="宋体" w:hAnsi="Times New Roman" w:eastAsia="宋体" w:cs="宋体"/>
          <w:kern w:val="0"/>
          <w:sz w:val="32"/>
          <w:szCs w:val="32"/>
          <w:highlight w:val="none"/>
        </w:rPr>
        <w:t>750</w:t>
      </w:r>
      <w:r>
        <w:rPr>
          <w:rFonts w:hint="eastAsia" w:ascii="宋体" w:hAnsi="Times New Roman" w:eastAsia="宋体" w:cs="宋体"/>
          <w:kern w:val="0"/>
          <w:sz w:val="32"/>
          <w:szCs w:val="32"/>
          <w:highlight w:val="none"/>
        </w:rPr>
        <w:t>人，内容为</w:t>
      </w:r>
      <w:r>
        <w:rPr>
          <w:rFonts w:hint="eastAsia" w:ascii="宋体" w:hAnsi="Times New Roman" w:eastAsia="宋体" w:cs="宋体"/>
          <w:kern w:val="0"/>
          <w:sz w:val="32"/>
          <w:szCs w:val="32"/>
          <w:highlight w:val="none"/>
        </w:rPr>
        <w:t>安全生产、统计普查、财政业务、水利建设、农林农技等相关知识技能培训</w:t>
      </w:r>
      <w:r>
        <w:rPr>
          <w:rFonts w:hint="eastAsia" w:ascii="宋体" w:hAnsi="Times New Roman" w:eastAsia="宋体" w:cs="宋体"/>
          <w:kern w:val="0"/>
          <w:sz w:val="32"/>
          <w:szCs w:val="32"/>
          <w:highlight w:val="none"/>
        </w:rPr>
        <w:t>；</w:t>
      </w:r>
      <w:r>
        <w:rPr>
          <w:rFonts w:ascii="宋体" w:hAnsi="Times New Roman" w:eastAsia="宋体" w:cs="宋体"/>
          <w:kern w:val="0"/>
          <w:sz w:val="32"/>
          <w:szCs w:val="32"/>
          <w:highlight w:val="none"/>
        </w:rPr>
        <w:t xml:space="preserve"> 2023</w:t>
      </w:r>
      <w:r>
        <w:rPr>
          <w:rFonts w:hint="eastAsia" w:ascii="宋体" w:hAnsi="Times New Roman" w:eastAsia="宋体" w:cs="宋体"/>
          <w:kern w:val="0"/>
          <w:sz w:val="32"/>
          <w:szCs w:val="32"/>
          <w:highlight w:val="none"/>
        </w:rPr>
        <w:t>年本部门未举办节庆、晚会、论坛、赛事活动，开支</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p>
    <w:p w14:paraId="6AA676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二</w:t>
      </w:r>
      <w:r>
        <w:rPr>
          <w:rFonts w:hint="eastAsia" w:hAnsi="黑体"/>
          <w:bCs/>
          <w:color w:val="auto"/>
          <w:sz w:val="32"/>
          <w:szCs w:val="32"/>
          <w:highlight w:val="none"/>
        </w:rPr>
        <w:t>、关于政府采购支出说明</w:t>
      </w:r>
    </w:p>
    <w:p w14:paraId="3E2BE49B">
      <w:pPr>
        <w:keepNext w:val="0"/>
        <w:keepLines w:val="0"/>
        <w:pageBreakBefore w:val="0"/>
        <w:widowControl w:val="0"/>
        <w:kinsoku/>
        <w:wordWrap/>
        <w:overflowPunct/>
        <w:topLinePunct w:val="0"/>
        <w:autoSpaceDE w:val="0"/>
        <w:autoSpaceDN w:val="0"/>
        <w:bidi w:val="0"/>
        <w:adjustRightInd w:val="0"/>
        <w:snapToGrid/>
        <w:ind w:firstLine="641"/>
        <w:textAlignment w:val="auto"/>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年度政府采购支出总额</w:t>
      </w:r>
      <w:r>
        <w:rPr>
          <w:rFonts w:ascii="宋体" w:hAnsi="Times New Roman" w:eastAsia="宋体" w:cs="宋体"/>
          <w:sz w:val="32"/>
          <w:szCs w:val="32"/>
          <w:highlight w:val="none"/>
        </w:rPr>
        <w:t>571.75</w:t>
      </w:r>
      <w:r>
        <w:rPr>
          <w:rFonts w:hint="eastAsia" w:ascii="宋体" w:hAnsi="Times New Roman" w:eastAsia="宋体" w:cs="宋体"/>
          <w:sz w:val="32"/>
          <w:szCs w:val="32"/>
          <w:highlight w:val="none"/>
        </w:rPr>
        <w:t>万元，其中：政府采购货物支出</w:t>
      </w:r>
      <w:r>
        <w:rPr>
          <w:rFonts w:ascii="宋体" w:hAnsi="Times New Roman" w:eastAsia="宋体" w:cs="宋体"/>
          <w:sz w:val="32"/>
          <w:szCs w:val="32"/>
          <w:highlight w:val="none"/>
        </w:rPr>
        <w:t>66.84</w:t>
      </w:r>
      <w:r>
        <w:rPr>
          <w:rFonts w:hint="eastAsia" w:ascii="宋体" w:hAnsi="Times New Roman" w:eastAsia="宋体" w:cs="宋体"/>
          <w:sz w:val="32"/>
          <w:szCs w:val="32"/>
          <w:highlight w:val="none"/>
        </w:rPr>
        <w:t>万元；政府采购工程支出</w:t>
      </w:r>
      <w:r>
        <w:rPr>
          <w:rFonts w:ascii="宋体" w:hAnsi="Times New Roman" w:eastAsia="宋体" w:cs="宋体"/>
          <w:sz w:val="32"/>
          <w:szCs w:val="32"/>
          <w:highlight w:val="none"/>
        </w:rPr>
        <w:t>189.26</w:t>
      </w:r>
      <w:r>
        <w:rPr>
          <w:rFonts w:hint="eastAsia" w:ascii="宋体" w:hAnsi="Times New Roman" w:eastAsia="宋体" w:cs="宋体"/>
          <w:sz w:val="32"/>
          <w:szCs w:val="32"/>
          <w:highlight w:val="none"/>
        </w:rPr>
        <w:t>万元；政府采购服务支出</w:t>
      </w:r>
      <w:r>
        <w:rPr>
          <w:rFonts w:ascii="宋体" w:hAnsi="Times New Roman" w:eastAsia="宋体" w:cs="宋体"/>
          <w:sz w:val="32"/>
          <w:szCs w:val="32"/>
          <w:highlight w:val="none"/>
        </w:rPr>
        <w:t>315.65</w:t>
      </w:r>
      <w:r>
        <w:rPr>
          <w:rFonts w:hint="eastAsia" w:ascii="宋体" w:hAnsi="Times New Roman" w:eastAsia="宋体" w:cs="宋体"/>
          <w:sz w:val="32"/>
          <w:szCs w:val="32"/>
          <w:highlight w:val="none"/>
        </w:rPr>
        <w:t>万元。授予中小企业合同金额</w:t>
      </w:r>
      <w:r>
        <w:rPr>
          <w:rFonts w:ascii="宋体" w:hAnsi="Times New Roman" w:eastAsia="宋体" w:cs="宋体"/>
          <w:sz w:val="32"/>
          <w:szCs w:val="32"/>
          <w:highlight w:val="none"/>
        </w:rPr>
        <w:t>564.5</w:t>
      </w:r>
      <w:r>
        <w:rPr>
          <w:rFonts w:hint="eastAsia" w:ascii="宋体" w:hAnsi="Times New Roman" w:eastAsia="宋体" w:cs="宋体"/>
          <w:sz w:val="32"/>
          <w:szCs w:val="32"/>
          <w:highlight w:val="none"/>
        </w:rPr>
        <w:t>万元，占政府采购支出总额的</w:t>
      </w:r>
      <w:r>
        <w:rPr>
          <w:rFonts w:ascii="宋体" w:hAnsi="Times New Roman" w:eastAsia="宋体" w:cs="宋体"/>
          <w:sz w:val="32"/>
          <w:szCs w:val="32"/>
          <w:highlight w:val="none"/>
        </w:rPr>
        <w:t>98.73%</w:t>
      </w:r>
      <w:r>
        <w:rPr>
          <w:rFonts w:hint="eastAsia" w:ascii="宋体" w:hAnsi="Times New Roman" w:eastAsia="宋体" w:cs="宋体"/>
          <w:sz w:val="32"/>
          <w:szCs w:val="32"/>
          <w:highlight w:val="none"/>
        </w:rPr>
        <w:t>，其中：授予小微企业合同金额</w:t>
      </w:r>
      <w:r>
        <w:rPr>
          <w:rFonts w:ascii="宋体" w:hAnsi="Times New Roman" w:eastAsia="宋体" w:cs="宋体"/>
          <w:sz w:val="32"/>
          <w:szCs w:val="32"/>
          <w:highlight w:val="none"/>
        </w:rPr>
        <w:t>554.02</w:t>
      </w:r>
      <w:r>
        <w:rPr>
          <w:rFonts w:hint="eastAsia" w:ascii="宋体" w:hAnsi="Times New Roman" w:eastAsia="宋体" w:cs="宋体"/>
          <w:sz w:val="32"/>
          <w:szCs w:val="32"/>
          <w:highlight w:val="none"/>
        </w:rPr>
        <w:t>万元，占授予中小企业合同金额的</w:t>
      </w:r>
      <w:r>
        <w:rPr>
          <w:rFonts w:ascii="宋体" w:hAnsi="Times New Roman" w:eastAsia="宋体" w:cs="宋体"/>
          <w:sz w:val="32"/>
          <w:szCs w:val="32"/>
          <w:highlight w:val="none"/>
        </w:rPr>
        <w:t>98.14%</w:t>
      </w:r>
      <w:r>
        <w:rPr>
          <w:rFonts w:hint="eastAsia" w:ascii="宋体" w:hAnsi="Times New Roman" w:eastAsia="宋体" w:cs="宋体"/>
          <w:sz w:val="32"/>
          <w:szCs w:val="32"/>
          <w:highlight w:val="none"/>
        </w:rPr>
        <w:t>。货物采购授予中小企业合同金额占货物支出金额的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。工程采购授予中小企业合同金额占工程支出金额的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。服务采购授予中小企业合同金额占服务支出金额的</w:t>
      </w:r>
      <w:r>
        <w:rPr>
          <w:rFonts w:ascii="宋体" w:hAnsi="Times New Roman" w:eastAsia="宋体" w:cs="宋体"/>
          <w:sz w:val="32"/>
          <w:szCs w:val="32"/>
          <w:highlight w:val="none"/>
        </w:rPr>
        <w:t>97.71%</w:t>
      </w:r>
      <w:r>
        <w:rPr>
          <w:rFonts w:hint="eastAsia" w:ascii="宋体" w:hAnsi="Times New Roman" w:eastAsia="宋体" w:cs="宋体"/>
          <w:sz w:val="32"/>
          <w:szCs w:val="32"/>
          <w:highlight w:val="none"/>
        </w:rPr>
        <w:t>。</w:t>
      </w:r>
    </w:p>
    <w:p w14:paraId="40AE3FDF">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三</w:t>
      </w:r>
      <w:r>
        <w:rPr>
          <w:rFonts w:hint="eastAsia" w:hAnsi="黑体"/>
          <w:bCs/>
          <w:color w:val="auto"/>
          <w:sz w:val="32"/>
          <w:szCs w:val="32"/>
          <w:highlight w:val="none"/>
        </w:rPr>
        <w:t>、关于国有资产占用情况说明</w:t>
      </w:r>
    </w:p>
    <w:p w14:paraId="18648E8C">
      <w:pPr>
        <w:keepNext w:val="0"/>
        <w:keepLines w:val="0"/>
        <w:pageBreakBefore w:val="0"/>
        <w:widowControl w:val="0"/>
        <w:kinsoku/>
        <w:wordWrap/>
        <w:overflowPunct/>
        <w:topLinePunct w:val="0"/>
        <w:autoSpaceDE w:val="0"/>
        <w:autoSpaceDN w:val="0"/>
        <w:bidi w:val="0"/>
        <w:adjustRightInd w:val="0"/>
        <w:snapToGrid/>
        <w:ind w:firstLine="641"/>
        <w:textAlignment w:val="auto"/>
        <w:rPr>
          <w:rFonts w:ascii="Calibri" w:hAnsi="Calibri" w:eastAsia="宋体" w:cs="Calibri"/>
          <w:szCs w:val="21"/>
          <w:highlight w:val="none"/>
          <w:lang w:val="zh-CN"/>
        </w:rPr>
      </w:pPr>
      <w:r>
        <w:rPr>
          <w:rFonts w:hint="eastAsia" w:ascii="宋体" w:hAnsi="Times New Roman" w:eastAsia="宋体" w:cs="宋体"/>
          <w:sz w:val="32"/>
          <w:szCs w:val="32"/>
          <w:highlight w:val="none"/>
        </w:rPr>
        <w:t>截至</w:t>
      </w: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w:t>
      </w:r>
      <w:r>
        <w:rPr>
          <w:rFonts w:ascii="宋体" w:hAnsi="Times New Roman" w:eastAsia="宋体" w:cs="宋体"/>
          <w:sz w:val="32"/>
          <w:szCs w:val="32"/>
          <w:highlight w:val="none"/>
        </w:rPr>
        <w:t>12</w:t>
      </w:r>
      <w:r>
        <w:rPr>
          <w:rFonts w:hint="eastAsia" w:ascii="宋体" w:hAnsi="Times New Roman" w:eastAsia="宋体" w:cs="宋体"/>
          <w:sz w:val="32"/>
          <w:szCs w:val="32"/>
          <w:highlight w:val="none"/>
        </w:rPr>
        <w:t>月</w:t>
      </w:r>
      <w:r>
        <w:rPr>
          <w:rFonts w:ascii="宋体" w:hAnsi="Times New Roman" w:eastAsia="宋体" w:cs="宋体"/>
          <w:sz w:val="32"/>
          <w:szCs w:val="32"/>
          <w:highlight w:val="none"/>
        </w:rPr>
        <w:t>31</w:t>
      </w:r>
      <w:r>
        <w:rPr>
          <w:rFonts w:hint="eastAsia" w:ascii="宋体" w:hAnsi="Times New Roman" w:eastAsia="宋体" w:cs="宋体"/>
          <w:sz w:val="32"/>
          <w:szCs w:val="32"/>
          <w:highlight w:val="none"/>
        </w:rPr>
        <w:t>日，部门（单位）共有车辆</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辆。</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50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p>
    <w:p w14:paraId="6BEA9E05">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四</w:t>
      </w:r>
      <w:r>
        <w:rPr>
          <w:rFonts w:hint="eastAsia" w:hAnsi="黑体"/>
          <w:bCs/>
          <w:color w:val="auto"/>
          <w:sz w:val="32"/>
          <w:szCs w:val="32"/>
          <w:highlight w:val="none"/>
        </w:rPr>
        <w:t>、关于</w:t>
      </w:r>
      <w:r>
        <w:rPr>
          <w:rFonts w:hint="eastAsia" w:ascii="Times New Roman" w:hAnsi="Times New Roman" w:eastAsia="仿宋_GB2312"/>
          <w:color w:val="auto"/>
          <w:sz w:val="32"/>
          <w:szCs w:val="32"/>
          <w:highlight w:val="none"/>
        </w:rPr>
        <w:t>2023</w:t>
      </w:r>
      <w:r>
        <w:rPr>
          <w:rFonts w:hint="eastAsia" w:hAnsi="黑体"/>
          <w:bCs/>
          <w:color w:val="auto"/>
          <w:sz w:val="32"/>
          <w:szCs w:val="32"/>
          <w:highlight w:val="none"/>
        </w:rPr>
        <w:t>年度预算绩效情况的说明</w:t>
      </w:r>
    </w:p>
    <w:p w14:paraId="75ECFBB7">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（一）绩效管理工作开展情况</w:t>
      </w:r>
    </w:p>
    <w:p w14:paraId="23D7DC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为贯彻落实《中共中央国务院关于全面实施预算绩效管理的意见》的精神，落实《关于开展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年度财政预算支出绩效自评工作的通知》的要求，我部门积极组织开展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年度整体支出绩效自评工作，强化财政支出绩效理念和责任意识，以切实提高财政资金使用效益。</w:t>
      </w:r>
    </w:p>
    <w:p w14:paraId="799FD31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部门开展整体支出绩效评价，涉及一般公共预算支出2800.58万元，政府性基金预算支出298万元，国有资本经营预算支出0万元, 合计3098.58万元，其中：基本支出1066.55万元，占34.42%；项目支出2032.03万元，占65.58%。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none"/>
        </w:rPr>
        <w:t>。</w:t>
      </w:r>
    </w:p>
    <w:p w14:paraId="3ECDE0E4">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（二）部门（单位）整体支出绩效情况</w:t>
      </w:r>
    </w:p>
    <w:p w14:paraId="17D772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年度整体绩效目标完成情况较好。</w:t>
      </w:r>
    </w:p>
    <w:p w14:paraId="1F81707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部门整体支出绩效评价报告详见附件，同本部门的部门决算一同公开。</w:t>
      </w:r>
    </w:p>
    <w:p w14:paraId="136333BB">
      <w:pPr>
        <w:pStyle w:val="14"/>
        <w:keepNext w:val="0"/>
        <w:keepLines w:val="0"/>
        <w:pageBreakBefore w:val="0"/>
        <w:widowControl w:val="0"/>
        <w:kinsoku/>
        <w:wordWrap/>
        <w:overflowPunct/>
        <w:topLinePunct w:val="0"/>
        <w:bidi w:val="0"/>
        <w:snapToGrid/>
        <w:spacing w:line="580" w:lineRule="exact"/>
        <w:ind w:firstLine="640" w:firstLineChars="200"/>
        <w:textAlignment w:val="auto"/>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（三）存在的问题及原因分析</w:t>
      </w:r>
    </w:p>
    <w:p w14:paraId="7CD2C46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一是预算执行的精细化程度还不够，预算调整的情况时有发生。需强化预算的刚性约束，提高财政资金使用效率，提高预算执行的严肃性。</w:t>
      </w:r>
    </w:p>
    <w:p w14:paraId="74938E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二是绩效评价结果的应用还不够充分。需加强完善单位的内部控制制度，强化绩效评价结果的应用，充分发挥绩效评价的导向作用。</w:t>
      </w:r>
    </w:p>
    <w:p w14:paraId="21B2EF06">
      <w:pPr>
        <w:pStyle w:val="14"/>
        <w:keepNext w:val="0"/>
        <w:keepLines w:val="0"/>
        <w:pageBreakBefore w:val="0"/>
        <w:widowControl w:val="0"/>
        <w:kinsoku/>
        <w:wordWrap/>
        <w:overflowPunct/>
        <w:topLinePunct w:val="0"/>
        <w:bidi w:val="0"/>
        <w:snapToGrid/>
        <w:jc w:val="both"/>
        <w:textAlignment w:val="auto"/>
        <w:rPr>
          <w:color w:val="auto"/>
          <w:sz w:val="72"/>
          <w:szCs w:val="72"/>
          <w:highlight w:val="none"/>
        </w:rPr>
      </w:pPr>
    </w:p>
    <w:p w14:paraId="6414A369">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56B3D7BF">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名词解释</w:t>
      </w:r>
    </w:p>
    <w:p w14:paraId="18EEFED1">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财政拨款收入：指本级财政当年拨付的资金。</w:t>
      </w:r>
    </w:p>
    <w:p w14:paraId="7670938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政府性基金预算财政拨款收入：指本级财政当年拨付的政府性基金预算资金。</w:t>
      </w:r>
    </w:p>
    <w:p w14:paraId="6A8E7C26">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5B117CF">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国防支出（类）：国防支出由直接国防支出和间接国防支出两部分组成。直接国防支出，是指国家预算中的国防支出，主要包括军事人员的经费与训练费、武器装备和军事活动器材的购置费、军事工程设施的建筑费、军事活动经费、军事科学研究与试验经费、军事院校教育经费等</w:t>
      </w:r>
      <w:r>
        <w:rPr>
          <w:rFonts w:ascii="宋体" w:hAnsi="Times New Roman" w:eastAsia="宋体" w:cs="宋体"/>
          <w:kern w:val="0"/>
          <w:sz w:val="32"/>
          <w:szCs w:val="32"/>
          <w:highlight w:val="none"/>
        </w:rPr>
        <w:t xml:space="preserve">; </w:t>
      </w:r>
      <w:r>
        <w:rPr>
          <w:rFonts w:hint="eastAsia" w:ascii="宋体" w:hAnsi="Times New Roman" w:eastAsia="宋体" w:cs="宋体"/>
          <w:kern w:val="0"/>
          <w:sz w:val="32"/>
          <w:szCs w:val="32"/>
          <w:highlight w:val="none"/>
        </w:rPr>
        <w:t>间接国防支出，是指包括在国家预算其他科目中具有国防性质的支出内容，如西方发达国家政府预算中的国际事务支出、宇宙航行及其技术支出、战略与关键物资的储备支出、退伍军人的福利与服务支出、国防公路系统支出、国债利息支出等。在这些支出中，有的直接具有国防支出的性质，有的直接或间接对国家安全发挥作用，有的被立法机构认为是国家安全所必需的，有的则是过去战争或军事开支的延续开支。</w:t>
      </w:r>
    </w:p>
    <w:p w14:paraId="6866ABED">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公共安全支出（类）：是指用于内卫、消防等武装警察部队的支出，包括保障机构正常运转、完成日常和特定的工作任务或事业发展目标的支出。</w:t>
      </w:r>
    </w:p>
    <w:p w14:paraId="556E3895">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文化体育与传媒支出（类）：是指用于文化、文物、体育、新闻出版广播影视等方面的支出，包括保障机构正常运转、完成日常和特定的工作任务或事业发展目标的支出。</w:t>
      </w:r>
    </w:p>
    <w:p w14:paraId="341DBF75">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12AFD4C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节能环保支出（类）：是指用于节能环保支出，包括保障机构正常运转、完成日常和特定的工作任务或事业发展目标的支出。</w:t>
      </w:r>
    </w:p>
    <w:p w14:paraId="0CA8D8B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城乡社区支出（类）：是指用于城乡社区事务支出，包括保障机构正常运转、完成日常和特定的工作任务或事业发展目标的支出。</w:t>
      </w:r>
    </w:p>
    <w:p w14:paraId="4DF83AE3">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农林水支出（类）：是指用于农林水事务支出，包括保障机构正常运转、完成日常和特定的工作任务或事业发展目标的支出。</w:t>
      </w:r>
    </w:p>
    <w:p w14:paraId="2CF08FD8">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交通运输支出（类）：是指用于交通运输和邮政业方面的支出，包括保障机构正常运转、完成日常和特定的工作任务或事业发展目标的支出。</w:t>
      </w:r>
    </w:p>
    <w:p w14:paraId="61D6617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商业服务业等支出（类）：是指用于商业服务业等方面的支出</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包括保障机构正常运转、完成日常和特定的工作任务或事业发展目标的支出。</w:t>
      </w:r>
    </w:p>
    <w:p w14:paraId="5118085C">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自然资源海洋气象等支出（类）：是指用于自然资源、海洋、测绘、气象等公益服务事业方面的支出，包括保障机构正常运转、完成日常和特定的工作任务或事业发展目标的支出。</w:t>
      </w:r>
    </w:p>
    <w:p w14:paraId="461EE943">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住房保障支出（类）：是指用于住房方面的支出，包括保障机构正常运转、完成日常和特定的工作任务或事业发展目标的支出。</w:t>
      </w:r>
    </w:p>
    <w:p w14:paraId="58FE9CC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粮油物资储备支出（类）：是指用于粮油物资储备方面的支出，包括保障机构正常运转、完成日常和特定的工作任务或事业发展目标的支出。</w:t>
      </w:r>
    </w:p>
    <w:p w14:paraId="311D22A7">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其他支出（类）：是指用于反映除上述项目以外其他不能划分到具体功能科目中的支出项目，包括保障机构正常运转、完成日常和特定的工作任务或事业发展目标的支出。</w:t>
      </w:r>
    </w:p>
    <w:p w14:paraId="016EE25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基本支出：指保障机构正常运转、完成支日常工作任务而发生的人员支出和公用支出。</w:t>
      </w:r>
    </w:p>
    <w:p w14:paraId="1B4598CA">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项目支出：指在基本支出之外为完成特定行政任务和事业发展目标所发生的支出。</w:t>
      </w:r>
    </w:p>
    <w:p w14:paraId="7B8F883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p>
    <w:p w14:paraId="2A3C8877">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p>
    <w:p w14:paraId="1FE91AC6">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政府采购</w:t>
      </w:r>
      <w:r>
        <w:rPr>
          <w:rFonts w:ascii="宋体" w:hAnsi="Times New Roman" w:eastAsia="宋体" w:cs="宋体"/>
          <w:kern w:val="0"/>
          <w:sz w:val="32"/>
          <w:szCs w:val="32"/>
          <w:highlight w:val="none"/>
        </w:rPr>
        <w:t xml:space="preserve"> </w:t>
      </w:r>
      <w:r>
        <w:rPr>
          <w:rFonts w:hint="eastAsia" w:ascii="宋体" w:hAnsi="Times New Roman" w:eastAsia="宋体" w:cs="宋体"/>
          <w:kern w:val="0"/>
          <w:sz w:val="32"/>
          <w:szCs w:val="32"/>
          <w:highlight w:val="none"/>
        </w:rPr>
        <w:t>：是指国家各级政府为从事日常的政务活动或为了满足公共服务的目的，利用国家财政性资金和政府借款购买货物、工程和服务的行为。</w:t>
      </w:r>
    </w:p>
    <w:p w14:paraId="4E3D4E1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工资福利支出：反映单位开支的在职职工和编制外长期聘用人员的各类劳动报酬，以及为上述人员缴纳的各项社会保险费等。</w:t>
      </w:r>
    </w:p>
    <w:p w14:paraId="0BBB561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见习期</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工资、新参加工作工人学徒期、熟练期工资；军队（武警）军官、文职干部的职务（专业技术等级）工资、军衔（级别）工资、基础工资和军龄工资；军队士官的军衔等级工资、基础工资和军龄工资等。</w:t>
      </w:r>
    </w:p>
    <w:p w14:paraId="69F61351">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津贴补贴：反映经国家批准建立的机关事业单位艰苦边远地区津贴、机关工作人员地区附加津贴、机关工作人员岗位津贴、事业单位工作人员特殊岗位津贴补贴等。</w:t>
      </w:r>
    </w:p>
    <w:p w14:paraId="5DA0250E">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奖金：反映机关工作人员年终一次性奖金。</w:t>
      </w:r>
    </w:p>
    <w:p w14:paraId="76A58C2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绩效工资：反映事业单位工作人员的绩效工资。</w:t>
      </w:r>
    </w:p>
    <w:p w14:paraId="36E91F1F">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机关事业单位基本养老保险缴费：反映机关事业单位缴纳的基本养老保险费。由单位代扣的工作人员基本养老保险缴费，不在此科目反映。</w:t>
      </w:r>
    </w:p>
    <w:p w14:paraId="50FF7B98">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职工基本医疗保险缴费：反映单位为职工缴纳的基本医疗保险费。</w:t>
      </w:r>
    </w:p>
    <w:p w14:paraId="3BA4ECE3">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其他社会保障缴费：反映单位为职工缴纳的基本医疗、失业、工伤、生育等社会保险费，残疾人就业保障金，军队（含武警）为军人缴纳的伤亡、退役医疗等社会保险费。</w:t>
      </w:r>
    </w:p>
    <w:p w14:paraId="16E963A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住房公积金：反映行政事业单位按人力资源和社会保障部、财政部规定的基本工资和津贴补贴以及规定比例为职工缴纳的住房公积金。</w:t>
      </w:r>
    </w:p>
    <w:p w14:paraId="23751872">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p>
    <w:p w14:paraId="1EC81EA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商品和服务支出：反映单位购买商品和服务的支出（不包括用于购置固定资产的支出、战略性和应急储备支出）。</w:t>
      </w:r>
    </w:p>
    <w:p w14:paraId="3F15770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办公费：反映单位购买按财务会计制度规定不符合固定资产确认标准的日常办公用品、书报杂志等支出。</w:t>
      </w:r>
    </w:p>
    <w:p w14:paraId="30612684">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印刷费：反映单位的印刷费支出。</w:t>
      </w:r>
    </w:p>
    <w:p w14:paraId="015C4747">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咨询费：反映单位咨询方面的支出。</w:t>
      </w:r>
    </w:p>
    <w:p w14:paraId="11DA072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水费：反映单位支付的水费、污水处理费等支出。</w:t>
      </w:r>
    </w:p>
    <w:p w14:paraId="2F4CD5BE">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电费：反映单位的电费支出。</w:t>
      </w:r>
    </w:p>
    <w:p w14:paraId="6B3793BA">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邮电费：反映单位开支的信函、包裹、货物等物品的邮寄费及电话费、电报费、传真费、网络通讯费等。</w:t>
      </w:r>
    </w:p>
    <w:p w14:paraId="73A54F8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差旅费：反映单位工作人员出差发生的城市间交通费、住宿费、伙食补贴费和市内交通费。</w:t>
      </w:r>
    </w:p>
    <w:p w14:paraId="79A2DC67">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维修</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护</w:t>
      </w:r>
      <w:r>
        <w:rPr>
          <w:rFonts w:ascii="宋体" w:hAnsi="Times New Roman" w:eastAsia="宋体" w:cs="宋体"/>
          <w:kern w:val="0"/>
          <w:sz w:val="32"/>
          <w:szCs w:val="32"/>
          <w:highlight w:val="none"/>
        </w:rPr>
        <w:t>)</w:t>
      </w:r>
      <w:r>
        <w:rPr>
          <w:rFonts w:hint="eastAsia" w:ascii="宋体" w:hAnsi="Times New Roman" w:eastAsia="宋体" w:cs="宋体"/>
          <w:kern w:val="0"/>
          <w:sz w:val="32"/>
          <w:szCs w:val="32"/>
          <w:highlight w:val="none"/>
        </w:rPr>
        <w:t>费：反映单位日常开支的固定资产（不包括车船等交通工具）修理和维护费用，网络信息系统运行与维护费用，以及按规定提取的修购基金。</w:t>
      </w:r>
    </w:p>
    <w:p w14:paraId="337570A7">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会议费：反映会议中按规定开支的住宿费、伙食费、会议室租金、交通费、文件印刷费、医药费等。</w:t>
      </w:r>
    </w:p>
    <w:p w14:paraId="3D22DDCE">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培训费：反映除因公出国（境）培训费以外的各类培训支出。</w:t>
      </w:r>
    </w:p>
    <w:p w14:paraId="145369B5">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B7EC5AE">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劳务费：反映支付给单位和个人的劳务费用，如临时聘用人员、钟点工工资，稿费、翻译费，评审费等。</w:t>
      </w:r>
    </w:p>
    <w:p w14:paraId="083CDA08">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委托业务费：反映因委托外单位办理业务而支付的委托业务费。</w:t>
      </w:r>
    </w:p>
    <w:p w14:paraId="5DA247F0">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工会经费：反映单位按规定提取的工会经费。</w:t>
      </w:r>
    </w:p>
    <w:p w14:paraId="1F91DDF1">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福利费：反映单位按规定提取的福利费。</w:t>
      </w:r>
    </w:p>
    <w:p w14:paraId="5C2E61D9">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其他交通费用：反映单位除公务用车运行维护费以外的其他交通费用。如公务交通补贴，租车费用、出租车费用，飞机、船舶等的燃料费、维修费、保险费等。</w:t>
      </w:r>
    </w:p>
    <w:p w14:paraId="31DB60AF">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其他商品和服务支出：反映上述科目未包括的日常公用支出。如行政赔偿费和诉讼费、国内组织的会员费、来访费、广告宣传、其他劳务费及离休人员特需费、公用经费等。</w:t>
      </w:r>
    </w:p>
    <w:p w14:paraId="138DAAED">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对个人和家庭的补助：反映政府用于对个人和家庭的补助支出。</w:t>
      </w:r>
    </w:p>
    <w:p w14:paraId="6471F843">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抚恤金：反映按规定开支的烈士遗属、牺牲病故人员遗属的一次性和定期抚恤金，伤残人员的抚恤金，离退休人员等其他人员的各项抚恤金。</w:t>
      </w:r>
    </w:p>
    <w:p w14:paraId="60019E6B">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7A8C843A">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77DDDAF8">
      <w:pPr>
        <w:keepNext w:val="0"/>
        <w:keepLines w:val="0"/>
        <w:pageBreakBefore w:val="0"/>
        <w:widowControl w:val="0"/>
        <w:kinsoku/>
        <w:wordWrap/>
        <w:overflowPunct/>
        <w:topLinePunct w:val="0"/>
        <w:autoSpaceDE w:val="0"/>
        <w:autoSpaceDN w:val="0"/>
        <w:bidi w:val="0"/>
        <w:adjustRightInd w:val="0"/>
        <w:snapToGrid/>
        <w:ind w:firstLine="640"/>
        <w:textAlignment w:val="auto"/>
        <w:rPr>
          <w:rFonts w:ascii="宋体" w:hAnsi="Times New Roman" w:eastAsia="宋体" w:cs="宋体"/>
          <w:kern w:val="0"/>
          <w:sz w:val="32"/>
          <w:szCs w:val="32"/>
          <w:highlight w:val="none"/>
        </w:rPr>
      </w:pPr>
      <w:r>
        <w:rPr>
          <w:rFonts w:hint="eastAsia" w:ascii="宋体" w:hAnsi="Times New Roman" w:eastAsia="宋体" w:cs="宋体"/>
          <w:kern w:val="0"/>
          <w:sz w:val="32"/>
          <w:szCs w:val="32"/>
          <w:highlight w:val="none"/>
        </w:rPr>
        <w:t>其他对个人和家庭的补助支出：反映未包括在上述科目的对个人和家庭的补助支出，</w:t>
      </w:r>
    </w:p>
    <w:p w14:paraId="531DE25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办公用房物业管理费、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公务用车运行维护费以及其他费用。</w:t>
      </w:r>
    </w:p>
    <w:p w14:paraId="6D043AA9">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p>
    <w:p w14:paraId="3E26D22D">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第五部分</w:t>
      </w:r>
    </w:p>
    <w:p w14:paraId="4CB0F532">
      <w:pPr>
        <w:pStyle w:val="14"/>
        <w:keepNext w:val="0"/>
        <w:keepLines w:val="0"/>
        <w:pageBreakBefore w:val="0"/>
        <w:widowControl w:val="0"/>
        <w:kinsoku/>
        <w:wordWrap/>
        <w:overflowPunct/>
        <w:topLinePunct w:val="0"/>
        <w:bidi w:val="0"/>
        <w:snapToGrid/>
        <w:jc w:val="center"/>
        <w:textAlignment w:val="auto"/>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附 件</w:t>
      </w:r>
    </w:p>
    <w:p w14:paraId="6C7650F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年度华容县北景港镇人民政府部门决算公开表格</w:t>
      </w:r>
    </w:p>
    <w:p w14:paraId="5AEE99D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年度华容县北景港镇人民政府整体支出绩效自评报告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07CED"/>
    <w:rsid w:val="0002229B"/>
    <w:rsid w:val="000273BD"/>
    <w:rsid w:val="00027A5A"/>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01AB"/>
    <w:rsid w:val="002E0A30"/>
    <w:rsid w:val="002E3273"/>
    <w:rsid w:val="003130C4"/>
    <w:rsid w:val="00316C4B"/>
    <w:rsid w:val="0032192B"/>
    <w:rsid w:val="003479BD"/>
    <w:rsid w:val="0037197D"/>
    <w:rsid w:val="003768D5"/>
    <w:rsid w:val="003926B9"/>
    <w:rsid w:val="003C47E6"/>
    <w:rsid w:val="003C4FC2"/>
    <w:rsid w:val="003C658E"/>
    <w:rsid w:val="003F0B5D"/>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8D1FB3"/>
    <w:rsid w:val="00904967"/>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286D"/>
    <w:rsid w:val="00BD6C3E"/>
    <w:rsid w:val="00BD71E0"/>
    <w:rsid w:val="00BE3674"/>
    <w:rsid w:val="00C10681"/>
    <w:rsid w:val="00C27983"/>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EF7460"/>
    <w:rsid w:val="00F74360"/>
    <w:rsid w:val="00FB462F"/>
    <w:rsid w:val="00FE16FA"/>
    <w:rsid w:val="00FE328A"/>
    <w:rsid w:val="00FE6269"/>
    <w:rsid w:val="00FF5CD6"/>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5297B90"/>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13918</Words>
  <Characters>14507</Characters>
  <Lines>105</Lines>
  <Paragraphs>29</Paragraphs>
  <TotalTime>0</TotalTime>
  <ScaleCrop>false</ScaleCrop>
  <LinksUpToDate>false</LinksUpToDate>
  <CharactersWithSpaces>14632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2025-11-12T12:53:20Z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