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202</w:t>
      </w:r>
      <w:r w:rsidR="00577DDF">
        <w:rPr>
          <w:rFonts w:ascii="方正隶书_GBK" w:eastAsia="方正隶书_GBK" w:hAnsi="方正隶书_GBK" w:cs="方正隶书_GBK" w:hint="eastAsia"/>
          <w:sz w:val="36"/>
          <w:szCs w:val="36"/>
        </w:rPr>
        <w:t>3</w:t>
      </w:r>
      <w:r w:rsidRPr="00F2547E">
        <w:rPr>
          <w:rFonts w:ascii="方正隶书_GBK" w:eastAsia="方正隶书_GBK" w:hAnsi="方正隶书_GBK" w:cs="方正隶书_GBK" w:hint="eastAsia"/>
          <w:sz w:val="36"/>
          <w:szCs w:val="36"/>
        </w:rPr>
        <w:t>年度华容县纪委监委</w:t>
      </w:r>
      <w:r w:rsidR="00F75851">
        <w:rPr>
          <w:rFonts w:ascii="方正隶书_GBK" w:eastAsia="方正隶书_GBK" w:hAnsi="方正隶书_GBK" w:cs="方正隶书_GBK" w:hint="eastAsia"/>
          <w:sz w:val="36"/>
          <w:szCs w:val="36"/>
        </w:rPr>
        <w:t>办信办案</w:t>
      </w:r>
      <w:r w:rsidRPr="00F2547E">
        <w:rPr>
          <w:rFonts w:ascii="方正隶书_GBK" w:eastAsia="方正隶书_GBK" w:hAnsi="方正隶书_GBK" w:cs="方正隶书_GBK" w:hint="eastAsia"/>
          <w:sz w:val="36"/>
          <w:szCs w:val="36"/>
        </w:rPr>
        <w:t>专项经费支出</w:t>
      </w:r>
    </w:p>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绩效自评报告</w:t>
      </w:r>
    </w:p>
    <w:p w:rsidR="00F2547E" w:rsidRDefault="00F2547E" w:rsidP="00F2547E">
      <w:pPr>
        <w:jc w:val="center"/>
        <w:rPr>
          <w:rFonts w:eastAsia="方正小标宋_GBK"/>
          <w:b/>
          <w:sz w:val="52"/>
          <w:szCs w:val="5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黑体"/>
          <w:sz w:val="32"/>
          <w:szCs w:val="32"/>
        </w:rPr>
      </w:pPr>
    </w:p>
    <w:p w:rsidR="00F2547E" w:rsidRDefault="00F2547E" w:rsidP="00F2547E">
      <w:pPr>
        <w:jc w:val="center"/>
        <w:rPr>
          <w:rFonts w:eastAsia="黑体"/>
          <w:sz w:val="32"/>
          <w:szCs w:val="32"/>
        </w:rPr>
      </w:pPr>
    </w:p>
    <w:p w:rsidR="00F2547E" w:rsidRDefault="00F2547E" w:rsidP="00F2547E">
      <w:pPr>
        <w:rPr>
          <w:rFonts w:eastAsia="黑体"/>
          <w:sz w:val="32"/>
          <w:szCs w:val="32"/>
        </w:rPr>
      </w:pPr>
    </w:p>
    <w:p w:rsidR="00F2547E" w:rsidRDefault="00F2547E" w:rsidP="00F2547E">
      <w:pPr>
        <w:rPr>
          <w:rFonts w:eastAsia="黑体"/>
          <w:sz w:val="32"/>
          <w:szCs w:val="32"/>
        </w:rPr>
      </w:pPr>
    </w:p>
    <w:p w:rsidR="00F2547E" w:rsidRDefault="00F2547E" w:rsidP="00F2547E">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rsidR="00F2547E" w:rsidRDefault="00F2547E" w:rsidP="00F2547E">
      <w:pPr>
        <w:spacing w:line="600" w:lineRule="exact"/>
        <w:jc w:val="center"/>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sz w:val="32"/>
          <w:szCs w:val="32"/>
        </w:rPr>
        <w:t xml:space="preserve"> </w:t>
      </w:r>
      <w:r>
        <w:rPr>
          <w:rFonts w:eastAsia="楷体_GB2312" w:hint="eastAsia"/>
          <w:sz w:val="32"/>
          <w:szCs w:val="32"/>
        </w:rPr>
        <w:t>5</w:t>
      </w:r>
      <w:r>
        <w:rPr>
          <w:rFonts w:eastAsia="楷体_GB2312"/>
          <w:sz w:val="32"/>
          <w:szCs w:val="32"/>
        </w:rPr>
        <w:t xml:space="preserve"> </w:t>
      </w:r>
      <w:r>
        <w:rPr>
          <w:rFonts w:eastAsia="楷体_GB2312"/>
          <w:sz w:val="32"/>
          <w:szCs w:val="32"/>
        </w:rPr>
        <w:t>月</w:t>
      </w:r>
      <w:r>
        <w:rPr>
          <w:rFonts w:eastAsia="楷体_GB2312"/>
          <w:sz w:val="32"/>
          <w:szCs w:val="32"/>
        </w:rPr>
        <w:t xml:space="preserve"> </w:t>
      </w:r>
      <w:r>
        <w:rPr>
          <w:rFonts w:eastAsia="楷体_GB2312" w:hint="eastAsia"/>
          <w:sz w:val="32"/>
          <w:szCs w:val="32"/>
        </w:rPr>
        <w:t>31</w:t>
      </w:r>
      <w:r>
        <w:rPr>
          <w:rFonts w:eastAsia="楷体_GB2312"/>
          <w:sz w:val="32"/>
          <w:szCs w:val="32"/>
        </w:rPr>
        <w:t xml:space="preserve"> </w:t>
      </w:r>
      <w:r>
        <w:rPr>
          <w:rFonts w:eastAsia="楷体_GB2312"/>
          <w:sz w:val="32"/>
          <w:szCs w:val="32"/>
        </w:rPr>
        <w:t>日</w:t>
      </w:r>
    </w:p>
    <w:p w:rsidR="00F2547E" w:rsidRPr="008B1E55" w:rsidRDefault="00F2547E" w:rsidP="00F2547E">
      <w:pPr>
        <w:spacing w:line="610" w:lineRule="exact"/>
        <w:jc w:val="center"/>
        <w:rPr>
          <w:rFonts w:ascii="方正隶书_GBK" w:eastAsia="方正隶书_GBK" w:hAnsi="方正隶书_GBK" w:cs="方正隶书_GBK"/>
          <w:sz w:val="36"/>
          <w:szCs w:val="36"/>
        </w:rPr>
      </w:pPr>
      <w:r>
        <w:rPr>
          <w:rFonts w:eastAsia="仿宋_GB2312"/>
          <w:sz w:val="32"/>
          <w:szCs w:val="32"/>
        </w:rPr>
        <w:br w:type="page"/>
      </w:r>
      <w:r w:rsidRPr="008B1E55">
        <w:rPr>
          <w:rFonts w:ascii="方正隶书_GBK" w:eastAsia="方正隶书_GBK" w:hAnsi="方正隶书_GBK" w:cs="方正隶书_GBK" w:hint="eastAsia"/>
          <w:sz w:val="36"/>
          <w:szCs w:val="36"/>
        </w:rPr>
        <w:lastRenderedPageBreak/>
        <w:t>2023年度华容县纪委监委</w:t>
      </w:r>
      <w:r w:rsidR="00F75851">
        <w:rPr>
          <w:rFonts w:ascii="方正隶书_GBK" w:eastAsia="方正隶书_GBK" w:hAnsi="方正隶书_GBK" w:cs="方正隶书_GBK" w:hint="eastAsia"/>
          <w:sz w:val="36"/>
          <w:szCs w:val="36"/>
        </w:rPr>
        <w:t>办信办案</w:t>
      </w:r>
      <w:r w:rsidRPr="008B1E55">
        <w:rPr>
          <w:rFonts w:ascii="方正隶书_GBK" w:eastAsia="方正隶书_GBK" w:hAnsi="方正隶书_GBK" w:cs="方正隶书_GBK" w:hint="eastAsia"/>
          <w:sz w:val="36"/>
          <w:szCs w:val="36"/>
        </w:rPr>
        <w:t>专项经费支出</w:t>
      </w:r>
    </w:p>
    <w:p w:rsidR="00F2547E" w:rsidRPr="008B1E55" w:rsidRDefault="00F2547E" w:rsidP="00F2547E">
      <w:pPr>
        <w:spacing w:line="610" w:lineRule="exact"/>
        <w:jc w:val="center"/>
        <w:rPr>
          <w:rFonts w:eastAsia="仿宋_GB2312"/>
          <w:sz w:val="36"/>
          <w:szCs w:val="36"/>
        </w:rPr>
      </w:pPr>
      <w:r w:rsidRPr="008B1E55">
        <w:rPr>
          <w:rFonts w:ascii="方正隶书_GBK" w:eastAsia="方正隶书_GBK" w:hAnsi="方正隶书_GBK" w:cs="方正隶书_GBK" w:hint="eastAsia"/>
          <w:sz w:val="36"/>
          <w:szCs w:val="36"/>
        </w:rPr>
        <w:t>绩效自评报告</w:t>
      </w:r>
    </w:p>
    <w:p w:rsidR="00F2547E" w:rsidRDefault="00F2547E" w:rsidP="00F2547E">
      <w:pPr>
        <w:spacing w:line="610" w:lineRule="exact"/>
        <w:ind w:firstLineChars="200" w:firstLine="600"/>
        <w:rPr>
          <w:rFonts w:ascii="黑体" w:eastAsia="黑体" w:hAnsi="黑体" w:cs="黑体"/>
          <w:sz w:val="30"/>
          <w:szCs w:val="30"/>
        </w:rPr>
      </w:pP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一、基本情况</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(一)项目概况。</w:t>
      </w:r>
      <w:r w:rsidR="0057067E" w:rsidRPr="0057067E">
        <w:rPr>
          <w:rFonts w:ascii="仿宋" w:eastAsia="仿宋" w:hAnsi="仿宋" w:cs="仿宋_GB2312" w:hint="eastAsia"/>
          <w:bCs/>
          <w:sz w:val="28"/>
          <w:szCs w:val="28"/>
        </w:rPr>
        <w:t>坚定不移以习近平新时代中国特色社会主义思想为指导，切实发挥监督保障执行，促进完善发展作用，以畅通群众监督渠道为抓手，指导督促纪检监察干部日常接访群众229批364人次，安排督促领导包案处访20件，立案7人，组织处理13人，接访处访机制有效、成效显著。</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(二)项目绩效目标。</w:t>
      </w:r>
      <w:r w:rsidR="00D76E17" w:rsidRPr="00D76E17">
        <w:rPr>
          <w:rFonts w:ascii="仿宋" w:eastAsia="仿宋" w:hAnsi="仿宋" w:cs="仿宋_GB2312" w:hint="eastAsia"/>
          <w:bCs/>
          <w:sz w:val="28"/>
          <w:szCs w:val="28"/>
        </w:rPr>
        <w:t>紧密结合华容实际，深学习、实调研、抓落实，持续推动健全全面从严治党体系，始终以严的基调、严的措施、严的氛围强化政治监督、正风肃纪反腐，</w:t>
      </w:r>
      <w:r w:rsidR="00D76E17">
        <w:rPr>
          <w:rFonts w:ascii="仿宋" w:eastAsia="仿宋" w:hAnsi="仿宋" w:cs="仿宋_GB2312" w:hint="eastAsia"/>
          <w:bCs/>
          <w:sz w:val="28"/>
          <w:szCs w:val="28"/>
        </w:rPr>
        <w:t>着力推动“三不腐”。</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二、绩效评价工作开展情况</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(一)绩效评价目的、对象和范围。</w:t>
      </w:r>
      <w:r>
        <w:rPr>
          <w:rFonts w:ascii="仿宋" w:eastAsia="仿宋" w:hAnsi="仿宋" w:cs="仿宋_GB2312" w:hint="eastAsia"/>
          <w:bCs/>
          <w:sz w:val="28"/>
          <w:szCs w:val="28"/>
        </w:rPr>
        <w:t>为了客观、科学、公正的评价纪检</w:t>
      </w:r>
      <w:r w:rsidR="003E4223">
        <w:rPr>
          <w:rFonts w:ascii="仿宋" w:eastAsia="仿宋" w:hAnsi="仿宋" w:cs="仿宋_GB2312" w:hint="eastAsia"/>
          <w:bCs/>
          <w:sz w:val="28"/>
          <w:szCs w:val="28"/>
        </w:rPr>
        <w:t>监察办信办案</w:t>
      </w:r>
      <w:r>
        <w:rPr>
          <w:rFonts w:ascii="仿宋" w:eastAsia="仿宋" w:hAnsi="仿宋" w:cs="仿宋_GB2312" w:hint="eastAsia"/>
          <w:bCs/>
          <w:sz w:val="28"/>
          <w:szCs w:val="28"/>
        </w:rPr>
        <w:t>专项资金使用情况，全面评价专项资金的效用效益，</w:t>
      </w:r>
      <w:r>
        <w:rPr>
          <w:rFonts w:ascii="仿宋" w:eastAsia="仿宋" w:hAnsi="仿宋" w:cs="仿宋_GB2312"/>
          <w:bCs/>
          <w:sz w:val="28"/>
          <w:szCs w:val="28"/>
        </w:rPr>
        <w:t>通过开展绩效评价工作能够清晰的从资金层面反映单位工作的内容及工作目标、工作成效、工作标准。借助投入与产出分析，资金使用效果及产生的经济效益、社会效益分析。促进资金管理科学化、规范化。通过适时的资金预算、预算执行、执行成果的绩效评价，为以后年度更加合理、精准、合理编制预算，选择项目和项目实施主体提供经验基础。</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(二)绩效评价原则、评价指标体系(附表说明)、评价方法、 评价标准等。</w:t>
      </w:r>
      <w:r>
        <w:rPr>
          <w:rFonts w:ascii="仿宋" w:eastAsia="仿宋" w:hAnsi="仿宋" w:cs="仿宋_GB2312" w:hint="eastAsia"/>
          <w:bCs/>
          <w:sz w:val="28"/>
          <w:szCs w:val="28"/>
        </w:rPr>
        <w:t>根据财政部门对财政支出绩效评价管理的相关规定和工作要</w:t>
      </w:r>
      <w:r>
        <w:rPr>
          <w:rFonts w:ascii="仿宋" w:eastAsia="仿宋" w:hAnsi="仿宋" w:cs="仿宋_GB2312" w:hint="eastAsia"/>
          <w:bCs/>
          <w:sz w:val="28"/>
          <w:szCs w:val="28"/>
        </w:rPr>
        <w:lastRenderedPageBreak/>
        <w:t>求，本次绩效评价遵循科学规范和绩效相关原则；评价方法采用目标比较法和因素分析法；设置了定量与定性相结合的指标，评价标准详见“202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年度项目支出绩效自评表”。</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(三)绩效评价工作过程。</w:t>
      </w:r>
      <w:r>
        <w:rPr>
          <w:rFonts w:ascii="仿宋" w:eastAsia="仿宋" w:hAnsi="仿宋" w:cs="仿宋_GB2312" w:hint="eastAsia"/>
          <w:bCs/>
          <w:sz w:val="28"/>
          <w:szCs w:val="28"/>
        </w:rPr>
        <w:t>根据《华容县财政局关于</w:t>
      </w:r>
      <w:r w:rsidR="008B1E55">
        <w:rPr>
          <w:rFonts w:ascii="仿宋" w:eastAsia="仿宋" w:hAnsi="仿宋" w:cs="仿宋_GB2312" w:hint="eastAsia"/>
          <w:bCs/>
          <w:sz w:val="28"/>
          <w:szCs w:val="28"/>
        </w:rPr>
        <w:t>全面</w:t>
      </w:r>
      <w:r>
        <w:rPr>
          <w:rFonts w:ascii="仿宋" w:eastAsia="仿宋" w:hAnsi="仿宋" w:cs="仿宋_GB2312" w:hint="eastAsia"/>
          <w:bCs/>
          <w:sz w:val="28"/>
          <w:szCs w:val="28"/>
        </w:rPr>
        <w:t>开展202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年度财政预算支出绩效</w:t>
      </w:r>
      <w:r w:rsidR="008B1E55">
        <w:rPr>
          <w:rFonts w:ascii="仿宋" w:eastAsia="仿宋" w:hAnsi="仿宋" w:cs="仿宋_GB2312" w:hint="eastAsia"/>
          <w:bCs/>
          <w:sz w:val="28"/>
          <w:szCs w:val="28"/>
        </w:rPr>
        <w:t>评价</w:t>
      </w:r>
      <w:r>
        <w:rPr>
          <w:rFonts w:ascii="仿宋" w:eastAsia="仿宋" w:hAnsi="仿宋" w:cs="仿宋_GB2312" w:hint="eastAsia"/>
          <w:bCs/>
          <w:sz w:val="28"/>
          <w:szCs w:val="28"/>
        </w:rPr>
        <w:t>工作的通知》（华财函[202</w:t>
      </w:r>
      <w:r w:rsidR="008B1E55">
        <w:rPr>
          <w:rFonts w:ascii="仿宋" w:eastAsia="仿宋" w:hAnsi="仿宋" w:cs="仿宋_GB2312" w:hint="eastAsia"/>
          <w:bCs/>
          <w:sz w:val="28"/>
          <w:szCs w:val="28"/>
        </w:rPr>
        <w:t>4</w:t>
      </w:r>
      <w:r>
        <w:rPr>
          <w:rFonts w:ascii="仿宋" w:eastAsia="仿宋" w:hAnsi="仿宋" w:cs="仿宋_GB2312" w:hint="eastAsia"/>
          <w:bCs/>
          <w:sz w:val="28"/>
          <w:szCs w:val="28"/>
        </w:rPr>
        <w:t>]</w:t>
      </w:r>
      <w:r w:rsidR="008B1E55">
        <w:rPr>
          <w:rFonts w:ascii="仿宋" w:eastAsia="仿宋" w:hAnsi="仿宋" w:cs="仿宋_GB2312" w:hint="eastAsia"/>
          <w:bCs/>
          <w:sz w:val="28"/>
          <w:szCs w:val="28"/>
        </w:rPr>
        <w:t>103</w:t>
      </w:r>
      <w:r>
        <w:rPr>
          <w:rFonts w:ascii="仿宋" w:eastAsia="仿宋" w:hAnsi="仿宋" w:cs="仿宋_GB2312" w:hint="eastAsia"/>
          <w:bCs/>
          <w:sz w:val="28"/>
          <w:szCs w:val="28"/>
        </w:rPr>
        <w:t>号）有关规定，结合我委工作实际，成立了以县纪委副书记县监委副主任为组长的绩效自评工作组，认真开展预算支出绩效自评工作。绩效自评采取量化评分的形式，由各项指标加权汇总形成，总分100分，其中全部完成记该指标所赋全部分值，未完成指标按照完成值与指标的比例计分。最后根据打分情况，由办公室财务人员进行汇总填写绩效自评表撰写自评报告。在开展绩效自评工作时，各室、办、中心、组认真配合，全面整理评价所需基础信息资料，在日常财务管理严格遵循财务审批制度，做到了客观真实，绩效目标按计划完成。</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 xml:space="preserve">三、综合评价情况及评价结论 </w:t>
      </w:r>
    </w:p>
    <w:p w:rsidR="00F2547E" w:rsidRDefault="00357469" w:rsidP="00BD0685">
      <w:pPr>
        <w:pStyle w:val="a"/>
        <w:numPr>
          <w:ilvl w:val="0"/>
          <w:numId w:val="0"/>
        </w:numPr>
        <w:spacing w:line="52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圆满完成绩效目标任务。</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四、绩效评价指标分析</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(一)项目决策情况。</w:t>
      </w:r>
      <w:r>
        <w:rPr>
          <w:rFonts w:ascii="仿宋" w:eastAsia="仿宋" w:hAnsi="仿宋" w:cs="仿宋_GB2312" w:hint="eastAsia"/>
          <w:bCs/>
          <w:sz w:val="28"/>
          <w:szCs w:val="28"/>
        </w:rPr>
        <w:t>坚持</w:t>
      </w:r>
      <w:r w:rsidR="009E02AB">
        <w:rPr>
          <w:rFonts w:ascii="仿宋" w:eastAsia="仿宋" w:hAnsi="仿宋" w:cs="仿宋_GB2312" w:hint="eastAsia"/>
          <w:bCs/>
          <w:sz w:val="28"/>
          <w:szCs w:val="28"/>
        </w:rPr>
        <w:t>问题导向，围绕重点领域和关键环节</w:t>
      </w:r>
      <w:r>
        <w:rPr>
          <w:rFonts w:ascii="仿宋" w:eastAsia="仿宋" w:hAnsi="仿宋" w:cs="仿宋_GB2312" w:hint="eastAsia"/>
          <w:bCs/>
          <w:sz w:val="28"/>
          <w:szCs w:val="28"/>
        </w:rPr>
        <w:t>，深入查找违纪违法方面问题。</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(二)项目过程情况。</w:t>
      </w:r>
      <w:r>
        <w:rPr>
          <w:rFonts w:ascii="仿宋" w:eastAsia="仿宋" w:hAnsi="仿宋" w:cs="仿宋_GB2312" w:hint="eastAsia"/>
          <w:bCs/>
          <w:sz w:val="28"/>
          <w:szCs w:val="28"/>
        </w:rPr>
        <w:t>在项目实施过程中，本着厉行节约的原则，严格按照“三重一大”程序和一事一议、一案一报的要求管理和使用专项资金。</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(三)项目产出情况</w:t>
      </w:r>
      <w:r w:rsidRPr="00D76E17">
        <w:rPr>
          <w:rFonts w:ascii="仿宋" w:eastAsia="仿宋" w:hAnsi="仿宋" w:cs="仿宋_GB2312" w:hint="eastAsia"/>
          <w:bCs/>
          <w:sz w:val="28"/>
          <w:szCs w:val="28"/>
        </w:rPr>
        <w:t>。</w:t>
      </w:r>
      <w:r w:rsidR="00D76E17" w:rsidRPr="00D76E17">
        <w:rPr>
          <w:rFonts w:ascii="仿宋" w:eastAsia="仿宋" w:hAnsi="仿宋" w:cs="仿宋_GB2312" w:hint="eastAsia"/>
          <w:bCs/>
          <w:sz w:val="28"/>
          <w:szCs w:val="28"/>
        </w:rPr>
        <w:t>以坚定拥护“两个确立”、坚决做到“两个维护”的使命责任，持之以恒做到了党中央重大决策部署到哪里、政治</w:t>
      </w:r>
      <w:r w:rsidR="00D76E17" w:rsidRPr="00D76E17">
        <w:rPr>
          <w:rFonts w:ascii="仿宋" w:eastAsia="仿宋" w:hAnsi="仿宋" w:cs="仿宋_GB2312" w:hint="eastAsia"/>
          <w:bCs/>
          <w:sz w:val="28"/>
          <w:szCs w:val="28"/>
        </w:rPr>
        <w:lastRenderedPageBreak/>
        <w:t>监督就跟进到哪里。“洞庭清波”监督整改销号问题13项，查处涉环保问题23件，处理35人。“三湘护农”立案55件，给予党纪政务处分67人。高效完成省纪委副书记、省监委副主任张建平来华容调研督导时指示的24个具体问题整改。深入开展领导干部利用职权或影响力为亲友牟利、工程项目招投标突出问题等专项整治，全年共立案6件，批评教育帮助和处理12人。各派驻纪监组认真落实“3+2”会商联系机制，切实履行派驻职责，组织驻在单位开好了全面从严治党专题会商会，政治监督的“探头”和“前哨”作用得到进一步发挥</w:t>
      </w:r>
      <w:r w:rsidR="00F4049E">
        <w:rPr>
          <w:rFonts w:ascii="仿宋" w:eastAsia="仿宋" w:hAnsi="仿宋" w:cs="仿宋_GB2312" w:hint="eastAsia"/>
          <w:bCs/>
          <w:sz w:val="28"/>
          <w:szCs w:val="28"/>
        </w:rPr>
        <w:t>。</w:t>
      </w:r>
    </w:p>
    <w:p w:rsidR="001B09D3" w:rsidRPr="001B09D3" w:rsidRDefault="00F2547E" w:rsidP="001B09D3">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(四)项目效益情况。</w:t>
      </w:r>
      <w:r w:rsidR="00D76E17">
        <w:rPr>
          <w:rFonts w:ascii="仿宋" w:eastAsia="仿宋" w:hAnsi="仿宋" w:cs="仿宋_GB2312" w:hint="eastAsia"/>
          <w:bCs/>
          <w:sz w:val="28"/>
          <w:szCs w:val="28"/>
        </w:rPr>
        <w:t>办案办信</w:t>
      </w:r>
      <w:r w:rsidR="00357469">
        <w:rPr>
          <w:rFonts w:ascii="仿宋" w:eastAsia="仿宋" w:hAnsi="仿宋" w:cs="仿宋_GB2312" w:hint="eastAsia"/>
          <w:bCs/>
          <w:sz w:val="28"/>
          <w:szCs w:val="28"/>
        </w:rPr>
        <w:t>专项经费项目的实施，为</w:t>
      </w:r>
      <w:r w:rsidR="00D76E17">
        <w:rPr>
          <w:rFonts w:ascii="仿宋" w:eastAsia="仿宋" w:hAnsi="仿宋" w:cs="仿宋_GB2312" w:hint="eastAsia"/>
          <w:bCs/>
          <w:sz w:val="28"/>
          <w:szCs w:val="28"/>
        </w:rPr>
        <w:t>政治监督</w:t>
      </w:r>
      <w:r w:rsidR="00357469">
        <w:rPr>
          <w:rFonts w:ascii="仿宋" w:eastAsia="仿宋" w:hAnsi="仿宋" w:cs="仿宋_GB2312" w:hint="eastAsia"/>
          <w:bCs/>
          <w:sz w:val="28"/>
          <w:szCs w:val="28"/>
        </w:rPr>
        <w:t>工作提供必要保障，通过</w:t>
      </w:r>
      <w:r w:rsidR="001B09D3" w:rsidRPr="001B09D3">
        <w:rPr>
          <w:rFonts w:ascii="仿宋" w:eastAsia="仿宋" w:hAnsi="仿宋" w:cs="仿宋_GB2312" w:hint="eastAsia"/>
          <w:bCs/>
          <w:sz w:val="28"/>
          <w:szCs w:val="28"/>
        </w:rPr>
        <w:t>结合群众“点题”监督机制</w:t>
      </w:r>
      <w:r w:rsidR="00357469">
        <w:rPr>
          <w:rFonts w:ascii="仿宋" w:eastAsia="仿宋" w:hAnsi="仿宋" w:cs="仿宋_GB2312" w:hint="eastAsia"/>
          <w:bCs/>
          <w:sz w:val="28"/>
          <w:szCs w:val="28"/>
        </w:rPr>
        <w:t>查办</w:t>
      </w:r>
      <w:r w:rsidR="001B09D3">
        <w:rPr>
          <w:rFonts w:ascii="仿宋" w:eastAsia="仿宋" w:hAnsi="仿宋" w:cs="仿宋_GB2312" w:hint="eastAsia"/>
          <w:bCs/>
          <w:sz w:val="28"/>
          <w:szCs w:val="28"/>
        </w:rPr>
        <w:t>案件，</w:t>
      </w:r>
      <w:r w:rsidR="001B09D3" w:rsidRPr="001B09D3">
        <w:rPr>
          <w:rFonts w:ascii="仿宋" w:eastAsia="仿宋" w:hAnsi="仿宋" w:cs="仿宋_GB2312" w:hint="eastAsia"/>
          <w:bCs/>
          <w:sz w:val="28"/>
          <w:szCs w:val="28"/>
        </w:rPr>
        <w:t>持续深化正风肃纪反腐，坚定不移把开展监督问责执纪、打赢反腐败斗争、维护政治生态的势能转化为纪检监察事业高质量发展的动能，以笃定冲刺、坚韧长跑的姿态，为全面推进富美华容现代化强县建设提供坚强保障。</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五、主要经验及做法、存在的问题及原因分析</w:t>
      </w:r>
    </w:p>
    <w:p w:rsidR="00F2547E" w:rsidRDefault="00F2547E" w:rsidP="00F2547E">
      <w:pPr>
        <w:spacing w:line="56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华容县纪委监委</w:t>
      </w:r>
      <w:r w:rsidR="001B09D3">
        <w:rPr>
          <w:rFonts w:ascii="仿宋" w:eastAsia="仿宋" w:hAnsi="仿宋" w:cs="仿宋_GB2312" w:hint="eastAsia"/>
          <w:bCs/>
          <w:sz w:val="28"/>
          <w:szCs w:val="28"/>
        </w:rPr>
        <w:t>办案办信</w:t>
      </w:r>
      <w:r>
        <w:rPr>
          <w:rFonts w:ascii="仿宋" w:eastAsia="仿宋" w:hAnsi="仿宋" w:cs="仿宋_GB2312" w:hint="eastAsia"/>
          <w:bCs/>
          <w:sz w:val="28"/>
          <w:szCs w:val="28"/>
        </w:rPr>
        <w:t>专项经费预算</w:t>
      </w:r>
      <w:r>
        <w:rPr>
          <w:rFonts w:ascii="仿宋" w:eastAsia="仿宋" w:hAnsi="仿宋" w:cs="仿宋_GB2312"/>
          <w:bCs/>
          <w:sz w:val="28"/>
          <w:szCs w:val="28"/>
        </w:rPr>
        <w:t>科学、合理、实事求是</w:t>
      </w:r>
      <w:r>
        <w:rPr>
          <w:rFonts w:ascii="仿宋" w:eastAsia="仿宋" w:hAnsi="仿宋" w:cs="仿宋_GB2312" w:hint="eastAsia"/>
          <w:bCs/>
          <w:sz w:val="28"/>
          <w:szCs w:val="28"/>
        </w:rPr>
        <w:t>，项目资金专款专用，每笔资金的拨付都严格遵守审批程序，不存在</w:t>
      </w:r>
      <w:r>
        <w:rPr>
          <w:rFonts w:ascii="仿宋" w:eastAsia="仿宋" w:hAnsi="仿宋" w:cs="仿宋_GB2312"/>
          <w:bCs/>
          <w:sz w:val="28"/>
          <w:szCs w:val="28"/>
        </w:rPr>
        <w:t>挤占、挪用，浪费等情况，在整个项目执行过程中没有发现违规、违纪现象。</w:t>
      </w:r>
      <w:r>
        <w:rPr>
          <w:rFonts w:ascii="仿宋" w:eastAsia="仿宋" w:hAnsi="仿宋" w:cs="仿宋_GB2312" w:hint="eastAsia"/>
          <w:bCs/>
          <w:sz w:val="28"/>
          <w:szCs w:val="28"/>
        </w:rPr>
        <w:t>但项目绩效评价工作部署、执行等总体工作离上级要求还有差距，原因主要是</w:t>
      </w:r>
      <w:r>
        <w:rPr>
          <w:rFonts w:ascii="仿宋" w:eastAsia="仿宋" w:hAnsi="仿宋" w:cs="仿宋_GB2312"/>
          <w:bCs/>
          <w:sz w:val="28"/>
          <w:szCs w:val="28"/>
        </w:rPr>
        <w:t>单位前期项目</w:t>
      </w:r>
      <w:r>
        <w:rPr>
          <w:rFonts w:ascii="仿宋" w:eastAsia="仿宋" w:hAnsi="仿宋" w:cs="仿宋_GB2312" w:hint="eastAsia"/>
          <w:bCs/>
          <w:sz w:val="28"/>
          <w:szCs w:val="28"/>
        </w:rPr>
        <w:t>预算</w:t>
      </w:r>
      <w:r>
        <w:rPr>
          <w:rFonts w:ascii="仿宋" w:eastAsia="仿宋" w:hAnsi="仿宋" w:cs="仿宋_GB2312"/>
          <w:bCs/>
          <w:sz w:val="28"/>
          <w:szCs w:val="28"/>
        </w:rPr>
        <w:t>编制</w:t>
      </w:r>
      <w:r>
        <w:rPr>
          <w:rFonts w:ascii="仿宋" w:eastAsia="仿宋" w:hAnsi="仿宋" w:cs="仿宋_GB2312" w:hint="eastAsia"/>
          <w:bCs/>
          <w:sz w:val="28"/>
          <w:szCs w:val="28"/>
        </w:rPr>
        <w:t>绩效目标</w:t>
      </w:r>
      <w:r>
        <w:rPr>
          <w:rFonts w:ascii="仿宋" w:eastAsia="仿宋" w:hAnsi="仿宋" w:cs="仿宋_GB2312"/>
          <w:bCs/>
          <w:sz w:val="28"/>
          <w:szCs w:val="28"/>
        </w:rPr>
        <w:t>工作精细化有待提高，指标设定合理性不够。</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六、其他需要说明的问题</w:t>
      </w:r>
    </w:p>
    <w:p w:rsidR="00F2547E" w:rsidRDefault="00F2547E" w:rsidP="00F2547E">
      <w:pPr>
        <w:pStyle w:val="a"/>
        <w:numPr>
          <w:ilvl w:val="0"/>
          <w:numId w:val="0"/>
        </w:numPr>
        <w:ind w:firstLineChars="200" w:firstLine="560"/>
        <w:rPr>
          <w:rFonts w:ascii="仿宋" w:eastAsia="仿宋" w:hAnsi="仿宋" w:cs="仿宋_GB2312"/>
          <w:bCs/>
          <w:sz w:val="28"/>
          <w:szCs w:val="28"/>
        </w:rPr>
      </w:pPr>
      <w:r>
        <w:rPr>
          <w:rFonts w:ascii="仿宋" w:eastAsia="仿宋" w:hAnsi="仿宋" w:cs="仿宋_GB2312" w:hint="eastAsia"/>
          <w:bCs/>
          <w:sz w:val="28"/>
          <w:szCs w:val="28"/>
        </w:rPr>
        <w:t>无。</w:t>
      </w:r>
    </w:p>
    <w:p w:rsidR="00BD0685" w:rsidRDefault="00BD0685" w:rsidP="001B09D3">
      <w:pPr>
        <w:pStyle w:val="a"/>
        <w:numPr>
          <w:ilvl w:val="0"/>
          <w:numId w:val="0"/>
        </w:numPr>
      </w:pPr>
    </w:p>
    <w:p w:rsidR="00BD0685" w:rsidRDefault="00BD0685" w:rsidP="00F4049E">
      <w:pPr>
        <w:spacing w:afterLines="50" w:line="580" w:lineRule="exact"/>
        <w:jc w:val="center"/>
        <w:rPr>
          <w:rFonts w:ascii="仿宋_GB2312" w:eastAsia="仿宋_GB2312" w:hAnsi="仿宋_GB2312" w:cs="仿宋_GB2312"/>
          <w:sz w:val="44"/>
          <w:szCs w:val="44"/>
        </w:rPr>
      </w:pPr>
      <w:r>
        <w:rPr>
          <w:rFonts w:ascii="仿宋_GB2312" w:eastAsia="仿宋_GB2312" w:hAnsi="仿宋_GB2312" w:cs="仿宋_GB2312" w:hint="eastAsia"/>
          <w:spacing w:val="7"/>
          <w:sz w:val="44"/>
          <w:szCs w:val="44"/>
        </w:rPr>
        <w:t>2023年度项目支出绩效自评表</w:t>
      </w:r>
    </w:p>
    <w:tbl>
      <w:tblPr>
        <w:tblStyle w:val="TableNormal"/>
        <w:tblW w:w="502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906"/>
        <w:gridCol w:w="901"/>
        <w:gridCol w:w="1107"/>
        <w:gridCol w:w="942"/>
        <w:gridCol w:w="977"/>
        <w:gridCol w:w="1100"/>
        <w:gridCol w:w="598"/>
        <w:gridCol w:w="702"/>
        <w:gridCol w:w="1311"/>
      </w:tblGrid>
      <w:tr w:rsidR="00BD0685" w:rsidTr="00B5042A">
        <w:trPr>
          <w:trHeight w:val="522"/>
        </w:trPr>
        <w:tc>
          <w:tcPr>
            <w:tcW w:w="1705" w:type="pct"/>
            <w:gridSpan w:val="3"/>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项目支出名称</w:t>
            </w:r>
          </w:p>
        </w:tc>
        <w:tc>
          <w:tcPr>
            <w:tcW w:w="3295" w:type="pct"/>
            <w:gridSpan w:val="6"/>
            <w:vAlign w:val="center"/>
          </w:tcPr>
          <w:p w:rsidR="00BD0685" w:rsidRDefault="001B09D3" w:rsidP="00D4051F">
            <w:pPr>
              <w:jc w:val="center"/>
              <w:rPr>
                <w:rFonts w:ascii="黑体" w:eastAsia="黑体" w:hAnsi="黑体" w:cs="黑体"/>
                <w:szCs w:val="21"/>
              </w:rPr>
            </w:pPr>
            <w:r>
              <w:rPr>
                <w:rFonts w:ascii="黑体" w:eastAsia="黑体" w:hAnsi="黑体" w:cs="黑体" w:hint="eastAsia"/>
                <w:szCs w:val="21"/>
              </w:rPr>
              <w:t>办案办信</w:t>
            </w:r>
            <w:r w:rsidR="00B5042A">
              <w:rPr>
                <w:rFonts w:ascii="黑体" w:eastAsia="黑体" w:hAnsi="黑体" w:cs="黑体" w:hint="eastAsia"/>
                <w:szCs w:val="21"/>
              </w:rPr>
              <w:t>专项</w:t>
            </w:r>
          </w:p>
        </w:tc>
      </w:tr>
      <w:tr w:rsidR="00BD0685" w:rsidTr="00B5042A">
        <w:trPr>
          <w:trHeight w:val="522"/>
        </w:trPr>
        <w:tc>
          <w:tcPr>
            <w:tcW w:w="53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主管</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部门</w:t>
            </w:r>
          </w:p>
        </w:tc>
        <w:tc>
          <w:tcPr>
            <w:tcW w:w="2298" w:type="pct"/>
            <w:gridSpan w:val="4"/>
            <w:vAlign w:val="center"/>
          </w:tcPr>
          <w:p w:rsidR="00BD0685" w:rsidRDefault="00BD0685" w:rsidP="00D4051F">
            <w:pPr>
              <w:jc w:val="center"/>
              <w:rPr>
                <w:rFonts w:ascii="黑体" w:eastAsia="黑体" w:hAnsi="黑体" w:cs="黑体"/>
                <w:szCs w:val="21"/>
              </w:rPr>
            </w:pP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实施单位</w:t>
            </w:r>
          </w:p>
        </w:tc>
        <w:tc>
          <w:tcPr>
            <w:tcW w:w="1528" w:type="pct"/>
            <w:gridSpan w:val="3"/>
            <w:vAlign w:val="center"/>
          </w:tcPr>
          <w:p w:rsidR="00B5042A" w:rsidRDefault="00B5042A" w:rsidP="00D4051F">
            <w:pPr>
              <w:jc w:val="center"/>
              <w:rPr>
                <w:rFonts w:ascii="黑体" w:eastAsia="黑体" w:hAnsi="黑体" w:cs="黑体"/>
                <w:szCs w:val="21"/>
              </w:rPr>
            </w:pPr>
            <w:r w:rsidRPr="00B5042A">
              <w:rPr>
                <w:rFonts w:ascii="黑体" w:eastAsia="黑体" w:hAnsi="黑体" w:cs="黑体" w:hint="eastAsia"/>
                <w:szCs w:val="21"/>
              </w:rPr>
              <w:t>中国共产党华容县纪律检查</w:t>
            </w:r>
          </w:p>
          <w:p w:rsidR="00BD0685" w:rsidRDefault="00B5042A" w:rsidP="00D4051F">
            <w:pPr>
              <w:jc w:val="center"/>
              <w:rPr>
                <w:rFonts w:ascii="黑体" w:eastAsia="黑体" w:hAnsi="黑体" w:cs="黑体"/>
                <w:szCs w:val="21"/>
              </w:rPr>
            </w:pPr>
            <w:r w:rsidRPr="00B5042A">
              <w:rPr>
                <w:rFonts w:ascii="黑体" w:eastAsia="黑体" w:hAnsi="黑体" w:cs="黑体" w:hint="eastAsia"/>
                <w:szCs w:val="21"/>
              </w:rPr>
              <w:t>委员会</w:t>
            </w: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项目资金（万元）</w:t>
            </w:r>
          </w:p>
        </w:tc>
        <w:tc>
          <w:tcPr>
            <w:tcW w:w="1175" w:type="pct"/>
            <w:gridSpan w:val="2"/>
            <w:vAlign w:val="center"/>
          </w:tcPr>
          <w:p w:rsidR="00BD0685" w:rsidRDefault="00BD0685" w:rsidP="00D4051F">
            <w:pPr>
              <w:jc w:val="center"/>
              <w:rPr>
                <w:rFonts w:ascii="黑体" w:eastAsia="黑体" w:hAnsi="黑体" w:cs="黑体"/>
                <w:szCs w:val="21"/>
              </w:rPr>
            </w:pPr>
          </w:p>
        </w:tc>
        <w:tc>
          <w:tcPr>
            <w:tcW w:w="55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年初</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572"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执行数</w:t>
            </w:r>
          </w:p>
        </w:tc>
        <w:tc>
          <w:tcPr>
            <w:tcW w:w="35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执行率</w:t>
            </w:r>
          </w:p>
        </w:tc>
        <w:tc>
          <w:tcPr>
            <w:tcW w:w="767"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自评得分</w:t>
            </w: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年度资金总额</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1B09D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170.94</w:t>
            </w:r>
          </w:p>
        </w:tc>
        <w:tc>
          <w:tcPr>
            <w:tcW w:w="644" w:type="pct"/>
            <w:vAlign w:val="center"/>
          </w:tcPr>
          <w:p w:rsidR="00BD0685" w:rsidRDefault="001B09D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170.94</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11"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其中：当年财政拨款</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1B09D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170.94</w:t>
            </w:r>
          </w:p>
        </w:tc>
        <w:tc>
          <w:tcPr>
            <w:tcW w:w="644" w:type="pct"/>
            <w:vAlign w:val="center"/>
          </w:tcPr>
          <w:p w:rsidR="00BD0685" w:rsidRDefault="001B09D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170.94</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上年结转资金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其他资金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年度总</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体目标</w:t>
            </w:r>
          </w:p>
        </w:tc>
        <w:tc>
          <w:tcPr>
            <w:tcW w:w="2298"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预期目标</w:t>
            </w:r>
          </w:p>
        </w:tc>
        <w:tc>
          <w:tcPr>
            <w:tcW w:w="2172"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实际完成情况</w:t>
            </w:r>
          </w:p>
        </w:tc>
      </w:tr>
      <w:tr w:rsidR="00BD0685" w:rsidTr="00B5042A">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2298" w:type="pct"/>
            <w:gridSpan w:val="4"/>
            <w:vAlign w:val="center"/>
          </w:tcPr>
          <w:p w:rsidR="00BD0685"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认真贯彻落实全面从严治党战略方针，坚决扛起管党治党政治责任，深入推进党风廉政建设和反腐败斗争。</w:t>
            </w:r>
          </w:p>
        </w:tc>
        <w:tc>
          <w:tcPr>
            <w:tcW w:w="2172" w:type="pct"/>
            <w:gridSpan w:val="4"/>
            <w:vAlign w:val="center"/>
          </w:tcPr>
          <w:p w:rsidR="00BD0685"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忠诚履职尽责、敢于担当作为，切实发挥监督保障执行、促进完善发展作用，为加快推进富美华容现代化强县建设提供了坚强保障。</w:t>
            </w:r>
          </w:p>
        </w:tc>
      </w:tr>
      <w:tr w:rsidR="0054353D" w:rsidTr="00B5042A">
        <w:trPr>
          <w:trHeight w:val="468"/>
        </w:trPr>
        <w:tc>
          <w:tcPr>
            <w:tcW w:w="530" w:type="pct"/>
            <w:vMerge w:val="restar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绩</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效</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标</w:t>
            </w:r>
          </w:p>
        </w:tc>
        <w:tc>
          <w:tcPr>
            <w:tcW w:w="52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一级指标</w:t>
            </w:r>
          </w:p>
        </w:tc>
        <w:tc>
          <w:tcPr>
            <w:tcW w:w="648"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二级指标</w:t>
            </w:r>
          </w:p>
        </w:tc>
        <w:tc>
          <w:tcPr>
            <w:tcW w:w="55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三级指标</w:t>
            </w:r>
          </w:p>
        </w:tc>
        <w:tc>
          <w:tcPr>
            <w:tcW w:w="572"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年度</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指标值</w:t>
            </w:r>
          </w:p>
        </w:tc>
        <w:tc>
          <w:tcPr>
            <w:tcW w:w="644"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实际</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完成值</w:t>
            </w:r>
          </w:p>
        </w:tc>
        <w:tc>
          <w:tcPr>
            <w:tcW w:w="350"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自评</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得分</w:t>
            </w:r>
          </w:p>
        </w:tc>
        <w:tc>
          <w:tcPr>
            <w:tcW w:w="76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偏差原因分析及改进措施</w:t>
            </w:r>
          </w:p>
        </w:tc>
      </w:tr>
      <w:tr w:rsidR="0054353D" w:rsidTr="005601ED">
        <w:trPr>
          <w:trHeight w:val="641"/>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val="restart"/>
            <w:tcBorders>
              <w:bottom w:val="nil"/>
            </w:tcBorders>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产</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出</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数</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EF1B1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接访人次</w:t>
            </w:r>
          </w:p>
        </w:tc>
        <w:tc>
          <w:tcPr>
            <w:tcW w:w="572" w:type="pct"/>
            <w:vAlign w:val="center"/>
          </w:tcPr>
          <w:p w:rsidR="0054353D" w:rsidRDefault="00EF1B13" w:rsidP="00D4051F">
            <w:pPr>
              <w:jc w:val="center"/>
              <w:rPr>
                <w:rFonts w:asciiTheme="minorEastAsia" w:eastAsiaTheme="minorEastAsia" w:hAnsiTheme="minorEastAsia" w:cstheme="minorEastAsia"/>
                <w:szCs w:val="21"/>
              </w:rPr>
            </w:pPr>
            <w:r w:rsidRPr="00EF1B13">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300人次</w:t>
            </w:r>
          </w:p>
        </w:tc>
        <w:tc>
          <w:tcPr>
            <w:tcW w:w="644" w:type="pct"/>
            <w:vAlign w:val="center"/>
          </w:tcPr>
          <w:p w:rsidR="0054353D" w:rsidRDefault="00EF1B1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364人次</w:t>
            </w:r>
          </w:p>
        </w:tc>
        <w:tc>
          <w:tcPr>
            <w:tcW w:w="350"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842"/>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tcBorders>
              <w:top w:val="nil"/>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质</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EF1B13"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信访处置率</w:t>
            </w:r>
          </w:p>
        </w:tc>
        <w:tc>
          <w:tcPr>
            <w:tcW w:w="572"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691"/>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tcBorders>
              <w:top w:val="nil"/>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时</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按时间节点完成</w:t>
            </w:r>
          </w:p>
        </w:tc>
        <w:tc>
          <w:tcPr>
            <w:tcW w:w="572"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644"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817"/>
        </w:trPr>
        <w:tc>
          <w:tcPr>
            <w:tcW w:w="530" w:type="pct"/>
            <w:vMerge w:val="restart"/>
            <w:vAlign w:val="center"/>
          </w:tcPr>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E8424F" w:rsidRDefault="00E8424F" w:rsidP="00E8424F">
            <w:pPr>
              <w:pStyle w:val="a"/>
              <w:numPr>
                <w:ilvl w:val="0"/>
                <w:numId w:val="0"/>
              </w:numPr>
              <w:ind w:leftChars="171" w:left="359"/>
            </w:pPr>
          </w:p>
          <w:p w:rsidR="00E8424F" w:rsidRDefault="00E8424F" w:rsidP="00E8424F">
            <w:pPr>
              <w:pStyle w:val="a"/>
              <w:numPr>
                <w:ilvl w:val="0"/>
                <w:numId w:val="0"/>
              </w:numPr>
              <w:ind w:leftChars="171" w:left="359"/>
            </w:pPr>
          </w:p>
          <w:p w:rsidR="00E8424F" w:rsidRDefault="00E8424F" w:rsidP="00E8424F">
            <w:pPr>
              <w:pStyle w:val="a"/>
              <w:numPr>
                <w:ilvl w:val="0"/>
                <w:numId w:val="0"/>
              </w:numPr>
              <w:ind w:leftChars="171" w:left="359"/>
            </w:pPr>
          </w:p>
          <w:p w:rsidR="0054353D" w:rsidRDefault="00E8424F" w:rsidP="00E8424F">
            <w:pPr>
              <w:pStyle w:val="a"/>
              <w:numPr>
                <w:ilvl w:val="0"/>
                <w:numId w:val="0"/>
              </w:numPr>
              <w:ind w:leftChars="171" w:left="359"/>
            </w:pPr>
            <w:r>
              <w:rPr>
                <w:rFonts w:hint="eastAsia"/>
              </w:rPr>
              <w:t>绩效指标</w:t>
            </w:r>
          </w:p>
          <w:p w:rsidR="00E8424F" w:rsidRPr="00E8424F" w:rsidRDefault="00E8424F" w:rsidP="00E8424F">
            <w:pPr>
              <w:pStyle w:val="a"/>
              <w:numPr>
                <w:ilvl w:val="0"/>
                <w:numId w:val="0"/>
              </w:numPr>
              <w:ind w:left="360"/>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益</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Merge w:val="restart"/>
            <w:tcBorders>
              <w:left w:val="single" w:sz="4" w:space="0" w:color="auto"/>
            </w:tcBorders>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lastRenderedPageBreak/>
              <w:t>经济</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贡献财政收入</w:t>
            </w:r>
          </w:p>
        </w:tc>
        <w:tc>
          <w:tcPr>
            <w:tcW w:w="572"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B5042A">
        <w:trPr>
          <w:trHeight w:val="454"/>
        </w:trPr>
        <w:tc>
          <w:tcPr>
            <w:tcW w:w="530" w:type="pct"/>
            <w:vMerge/>
            <w:vAlign w:val="center"/>
          </w:tcPr>
          <w:p w:rsidR="0054353D" w:rsidRDefault="0054353D" w:rsidP="00D4051F">
            <w:pPr>
              <w:jc w:val="center"/>
              <w:rPr>
                <w:rFonts w:ascii="黑体" w:eastAsia="黑体" w:hAnsi="黑体" w:cs="黑体"/>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Merge/>
            <w:tcBorders>
              <w:left w:val="single" w:sz="4" w:space="0" w:color="auto"/>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551" w:type="pct"/>
            <w:vAlign w:val="center"/>
          </w:tcPr>
          <w:p w:rsidR="0054353D" w:rsidRDefault="0054353D" w:rsidP="00D4051F">
            <w:pPr>
              <w:jc w:val="center"/>
              <w:rPr>
                <w:rFonts w:asciiTheme="minorEastAsia" w:eastAsiaTheme="minorEastAsia" w:hAnsiTheme="minorEastAsia" w:cstheme="minorEastAsia"/>
                <w:szCs w:val="21"/>
              </w:rPr>
            </w:pPr>
          </w:p>
        </w:tc>
        <w:tc>
          <w:tcPr>
            <w:tcW w:w="572" w:type="pct"/>
            <w:vAlign w:val="center"/>
          </w:tcPr>
          <w:p w:rsidR="0054353D" w:rsidRDefault="0054353D" w:rsidP="00EB5135">
            <w:pPr>
              <w:jc w:val="center"/>
              <w:rPr>
                <w:rFonts w:asciiTheme="minorEastAsia" w:eastAsiaTheme="minorEastAsia" w:hAnsiTheme="minorEastAsia" w:cstheme="minorEastAsia"/>
                <w:szCs w:val="21"/>
              </w:rPr>
            </w:pPr>
          </w:p>
        </w:tc>
        <w:tc>
          <w:tcPr>
            <w:tcW w:w="644" w:type="pct"/>
            <w:vAlign w:val="center"/>
          </w:tcPr>
          <w:p w:rsidR="0054353D" w:rsidRDefault="0054353D" w:rsidP="00EB5135">
            <w:pPr>
              <w:jc w:val="center"/>
              <w:rPr>
                <w:rFonts w:asciiTheme="minorEastAsia" w:eastAsiaTheme="minorEastAsia" w:hAnsiTheme="minorEastAsia" w:cstheme="minorEastAsia"/>
                <w:szCs w:val="21"/>
              </w:rPr>
            </w:pPr>
          </w:p>
        </w:tc>
        <w:tc>
          <w:tcPr>
            <w:tcW w:w="350" w:type="pct"/>
            <w:vAlign w:val="center"/>
          </w:tcPr>
          <w:p w:rsidR="0054353D" w:rsidRDefault="0054353D" w:rsidP="00EB5135">
            <w:pPr>
              <w:jc w:val="center"/>
              <w:rPr>
                <w:rFonts w:asciiTheme="minorEastAsia" w:eastAsiaTheme="minorEastAsia" w:hAnsiTheme="minorEastAsia" w:cstheme="minorEastAsia"/>
                <w:szCs w:val="21"/>
              </w:rPr>
            </w:pPr>
          </w:p>
        </w:tc>
        <w:tc>
          <w:tcPr>
            <w:tcW w:w="411" w:type="pct"/>
            <w:vAlign w:val="center"/>
          </w:tcPr>
          <w:p w:rsidR="0054353D" w:rsidRDefault="0054353D" w:rsidP="00EB5135">
            <w:pPr>
              <w:jc w:val="center"/>
              <w:rPr>
                <w:rFonts w:asciiTheme="minorEastAsia" w:eastAsiaTheme="minorEastAsia" w:hAnsiTheme="minorEastAsia" w:cstheme="minorEastAsia"/>
                <w:szCs w:val="21"/>
              </w:rPr>
            </w:pP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确保党中央政令畅通，党内政治生态明显好转</w:t>
            </w:r>
          </w:p>
        </w:tc>
        <w:tc>
          <w:tcPr>
            <w:tcW w:w="572"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严明党的政治纪律、政治规矩，净化政治生态</w:t>
            </w:r>
          </w:p>
        </w:tc>
        <w:tc>
          <w:tcPr>
            <w:tcW w:w="572"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可持续</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影响</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60D0E" w:rsidP="00EB5135">
            <w:pPr>
              <w:jc w:val="center"/>
              <w:rPr>
                <w:rFonts w:asciiTheme="minorEastAsia" w:eastAsiaTheme="minorEastAsia" w:hAnsiTheme="minorEastAsia" w:cstheme="minorEastAsia"/>
                <w:szCs w:val="21"/>
              </w:rPr>
            </w:pPr>
            <w:r w:rsidRPr="00B60D0E">
              <w:rPr>
                <w:rFonts w:asciiTheme="minorEastAsia" w:eastAsiaTheme="minorEastAsia" w:hAnsiTheme="minorEastAsia" w:cstheme="minorEastAsia" w:hint="eastAsia"/>
                <w:szCs w:val="21"/>
              </w:rPr>
              <w:t>坚定不移惩贪治腐，紧贴中心、服务大局，充分发挥监督保障执行、促进完善发展作用</w:t>
            </w:r>
          </w:p>
        </w:tc>
        <w:tc>
          <w:tcPr>
            <w:tcW w:w="572" w:type="pct"/>
            <w:vAlign w:val="center"/>
          </w:tcPr>
          <w:p w:rsidR="00B5042A" w:rsidRDefault="00B60D0E" w:rsidP="00EB5135">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（10分）</w:t>
            </w: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服务对象</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60D0E" w:rsidP="00D4051F">
            <w:pPr>
              <w:jc w:val="center"/>
              <w:rPr>
                <w:rFonts w:asciiTheme="minorEastAsia" w:eastAsiaTheme="minorEastAsia" w:hAnsiTheme="minorEastAsia" w:cstheme="minorEastAsia"/>
                <w:szCs w:val="21"/>
              </w:rPr>
            </w:pPr>
            <w:r w:rsidRPr="00B60D0E">
              <w:rPr>
                <w:rFonts w:asciiTheme="minorEastAsia" w:eastAsiaTheme="minorEastAsia" w:hAnsiTheme="minorEastAsia" w:cstheme="minorEastAsia" w:hint="eastAsia"/>
                <w:szCs w:val="21"/>
              </w:rPr>
              <w:t>加大群众身边腐败问题的处理力度，增强人民群众获得感</w:t>
            </w:r>
          </w:p>
        </w:tc>
        <w:tc>
          <w:tcPr>
            <w:tcW w:w="572"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（20分）</w:t>
            </w: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54353D" w:rsidP="00D4051F">
            <w:pPr>
              <w:jc w:val="center"/>
              <w:rPr>
                <w:rFonts w:asciiTheme="minorEastAsia" w:eastAsiaTheme="minorEastAsia" w:hAnsiTheme="minorEastAsia" w:cstheme="minorEastAsia"/>
                <w:szCs w:val="21"/>
              </w:rPr>
            </w:pPr>
            <w:r w:rsidRPr="0054353D">
              <w:rPr>
                <w:rFonts w:asciiTheme="minorEastAsia" w:eastAsiaTheme="minorEastAsia" w:hAnsiTheme="minorEastAsia" w:cstheme="minorEastAsia" w:hint="eastAsia"/>
                <w:szCs w:val="21"/>
              </w:rPr>
              <w:t>严格控制专项开支</w:t>
            </w:r>
          </w:p>
        </w:tc>
        <w:tc>
          <w:tcPr>
            <w:tcW w:w="572"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350"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572" w:type="pct"/>
            <w:vAlign w:val="center"/>
          </w:tcPr>
          <w:p w:rsidR="00B5042A" w:rsidRDefault="00B5042A" w:rsidP="00D4051F">
            <w:pPr>
              <w:jc w:val="center"/>
              <w:rPr>
                <w:rFonts w:asciiTheme="minorEastAsia" w:eastAsiaTheme="minorEastAsia" w:hAnsiTheme="minorEastAsia" w:cstheme="minorEastAsia"/>
                <w:szCs w:val="21"/>
              </w:rPr>
            </w:pPr>
          </w:p>
        </w:tc>
        <w:tc>
          <w:tcPr>
            <w:tcW w:w="644" w:type="pct"/>
            <w:vAlign w:val="center"/>
          </w:tcPr>
          <w:p w:rsidR="00B5042A" w:rsidRDefault="00B5042A" w:rsidP="00D4051F">
            <w:pPr>
              <w:jc w:val="center"/>
              <w:rPr>
                <w:rFonts w:asciiTheme="minorEastAsia" w:eastAsiaTheme="minorEastAsia" w:hAnsiTheme="minorEastAsia" w:cstheme="minorEastAsia"/>
                <w:szCs w:val="21"/>
              </w:rPr>
            </w:pPr>
          </w:p>
        </w:tc>
        <w:tc>
          <w:tcPr>
            <w:tcW w:w="350" w:type="pct"/>
            <w:vAlign w:val="center"/>
          </w:tcPr>
          <w:p w:rsidR="00B5042A" w:rsidRDefault="00B5042A" w:rsidP="00D4051F">
            <w:pPr>
              <w:jc w:val="center"/>
              <w:rPr>
                <w:rFonts w:asciiTheme="minorEastAsia" w:eastAsiaTheme="minorEastAsia" w:hAnsiTheme="minorEastAsia" w:cstheme="minorEastAsia"/>
                <w:szCs w:val="21"/>
              </w:rPr>
            </w:pPr>
          </w:p>
        </w:tc>
        <w:tc>
          <w:tcPr>
            <w:tcW w:w="411" w:type="pct"/>
            <w:vAlign w:val="center"/>
          </w:tcPr>
          <w:p w:rsidR="00B5042A" w:rsidRDefault="00B5042A" w:rsidP="00D4051F">
            <w:pPr>
              <w:jc w:val="center"/>
              <w:rPr>
                <w:rFonts w:asciiTheme="minorEastAsia" w:eastAsiaTheme="minorEastAsia" w:hAnsiTheme="minorEastAsia" w:cstheme="minorEastAsia"/>
                <w:szCs w:val="21"/>
              </w:rPr>
            </w:pP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环境</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572" w:type="pct"/>
            <w:vAlign w:val="center"/>
          </w:tcPr>
          <w:p w:rsidR="00B5042A" w:rsidRDefault="00B5042A" w:rsidP="00D4051F">
            <w:pPr>
              <w:jc w:val="center"/>
              <w:rPr>
                <w:rFonts w:asciiTheme="minorEastAsia" w:eastAsiaTheme="minorEastAsia" w:hAnsiTheme="minorEastAsia" w:cstheme="minorEastAsia"/>
                <w:szCs w:val="21"/>
              </w:rPr>
            </w:pPr>
          </w:p>
        </w:tc>
        <w:tc>
          <w:tcPr>
            <w:tcW w:w="644" w:type="pct"/>
            <w:vAlign w:val="center"/>
          </w:tcPr>
          <w:p w:rsidR="00B5042A" w:rsidRDefault="00B5042A" w:rsidP="00D4051F">
            <w:pPr>
              <w:jc w:val="center"/>
              <w:rPr>
                <w:rFonts w:asciiTheme="minorEastAsia" w:eastAsiaTheme="minorEastAsia" w:hAnsiTheme="minorEastAsia" w:cstheme="minorEastAsia"/>
                <w:szCs w:val="21"/>
              </w:rPr>
            </w:pPr>
          </w:p>
        </w:tc>
        <w:tc>
          <w:tcPr>
            <w:tcW w:w="350" w:type="pct"/>
            <w:vAlign w:val="center"/>
          </w:tcPr>
          <w:p w:rsidR="00B5042A" w:rsidRDefault="00B5042A" w:rsidP="00D4051F">
            <w:pPr>
              <w:jc w:val="center"/>
              <w:rPr>
                <w:rFonts w:asciiTheme="minorEastAsia" w:eastAsiaTheme="minorEastAsia" w:hAnsiTheme="minorEastAsia" w:cstheme="minorEastAsia"/>
                <w:szCs w:val="21"/>
              </w:rPr>
            </w:pPr>
          </w:p>
        </w:tc>
        <w:tc>
          <w:tcPr>
            <w:tcW w:w="411" w:type="pct"/>
            <w:vAlign w:val="center"/>
          </w:tcPr>
          <w:p w:rsidR="00B5042A" w:rsidRDefault="00B5042A" w:rsidP="00D4051F">
            <w:pPr>
              <w:jc w:val="center"/>
              <w:rPr>
                <w:rFonts w:asciiTheme="minorEastAsia" w:eastAsiaTheme="minorEastAsia" w:hAnsiTheme="minorEastAsia" w:cstheme="minorEastAsia"/>
                <w:szCs w:val="21"/>
              </w:rPr>
            </w:pP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3472" w:type="pct"/>
            <w:gridSpan w:val="6"/>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总分</w:t>
            </w:r>
          </w:p>
        </w:tc>
        <w:tc>
          <w:tcPr>
            <w:tcW w:w="350" w:type="pct"/>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bl>
    <w:p w:rsidR="00BD0685" w:rsidRDefault="00BD0685" w:rsidP="00BD0685">
      <w:r>
        <w:rPr>
          <w:rFonts w:hint="eastAsia"/>
        </w:rPr>
        <w:t>备注：每个一级项目支出一张表。如，业务工作经费，运行维护经费，其他事业发展类资金各一张表。</w:t>
      </w:r>
    </w:p>
    <w:p w:rsidR="00BD0685" w:rsidRDefault="00BD0685" w:rsidP="00BD0685"/>
    <w:p w:rsidR="00BD0685" w:rsidRPr="00BD0685" w:rsidRDefault="00BD0685" w:rsidP="00E8424F">
      <w:r>
        <w:rPr>
          <w:rFonts w:hint="eastAsia"/>
        </w:rPr>
        <w:t>填表人：</w:t>
      </w:r>
      <w:r>
        <w:rPr>
          <w:rFonts w:hint="eastAsia"/>
        </w:rPr>
        <w:t xml:space="preserve">        </w:t>
      </w:r>
      <w:r>
        <w:rPr>
          <w:rFonts w:hint="eastAsia"/>
        </w:rPr>
        <w:t>填报日期：</w:t>
      </w:r>
      <w:r>
        <w:rPr>
          <w:rFonts w:hint="eastAsia"/>
        </w:rPr>
        <w:t xml:space="preserve">            </w:t>
      </w:r>
      <w:r>
        <w:rPr>
          <w:rFonts w:hint="eastAsia"/>
        </w:rPr>
        <w:t>联系电话：</w:t>
      </w:r>
      <w:r>
        <w:rPr>
          <w:rFonts w:hint="eastAsia"/>
        </w:rPr>
        <w:t xml:space="preserve">   </w:t>
      </w:r>
      <w:r w:rsidR="00E8424F">
        <w:rPr>
          <w:rFonts w:hint="eastAsia"/>
        </w:rPr>
        <w:t xml:space="preserve">    </w:t>
      </w:r>
      <w:r>
        <w:rPr>
          <w:rFonts w:hint="eastAsia"/>
        </w:rPr>
        <w:t xml:space="preserve">   </w:t>
      </w:r>
      <w:r>
        <w:rPr>
          <w:rFonts w:hint="eastAsia"/>
        </w:rPr>
        <w:t>单位负责人签字：</w:t>
      </w:r>
    </w:p>
    <w:sectPr w:rsidR="00BD0685" w:rsidRPr="00BD0685" w:rsidSect="00EF754A">
      <w:pgSz w:w="11906" w:h="16838"/>
      <w:pgMar w:top="1984" w:right="1701" w:bottom="1984"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27E" w:rsidRDefault="0033227E" w:rsidP="00F73936">
      <w:r>
        <w:separator/>
      </w:r>
    </w:p>
  </w:endnote>
  <w:endnote w:type="continuationSeparator" w:id="1">
    <w:p w:rsidR="0033227E" w:rsidRDefault="0033227E" w:rsidP="00F73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隶书_GBK">
    <w:altName w:val="Arial Unicode MS"/>
    <w:charset w:val="86"/>
    <w:family w:val="auto"/>
    <w:pitch w:val="default"/>
    <w:sig w:usb0="00000000" w:usb1="38CF7CFA" w:usb2="00082016" w:usb3="00000000" w:csb0="00040001" w:csb1="00000000"/>
  </w:font>
  <w:font w:name="方正小标宋_GBK">
    <w:altName w:val="Arial Unicode MS"/>
    <w:charset w:val="86"/>
    <w:family w:val="script"/>
    <w:pitch w:val="default"/>
    <w:sig w:usb0="00000000" w:usb1="38CF7CFA" w:usb2="00082016" w:usb3="00000000" w:csb0="00040001" w:csb1="00000000"/>
  </w:font>
  <w:font w:name="楷体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高级黑">
    <w:altName w:val="Arial Unicode MS"/>
    <w:charset w:val="86"/>
    <w:family w:val="auto"/>
    <w:pitch w:val="default"/>
    <w:sig w:usb0="00000000" w:usb1="78CF6CFB"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27E" w:rsidRDefault="0033227E" w:rsidP="00F73936">
      <w:r>
        <w:separator/>
      </w:r>
    </w:p>
  </w:footnote>
  <w:footnote w:type="continuationSeparator" w:id="1">
    <w:p w:rsidR="0033227E" w:rsidRDefault="0033227E" w:rsidP="00F7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6AB"/>
    <w:multiLevelType w:val="singleLevel"/>
    <w:tmpl w:val="14E436AB"/>
    <w:lvl w:ilvl="0">
      <w:start w:val="1"/>
      <w:numFmt w:val="decimal"/>
      <w:pStyle w:val="a"/>
      <w:lvlText w:val="%1."/>
      <w:lvlJc w:val="left"/>
      <w:pPr>
        <w:tabs>
          <w:tab w:val="left"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547E"/>
    <w:rsid w:val="00054C01"/>
    <w:rsid w:val="001B09D3"/>
    <w:rsid w:val="002822A7"/>
    <w:rsid w:val="0033227E"/>
    <w:rsid w:val="00357469"/>
    <w:rsid w:val="003E4223"/>
    <w:rsid w:val="0046590E"/>
    <w:rsid w:val="00503640"/>
    <w:rsid w:val="0054353D"/>
    <w:rsid w:val="0057067E"/>
    <w:rsid w:val="00577DDF"/>
    <w:rsid w:val="00592EB5"/>
    <w:rsid w:val="00784AF4"/>
    <w:rsid w:val="007E53F2"/>
    <w:rsid w:val="008B1E55"/>
    <w:rsid w:val="009E02AB"/>
    <w:rsid w:val="00A3799D"/>
    <w:rsid w:val="00AC530D"/>
    <w:rsid w:val="00B34F36"/>
    <w:rsid w:val="00B5042A"/>
    <w:rsid w:val="00B60D0E"/>
    <w:rsid w:val="00BA36F7"/>
    <w:rsid w:val="00BD0685"/>
    <w:rsid w:val="00C8300A"/>
    <w:rsid w:val="00D76E17"/>
    <w:rsid w:val="00E433D7"/>
    <w:rsid w:val="00E55A23"/>
    <w:rsid w:val="00E8424F"/>
    <w:rsid w:val="00EF1B13"/>
    <w:rsid w:val="00F2547E"/>
    <w:rsid w:val="00F4049E"/>
    <w:rsid w:val="00F564CD"/>
    <w:rsid w:val="00F73936"/>
    <w:rsid w:val="00F758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
    <w:qFormat/>
    <w:rsid w:val="00F2547E"/>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uiPriority w:val="99"/>
    <w:unhideWhenUsed/>
    <w:qFormat/>
    <w:rsid w:val="00F2547E"/>
    <w:pPr>
      <w:numPr>
        <w:numId w:val="1"/>
      </w:numPr>
    </w:pPr>
  </w:style>
  <w:style w:type="paragraph" w:styleId="a4">
    <w:name w:val="header"/>
    <w:basedOn w:val="a0"/>
    <w:link w:val="Char"/>
    <w:uiPriority w:val="99"/>
    <w:semiHidden/>
    <w:unhideWhenUsed/>
    <w:rsid w:val="00F73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73936"/>
    <w:rPr>
      <w:rFonts w:ascii="Times New Roman" w:eastAsia="宋体" w:hAnsi="Times New Roman" w:cs="Times New Roman"/>
      <w:sz w:val="18"/>
      <w:szCs w:val="18"/>
    </w:rPr>
  </w:style>
  <w:style w:type="paragraph" w:styleId="a5">
    <w:name w:val="footer"/>
    <w:basedOn w:val="a0"/>
    <w:link w:val="Char0"/>
    <w:uiPriority w:val="99"/>
    <w:semiHidden/>
    <w:unhideWhenUsed/>
    <w:rsid w:val="00F7393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73936"/>
    <w:rPr>
      <w:rFonts w:ascii="Times New Roman" w:eastAsia="宋体" w:hAnsi="Times New Roman" w:cs="Times New Roman"/>
      <w:sz w:val="18"/>
      <w:szCs w:val="18"/>
    </w:rPr>
  </w:style>
  <w:style w:type="table" w:customStyle="1" w:styleId="TableNormal">
    <w:name w:val="Table Normal"/>
    <w:semiHidden/>
    <w:unhideWhenUsed/>
    <w:qFormat/>
    <w:rsid w:val="00BD0685"/>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421</Words>
  <Characters>2405</Characters>
  <Application>Microsoft Office Word</Application>
  <DocSecurity>0</DocSecurity>
  <Lines>20</Lines>
  <Paragraphs>5</Paragraphs>
  <ScaleCrop>false</ScaleCrop>
  <Company>china</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2024-06-04T16:45:00Z</dcterms:created>
  <dcterms:modified xsi:type="dcterms:W3CDTF">2024-06-05T01:19:00Z</dcterms:modified>
</cp:coreProperties>
</file>