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9CAA7">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21700431">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中共华容县委政策研究中心</w:t>
      </w:r>
      <w:r>
        <w:rPr>
          <w:rFonts w:hint="eastAsia" w:ascii="方正小标宋_GBK" w:hAnsi="方正小标宋_GBK" w:eastAsia="方正小标宋_GBK" w:cs="方正小标宋_GBK"/>
          <w:color w:val="auto"/>
          <w:sz w:val="84"/>
          <w:szCs w:val="84"/>
        </w:rPr>
        <w:t>部门决算</w:t>
      </w:r>
    </w:p>
    <w:p w14:paraId="0DB0147B">
      <w:pPr>
        <w:pStyle w:val="14"/>
        <w:spacing w:line="500" w:lineRule="exact"/>
        <w:jc w:val="both"/>
        <w:rPr>
          <w:b/>
          <w:color w:val="auto"/>
          <w:sz w:val="36"/>
          <w:szCs w:val="28"/>
        </w:rPr>
      </w:pPr>
    </w:p>
    <w:p w14:paraId="260A5037">
      <w:pPr>
        <w:pStyle w:val="14"/>
        <w:spacing w:line="500" w:lineRule="exact"/>
        <w:jc w:val="center"/>
        <w:rPr>
          <w:b/>
          <w:color w:val="auto"/>
          <w:sz w:val="36"/>
          <w:szCs w:val="28"/>
        </w:rPr>
      </w:pPr>
      <w:r>
        <w:rPr>
          <w:rFonts w:hint="eastAsia"/>
          <w:b/>
          <w:color w:val="auto"/>
          <w:sz w:val="36"/>
          <w:szCs w:val="28"/>
        </w:rPr>
        <w:t>目录</w:t>
      </w:r>
    </w:p>
    <w:p w14:paraId="35B4614E">
      <w:pPr>
        <w:pStyle w:val="14"/>
        <w:spacing w:line="500" w:lineRule="exact"/>
        <w:rPr>
          <w:rFonts w:hAnsi="黑体"/>
          <w:bCs/>
          <w:color w:val="auto"/>
          <w:sz w:val="28"/>
          <w:szCs w:val="28"/>
        </w:rPr>
      </w:pPr>
      <w:r>
        <w:rPr>
          <w:rFonts w:hint="eastAsia" w:hAnsi="黑体"/>
          <w:bCs/>
          <w:color w:val="auto"/>
          <w:sz w:val="28"/>
          <w:szCs w:val="28"/>
        </w:rPr>
        <w:t>第一部分中共华容县委政策研究中心（单位）概况</w:t>
      </w:r>
    </w:p>
    <w:p w14:paraId="538F47D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5060A78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7D49A185">
      <w:pPr>
        <w:pStyle w:val="14"/>
        <w:spacing w:line="500" w:lineRule="exact"/>
        <w:rPr>
          <w:rFonts w:hAnsi="黑体"/>
          <w:bCs/>
          <w:color w:val="auto"/>
          <w:sz w:val="28"/>
          <w:szCs w:val="28"/>
        </w:rPr>
      </w:pPr>
      <w:r>
        <w:rPr>
          <w:rFonts w:hint="eastAsia" w:hAnsi="黑体"/>
          <w:bCs/>
          <w:color w:val="auto"/>
          <w:sz w:val="28"/>
          <w:szCs w:val="28"/>
        </w:rPr>
        <w:t>第二部分 部门决算表</w:t>
      </w:r>
    </w:p>
    <w:p w14:paraId="69DDCA9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285943E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3C859B8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40674D0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5218B36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0208821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4C9D029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0754358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3BE23B6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01769649">
      <w:pPr>
        <w:pStyle w:val="14"/>
        <w:spacing w:line="500" w:lineRule="exact"/>
        <w:rPr>
          <w:rFonts w:hAnsi="黑体"/>
          <w:bCs/>
          <w:color w:val="auto"/>
          <w:sz w:val="28"/>
          <w:szCs w:val="28"/>
        </w:rPr>
      </w:pPr>
      <w:r>
        <w:rPr>
          <w:rFonts w:hint="eastAsia" w:hAnsi="黑体"/>
          <w:bCs/>
          <w:color w:val="auto"/>
          <w:sz w:val="28"/>
          <w:szCs w:val="28"/>
        </w:rPr>
        <w:t>第四部分 名词解释</w:t>
      </w:r>
    </w:p>
    <w:p w14:paraId="797AD5C2">
      <w:pPr>
        <w:pStyle w:val="14"/>
        <w:spacing w:line="500" w:lineRule="exact"/>
        <w:rPr>
          <w:rFonts w:hAnsi="黑体"/>
          <w:bCs/>
          <w:color w:val="auto"/>
          <w:sz w:val="28"/>
          <w:szCs w:val="28"/>
        </w:rPr>
      </w:pPr>
      <w:r>
        <w:rPr>
          <w:rFonts w:hint="eastAsia" w:hAnsi="黑体"/>
          <w:bCs/>
          <w:color w:val="auto"/>
          <w:sz w:val="28"/>
          <w:szCs w:val="28"/>
        </w:rPr>
        <w:t>第五部分 附件</w:t>
      </w:r>
    </w:p>
    <w:p w14:paraId="321A5F29">
      <w:pPr>
        <w:pStyle w:val="14"/>
        <w:spacing w:line="500" w:lineRule="exact"/>
        <w:rPr>
          <w:rFonts w:hAnsi="黑体"/>
          <w:bCs/>
          <w:color w:val="auto"/>
          <w:sz w:val="28"/>
          <w:szCs w:val="28"/>
        </w:rPr>
      </w:pPr>
    </w:p>
    <w:p w14:paraId="5CF995CF">
      <w:pPr>
        <w:pStyle w:val="14"/>
        <w:jc w:val="center"/>
        <w:rPr>
          <w:rFonts w:ascii="方正小标宋_GBK" w:hAnsi="方正小标宋_GBK" w:eastAsia="方正小标宋_GBK" w:cs="方正小标宋_GBK"/>
          <w:color w:val="auto"/>
          <w:sz w:val="48"/>
          <w:szCs w:val="48"/>
        </w:rPr>
      </w:pPr>
    </w:p>
    <w:p w14:paraId="59F8948E">
      <w:pPr>
        <w:pStyle w:val="14"/>
        <w:jc w:val="center"/>
        <w:rPr>
          <w:rFonts w:ascii="方正小标宋_GBK" w:hAnsi="方正小标宋_GBK" w:eastAsia="方正小标宋_GBK" w:cs="方正小标宋_GBK"/>
          <w:color w:val="auto"/>
          <w:sz w:val="48"/>
          <w:szCs w:val="48"/>
        </w:rPr>
      </w:pPr>
    </w:p>
    <w:p w14:paraId="163AE34F">
      <w:pPr>
        <w:pStyle w:val="14"/>
        <w:jc w:val="center"/>
        <w:rPr>
          <w:rFonts w:ascii="方正小标宋_GBK" w:hAnsi="方正小标宋_GBK" w:eastAsia="方正小标宋_GBK" w:cs="方正小标宋_GBK"/>
          <w:color w:val="auto"/>
          <w:sz w:val="48"/>
          <w:szCs w:val="48"/>
        </w:rPr>
      </w:pPr>
    </w:p>
    <w:p w14:paraId="30D92B87">
      <w:pPr>
        <w:pStyle w:val="14"/>
        <w:jc w:val="center"/>
        <w:rPr>
          <w:rFonts w:ascii="方正小标宋_GBK" w:hAnsi="方正小标宋_GBK" w:eastAsia="方正小标宋_GBK" w:cs="方正小标宋_GBK"/>
          <w:color w:val="auto"/>
          <w:sz w:val="48"/>
          <w:szCs w:val="48"/>
        </w:rPr>
      </w:pPr>
    </w:p>
    <w:p w14:paraId="509946C3">
      <w:pPr>
        <w:pStyle w:val="14"/>
        <w:jc w:val="center"/>
        <w:rPr>
          <w:rFonts w:ascii="方正小标宋_GBK" w:hAnsi="方正小标宋_GBK" w:eastAsia="方正小标宋_GBK" w:cs="方正小标宋_GBK"/>
          <w:color w:val="auto"/>
          <w:sz w:val="48"/>
          <w:szCs w:val="48"/>
        </w:rPr>
      </w:pPr>
    </w:p>
    <w:p w14:paraId="16B0C7BE">
      <w:pPr>
        <w:pStyle w:val="14"/>
        <w:jc w:val="center"/>
        <w:rPr>
          <w:rFonts w:ascii="方正小标宋_GBK" w:hAnsi="方正小标宋_GBK" w:eastAsia="方正小标宋_GBK" w:cs="方正小标宋_GBK"/>
          <w:color w:val="auto"/>
          <w:sz w:val="48"/>
          <w:szCs w:val="48"/>
        </w:rPr>
      </w:pPr>
    </w:p>
    <w:p w14:paraId="06D77FBF">
      <w:pPr>
        <w:pStyle w:val="14"/>
        <w:jc w:val="center"/>
        <w:rPr>
          <w:rFonts w:ascii="方正小标宋_GBK" w:hAnsi="方正小标宋_GBK" w:eastAsia="方正小标宋_GBK" w:cs="方正小标宋_GBK"/>
          <w:color w:val="auto"/>
          <w:sz w:val="48"/>
          <w:szCs w:val="48"/>
        </w:rPr>
      </w:pPr>
    </w:p>
    <w:p w14:paraId="7E0AB3ED">
      <w:pPr>
        <w:pStyle w:val="14"/>
        <w:jc w:val="center"/>
        <w:rPr>
          <w:rFonts w:ascii="方正小标宋_GBK" w:hAnsi="方正小标宋_GBK" w:eastAsia="方正小标宋_GBK" w:cs="方正小标宋_GBK"/>
          <w:color w:val="auto"/>
          <w:sz w:val="48"/>
          <w:szCs w:val="48"/>
        </w:rPr>
      </w:pPr>
    </w:p>
    <w:p w14:paraId="5C8C95DA">
      <w:pPr>
        <w:pStyle w:val="14"/>
        <w:jc w:val="center"/>
        <w:rPr>
          <w:rFonts w:ascii="方正小标宋_GBK" w:hAnsi="方正小标宋_GBK" w:eastAsia="方正小标宋_GBK" w:cs="方正小标宋_GBK"/>
          <w:color w:val="auto"/>
          <w:sz w:val="48"/>
          <w:szCs w:val="48"/>
        </w:rPr>
      </w:pPr>
    </w:p>
    <w:p w14:paraId="2355867D">
      <w:pPr>
        <w:pStyle w:val="14"/>
        <w:jc w:val="center"/>
        <w:rPr>
          <w:rFonts w:ascii="方正小标宋_GBK" w:hAnsi="方正小标宋_GBK" w:eastAsia="方正小标宋_GBK" w:cs="方正小标宋_GBK"/>
          <w:color w:val="auto"/>
          <w:sz w:val="48"/>
          <w:szCs w:val="48"/>
        </w:rPr>
      </w:pPr>
    </w:p>
    <w:p w14:paraId="4F3A99A2">
      <w:pPr>
        <w:pStyle w:val="14"/>
        <w:jc w:val="center"/>
        <w:rPr>
          <w:rFonts w:ascii="方正小标宋_GBK" w:hAnsi="方正小标宋_GBK" w:eastAsia="方正小标宋_GBK" w:cs="方正小标宋_GBK"/>
          <w:color w:val="auto"/>
          <w:sz w:val="48"/>
          <w:szCs w:val="48"/>
        </w:rPr>
      </w:pPr>
    </w:p>
    <w:p w14:paraId="5843E4F0">
      <w:pPr>
        <w:pStyle w:val="14"/>
        <w:jc w:val="center"/>
        <w:rPr>
          <w:rFonts w:ascii="方正小标宋_GBK" w:hAnsi="方正小标宋_GBK" w:eastAsia="方正小标宋_GBK" w:cs="方正小标宋_GBK"/>
          <w:color w:val="auto"/>
          <w:sz w:val="48"/>
          <w:szCs w:val="48"/>
        </w:rPr>
      </w:pPr>
    </w:p>
    <w:p w14:paraId="3135D719">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1D86BC0E">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中共华容县委政策研究中心概况</w:t>
      </w:r>
    </w:p>
    <w:p w14:paraId="25035ACA">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04BBE874">
      <w:pPr>
        <w:keepNext/>
        <w:keepLines/>
        <w:shd w:val="clear" w:color="auto" w:fill="FFFFFF"/>
        <w:autoSpaceDE w:val="0"/>
        <w:autoSpaceDN w:val="0"/>
        <w:adjustRightInd w:val="0"/>
        <w:ind w:firstLine="640"/>
        <w:jc w:val="left"/>
        <w:rPr>
          <w:rFonts w:ascii="宋体" w:hAnsi="Times New Roman" w:eastAsia="宋体" w:cs="宋体"/>
          <w:kern w:val="0"/>
          <w:sz w:val="32"/>
          <w:szCs w:val="32"/>
        </w:rPr>
      </w:pPr>
      <w:r>
        <w:rPr>
          <w:rFonts w:hint="eastAsia" w:ascii="宋体" w:hAnsi="Times New Roman" w:eastAsia="宋体" w:cs="宋体"/>
          <w:kern w:val="0"/>
          <w:sz w:val="32"/>
          <w:szCs w:val="32"/>
        </w:rPr>
        <w:t>根据县委的意图和部署，围绕全县中心工作，进行有关经济、政治、文化、社会、生态文明和党建等方面政策问题的调查研究，提出意见和建议，供县委决策参考，并进行决策后的跟踪调查，为完善县委决策服务。</w:t>
      </w:r>
    </w:p>
    <w:p w14:paraId="32894F05">
      <w:pPr>
        <w:keepNext/>
        <w:keepLines/>
        <w:shd w:val="clear" w:color="auto" w:fill="FFFFFF"/>
        <w:autoSpaceDE w:val="0"/>
        <w:autoSpaceDN w:val="0"/>
        <w:adjustRightInd w:val="0"/>
        <w:ind w:firstLine="640"/>
        <w:jc w:val="left"/>
        <w:rPr>
          <w:rFonts w:ascii="宋体" w:hAnsi="Times New Roman" w:eastAsia="宋体" w:cs="宋体"/>
          <w:kern w:val="0"/>
          <w:sz w:val="32"/>
          <w:szCs w:val="32"/>
        </w:rPr>
      </w:pPr>
      <w:r>
        <w:rPr>
          <w:rFonts w:hint="eastAsia" w:ascii="宋体" w:hAnsi="Times New Roman" w:eastAsia="宋体" w:cs="宋体"/>
          <w:kern w:val="0"/>
          <w:sz w:val="32"/>
          <w:szCs w:val="32"/>
        </w:rPr>
        <w:t>牵头组织、协调和联络县直各部门和各乡镇的调查研究工作；负责全县党委办公室系统调查研究、文稿写作等方面的业务指导。</w:t>
      </w:r>
    </w:p>
    <w:p w14:paraId="18894EF9">
      <w:pPr>
        <w:keepNext/>
        <w:keepLines/>
        <w:shd w:val="clear" w:color="auto" w:fill="FFFFFF"/>
        <w:autoSpaceDE w:val="0"/>
        <w:autoSpaceDN w:val="0"/>
        <w:adjustRightInd w:val="0"/>
        <w:ind w:firstLine="640"/>
        <w:jc w:val="left"/>
        <w:rPr>
          <w:rFonts w:ascii="宋体" w:hAnsi="Times New Roman" w:eastAsia="宋体" w:cs="宋体"/>
          <w:kern w:val="0"/>
          <w:sz w:val="32"/>
          <w:szCs w:val="32"/>
        </w:rPr>
      </w:pPr>
      <w:r>
        <w:rPr>
          <w:rFonts w:hint="eastAsia" w:ascii="宋体" w:hAnsi="Times New Roman" w:eastAsia="宋体" w:cs="宋体"/>
          <w:kern w:val="0"/>
          <w:sz w:val="32"/>
          <w:szCs w:val="32"/>
        </w:rPr>
        <w:t>参与起草或修改县委重要政策性文件；协助县委主要领导起草工作报告、讲话稿；组织撰写全县性会议工作报告及其他有关材料；起草县委及县委主要领导同志向中央、省、市领导的汇报材料。</w:t>
      </w:r>
    </w:p>
    <w:p w14:paraId="4ABE43E6">
      <w:pPr>
        <w:keepNext/>
        <w:keepLines/>
        <w:shd w:val="clear" w:color="auto" w:fill="FFFFFF"/>
        <w:autoSpaceDE w:val="0"/>
        <w:autoSpaceDN w:val="0"/>
        <w:adjustRightInd w:val="0"/>
        <w:ind w:firstLine="640"/>
        <w:jc w:val="left"/>
        <w:rPr>
          <w:rFonts w:ascii="宋体" w:hAnsi="Times New Roman" w:eastAsia="宋体" w:cs="宋体"/>
          <w:kern w:val="0"/>
          <w:sz w:val="32"/>
          <w:szCs w:val="32"/>
        </w:rPr>
      </w:pPr>
      <w:r>
        <w:rPr>
          <w:rFonts w:hint="eastAsia" w:ascii="宋体" w:hAnsi="Times New Roman" w:eastAsia="宋体" w:cs="宋体"/>
          <w:kern w:val="0"/>
          <w:sz w:val="32"/>
          <w:szCs w:val="32"/>
        </w:rPr>
        <w:t>收集和筛选关系县域经济社会发展的各项重要信息，对重要问题进行分析、预测，并及时将有关资料和研究成果报送县委主要领导阅研、参考。</w:t>
      </w:r>
    </w:p>
    <w:p w14:paraId="1F4CE9B9">
      <w:pPr>
        <w:keepNext/>
        <w:keepLines/>
        <w:shd w:val="clear" w:color="auto" w:fill="FFFFFF"/>
        <w:autoSpaceDE w:val="0"/>
        <w:autoSpaceDN w:val="0"/>
        <w:adjustRightInd w:val="0"/>
        <w:ind w:firstLine="640"/>
        <w:jc w:val="left"/>
        <w:rPr>
          <w:rFonts w:ascii="宋体" w:hAnsi="Times New Roman" w:eastAsia="宋体" w:cs="宋体"/>
          <w:kern w:val="0"/>
          <w:sz w:val="32"/>
          <w:szCs w:val="32"/>
        </w:rPr>
      </w:pPr>
      <w:r>
        <w:rPr>
          <w:rFonts w:hint="eastAsia" w:ascii="宋体" w:hAnsi="Times New Roman" w:eastAsia="宋体" w:cs="宋体"/>
          <w:kern w:val="0"/>
          <w:sz w:val="32"/>
          <w:szCs w:val="32"/>
        </w:rPr>
        <w:t>负责县委重要工作的对外宣传。</w:t>
      </w:r>
    </w:p>
    <w:p w14:paraId="4F6DD60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完成县委主要领导交办的其他工作</w:t>
      </w:r>
      <w:r>
        <w:rPr>
          <w:rFonts w:hint="eastAsia" w:ascii="宋体" w:hAnsi="Times New Roman" w:eastAsia="宋体" w:cs="宋体"/>
          <w:color w:val="auto"/>
          <w:sz w:val="32"/>
          <w:szCs w:val="32"/>
          <w:highlight w:val="white"/>
        </w:rPr>
        <w:t>。</w:t>
      </w:r>
    </w:p>
    <w:p w14:paraId="1E35E392">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04D19468">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1975ECEE">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中共华容县委政策研究中心单位内设机构包括：</w:t>
      </w:r>
      <w:r>
        <w:rPr>
          <w:rFonts w:hint="eastAsia" w:ascii="宋体" w:hAnsi="Times New Roman" w:eastAsia="宋体" w:cs="宋体"/>
          <w:sz w:val="32"/>
          <w:szCs w:val="32"/>
          <w:lang w:val="zh-CN"/>
        </w:rPr>
        <w:t>综合办、文稿室（信息室）、调研一室、调研二室</w:t>
      </w:r>
      <w:r>
        <w:rPr>
          <w:rFonts w:hint="eastAsia" w:ascii="宋体" w:hAnsi="Times New Roman" w:eastAsia="宋体" w:cs="宋体"/>
          <w:sz w:val="32"/>
          <w:szCs w:val="32"/>
          <w:highlight w:val="white"/>
        </w:rPr>
        <w:t>。</w:t>
      </w:r>
    </w:p>
    <w:p w14:paraId="4D1CB054">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2A90EE7F">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中共华容县委政策研究中心单位2023年部门决算汇总公开单位构成包括：局机关本级决算（根据财政预算管理制度，所属二级机构为一级预算单位，部门决算报表分别单独公开）,不包含下属单位。</w:t>
      </w:r>
    </w:p>
    <w:p w14:paraId="036453E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63EC44C4">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02519AF3">
      <w:pPr>
        <w:pStyle w:val="14"/>
        <w:jc w:val="center"/>
        <w:rPr>
          <w:rFonts w:hAnsi="黑体"/>
          <w:bCs/>
          <w:color w:val="auto"/>
          <w:kern w:val="2"/>
          <w:sz w:val="32"/>
          <w:szCs w:val="32"/>
        </w:rPr>
      </w:pPr>
      <w:r>
        <w:rPr>
          <w:rFonts w:hint="eastAsia" w:hAnsi="黑体"/>
          <w:bCs/>
          <w:color w:val="auto"/>
          <w:kern w:val="2"/>
          <w:sz w:val="32"/>
          <w:szCs w:val="32"/>
        </w:rPr>
        <w:t>详见附件表格</w:t>
      </w:r>
    </w:p>
    <w:p w14:paraId="5B8BDC2B">
      <w:pPr>
        <w:pStyle w:val="14"/>
        <w:jc w:val="center"/>
        <w:rPr>
          <w:rFonts w:ascii="方正小标宋_GBK" w:hAnsi="方正小标宋_GBK" w:eastAsia="方正小标宋_GBK" w:cs="方正小标宋_GBK"/>
          <w:color w:val="auto"/>
          <w:sz w:val="48"/>
          <w:szCs w:val="48"/>
        </w:rPr>
      </w:pPr>
    </w:p>
    <w:p w14:paraId="662ED6E6">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612B3633">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4C2BFC6A">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2872094F">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164.67</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年相比，收、支总计各减少</w:t>
      </w:r>
      <w:r>
        <w:rPr>
          <w:rFonts w:ascii="宋体" w:hAnsi="Times New Roman" w:eastAsia="宋体" w:cs="宋体"/>
          <w:sz w:val="32"/>
          <w:szCs w:val="32"/>
          <w:highlight w:val="white"/>
          <w:lang w:val="zh-CN"/>
        </w:rPr>
        <w:t>30.22</w:t>
      </w:r>
      <w:r>
        <w:rPr>
          <w:rFonts w:hint="eastAsia" w:ascii="宋体" w:hAnsi="Times New Roman" w:eastAsia="宋体" w:cs="宋体"/>
          <w:sz w:val="32"/>
          <w:szCs w:val="32"/>
          <w:highlight w:val="white"/>
          <w:lang w:val="zh-CN"/>
        </w:rPr>
        <w:t>万元，下降</w:t>
      </w:r>
      <w:r>
        <w:rPr>
          <w:rFonts w:ascii="宋体" w:hAnsi="Times New Roman" w:eastAsia="宋体" w:cs="宋体"/>
          <w:sz w:val="32"/>
          <w:szCs w:val="32"/>
          <w:highlight w:val="white"/>
          <w:lang w:val="zh-CN"/>
        </w:rPr>
        <w:t>15.51%</w:t>
      </w:r>
      <w:r>
        <w:rPr>
          <w:rFonts w:hint="eastAsia" w:ascii="宋体" w:hAnsi="Times New Roman" w:eastAsia="宋体" w:cs="宋体"/>
          <w:sz w:val="32"/>
          <w:szCs w:val="32"/>
          <w:highlight w:val="white"/>
          <w:lang w:val="zh-CN"/>
        </w:rPr>
        <w:t>。主要原因是单位厉行节约，压减一般性支出，财政拨款收入减少</w:t>
      </w:r>
      <w:r>
        <w:rPr>
          <w:rFonts w:hint="eastAsia" w:ascii="宋体" w:hAnsi="Times New Roman" w:eastAsia="宋体" w:cs="宋体"/>
          <w:sz w:val="32"/>
          <w:szCs w:val="32"/>
          <w:highlight w:val="white"/>
        </w:rPr>
        <w:t>。</w:t>
      </w:r>
    </w:p>
    <w:p w14:paraId="564A8419">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6F2E67AE">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164.67</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164.67</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50F290D6">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3CE2AD89">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164.67</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164.67</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72C17530">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5460EA33">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164.67</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财政拨款收、支总计各减少</w:t>
      </w:r>
      <w:r>
        <w:rPr>
          <w:rFonts w:ascii="宋体" w:hAnsi="Times New Roman" w:eastAsia="宋体" w:cs="宋体"/>
          <w:sz w:val="32"/>
          <w:szCs w:val="32"/>
          <w:highlight w:val="white"/>
        </w:rPr>
        <w:t>30.22</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15.51%</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主要原因是单位厉行节约，压减一般性支出，财政拨款收入减少</w:t>
      </w:r>
      <w:r>
        <w:rPr>
          <w:rFonts w:hint="eastAsia" w:ascii="宋体" w:hAnsi="Times New Roman" w:eastAsia="宋体" w:cs="宋体"/>
          <w:sz w:val="32"/>
          <w:szCs w:val="32"/>
          <w:highlight w:val="white"/>
        </w:rPr>
        <w:t>。</w:t>
      </w:r>
    </w:p>
    <w:p w14:paraId="6676A016">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17D8AEC9">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5EF0613E">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164.67</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年度相比，财政拨款支出减少</w:t>
      </w:r>
      <w:r>
        <w:rPr>
          <w:rFonts w:ascii="宋体" w:hAnsi="Times New Roman" w:eastAsia="宋体" w:cs="宋体"/>
          <w:sz w:val="32"/>
          <w:szCs w:val="32"/>
          <w:highlight w:val="white"/>
        </w:rPr>
        <w:t>30.22</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15.51%,</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单位厉行节约，压减一般性支出，财政拨款收入减少。</w:t>
      </w:r>
    </w:p>
    <w:p w14:paraId="1D785EE1">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5B892680">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164.67</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164.67</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100%</w:t>
      </w:r>
      <w:r>
        <w:rPr>
          <w:rFonts w:hint="eastAsia" w:ascii="宋体" w:hAnsi="Times New Roman" w:eastAsia="宋体" w:cs="宋体"/>
          <w:kern w:val="0"/>
          <w:sz w:val="32"/>
          <w:szCs w:val="32"/>
          <w:highlight w:val="white"/>
        </w:rPr>
        <w:t>。</w:t>
      </w:r>
    </w:p>
    <w:p w14:paraId="5FC8D08F">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219C16F6">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年度财政拨款支出年初预算为</w:t>
      </w:r>
      <w:r>
        <w:rPr>
          <w:rFonts w:ascii="宋体" w:hAnsi="Times New Roman" w:eastAsia="宋体" w:cs="宋体"/>
          <w:color w:val="auto"/>
          <w:sz w:val="32"/>
          <w:szCs w:val="32"/>
          <w:highlight w:val="white"/>
        </w:rPr>
        <w:t>98</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164.67</w:t>
      </w:r>
      <w:r>
        <w:rPr>
          <w:rFonts w:hint="eastAsia" w:ascii="宋体" w:hAnsi="Times New Roman" w:eastAsia="宋体" w:cs="宋体"/>
          <w:color w:val="auto"/>
          <w:sz w:val="32"/>
          <w:szCs w:val="32"/>
          <w:highlight w:val="white"/>
        </w:rPr>
        <w:t>万元，完成年初预算的</w:t>
      </w:r>
      <w:r>
        <w:rPr>
          <w:rFonts w:ascii="宋体" w:hAnsi="Times New Roman" w:eastAsia="宋体" w:cs="宋体"/>
          <w:color w:val="auto"/>
          <w:sz w:val="32"/>
          <w:szCs w:val="32"/>
          <w:highlight w:val="white"/>
        </w:rPr>
        <w:t>168.03%</w:t>
      </w:r>
      <w:r>
        <w:rPr>
          <w:rFonts w:hint="eastAsia" w:ascii="宋体" w:hAnsi="Times New Roman" w:eastAsia="宋体" w:cs="宋体"/>
          <w:color w:val="auto"/>
          <w:sz w:val="32"/>
          <w:szCs w:val="32"/>
          <w:highlight w:val="white"/>
        </w:rPr>
        <w:t>。其中：</w:t>
      </w:r>
    </w:p>
    <w:p w14:paraId="3A40B53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1、一般公共服务支出（类）党委办公厅（室）及相关机构事务（款）行政运行（项）。</w:t>
      </w:r>
    </w:p>
    <w:p w14:paraId="0C407F7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年初预算为</w:t>
      </w:r>
      <w:r>
        <w:rPr>
          <w:rFonts w:ascii="宋体" w:hAnsi="Times New Roman" w:eastAsia="宋体" w:cs="宋体"/>
          <w:color w:val="auto"/>
          <w:sz w:val="32"/>
          <w:szCs w:val="32"/>
          <w:highlight w:val="white"/>
        </w:rPr>
        <w:t>98</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160.37</w:t>
      </w:r>
      <w:r>
        <w:rPr>
          <w:rFonts w:hint="eastAsia" w:ascii="宋体" w:hAnsi="Times New Roman" w:eastAsia="宋体" w:cs="宋体"/>
          <w:color w:val="auto"/>
          <w:sz w:val="32"/>
          <w:szCs w:val="32"/>
          <w:highlight w:val="white"/>
        </w:rPr>
        <w:t>万元，完成年初预算的</w:t>
      </w:r>
      <w:r>
        <w:rPr>
          <w:rFonts w:ascii="宋体" w:hAnsi="Times New Roman" w:eastAsia="宋体" w:cs="宋体"/>
          <w:color w:val="auto"/>
          <w:sz w:val="32"/>
          <w:szCs w:val="32"/>
          <w:highlight w:val="white"/>
        </w:rPr>
        <w:t>163.64%</w:t>
      </w:r>
      <w:r>
        <w:rPr>
          <w:rFonts w:hint="eastAsia" w:ascii="宋体" w:hAnsi="Times New Roman" w:eastAsia="宋体" w:cs="宋体"/>
          <w:color w:val="auto"/>
          <w:sz w:val="32"/>
          <w:szCs w:val="32"/>
          <w:highlight w:val="white"/>
        </w:rPr>
        <w:t>。决算数大于预算数的主要原因是业务工作任务增加，财政追拨行政运行经费。</w:t>
      </w:r>
      <w:r>
        <w:rPr>
          <w:rFonts w:ascii="宋体" w:hAnsi="Times New Roman" w:eastAsia="宋体" w:cs="宋体"/>
          <w:color w:val="auto"/>
          <w:sz w:val="32"/>
          <w:szCs w:val="32"/>
          <w:highlight w:val="white"/>
        </w:rPr>
        <w:t xml:space="preserve">  </w:t>
      </w:r>
    </w:p>
    <w:p w14:paraId="2420B38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2、一般公共服务支出（类）其他一般公共服务支出（款）其他一般公共服务支出（项）。</w:t>
      </w:r>
    </w:p>
    <w:p w14:paraId="5FF44A9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4.3</w:t>
      </w:r>
      <w:r>
        <w:rPr>
          <w:rFonts w:hint="eastAsia" w:ascii="宋体" w:hAnsi="Times New Roman" w:eastAsia="宋体" w:cs="宋体"/>
          <w:color w:val="auto"/>
          <w:sz w:val="32"/>
          <w:szCs w:val="32"/>
          <w:highlight w:val="white"/>
        </w:rPr>
        <w:t>万元，由于年初预算为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，无法计算百分比。决算数大于预算数的主要原因是业务工作任务增加，财政追拨其他一般公共服务支出经费。</w:t>
      </w:r>
      <w:r>
        <w:rPr>
          <w:rFonts w:ascii="宋体" w:hAnsi="Times New Roman" w:eastAsia="宋体" w:cs="宋体"/>
          <w:color w:val="auto"/>
          <w:sz w:val="32"/>
          <w:szCs w:val="32"/>
          <w:highlight w:val="white"/>
        </w:rPr>
        <w:t xml:space="preserve">  </w:t>
      </w:r>
    </w:p>
    <w:p w14:paraId="3B7854AD">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0CDCB414">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164.67</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2CAA1ECB">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89.94</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54.62%</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03C187E3">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74.73</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45.38%</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BA093E0">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3CB298E6">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6ED97414">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经费财政拨款支出预算为</w:t>
      </w:r>
      <w:r>
        <w:rPr>
          <w:rFonts w:ascii="宋体" w:hAnsi="Times New Roman" w:eastAsia="宋体" w:cs="宋体"/>
          <w:color w:val="auto"/>
          <w:sz w:val="32"/>
          <w:szCs w:val="32"/>
          <w:highlight w:val="white"/>
        </w:rPr>
        <w:t>0.5</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0.29</w:t>
      </w:r>
      <w:r>
        <w:rPr>
          <w:rFonts w:hint="eastAsia" w:ascii="宋体" w:hAnsi="Times New Roman" w:eastAsia="宋体" w:cs="宋体"/>
          <w:color w:val="auto"/>
          <w:sz w:val="32"/>
          <w:szCs w:val="32"/>
          <w:highlight w:val="white"/>
        </w:rPr>
        <w:t>万元</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完成预算的</w:t>
      </w:r>
      <w:r>
        <w:rPr>
          <w:rFonts w:ascii="宋体" w:hAnsi="Times New Roman" w:eastAsia="宋体" w:cs="宋体"/>
          <w:color w:val="auto"/>
          <w:sz w:val="32"/>
          <w:szCs w:val="32"/>
          <w:highlight w:val="white"/>
        </w:rPr>
        <w:t>58%</w:t>
      </w:r>
      <w:r>
        <w:rPr>
          <w:rFonts w:hint="eastAsia" w:ascii="宋体" w:hAnsi="Times New Roman" w:eastAsia="宋体" w:cs="宋体"/>
          <w:color w:val="auto"/>
          <w:sz w:val="32"/>
          <w:szCs w:val="32"/>
          <w:highlight w:val="white"/>
        </w:rPr>
        <w:t>，决算数小于预算数的主要原因是认真贯彻落实</w:t>
      </w:r>
      <w:r>
        <w:rPr>
          <w:rFonts w:hint="eastAsia" w:ascii="宋体" w:hAnsi="Times New Roman" w:eastAsia="宋体" w:cs="宋体"/>
          <w:color w:val="auto"/>
          <w:sz w:val="32"/>
          <w:szCs w:val="32"/>
          <w:highlight w:val="white"/>
          <w:lang w:eastAsia="zh-CN"/>
        </w:rPr>
        <w:t>中央八项规定</w:t>
      </w:r>
      <w:r>
        <w:rPr>
          <w:rFonts w:hint="eastAsia" w:ascii="宋体" w:hAnsi="Times New Roman" w:eastAsia="宋体" w:cs="宋体"/>
          <w:color w:val="auto"/>
          <w:sz w:val="32"/>
          <w:szCs w:val="32"/>
          <w:highlight w:val="white"/>
        </w:rPr>
        <w:t>精神和厉行节约要求，从严控制</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经费开支，全年实际支出比预算有所节约。与上年相比减少</w:t>
      </w:r>
      <w:r>
        <w:rPr>
          <w:rFonts w:ascii="宋体" w:hAnsi="Times New Roman" w:eastAsia="宋体" w:cs="宋体"/>
          <w:color w:val="auto"/>
          <w:sz w:val="32"/>
          <w:szCs w:val="32"/>
          <w:highlight w:val="white"/>
        </w:rPr>
        <w:t>0.6</w:t>
      </w:r>
      <w:r>
        <w:rPr>
          <w:rFonts w:hint="eastAsia" w:ascii="宋体" w:hAnsi="Times New Roman" w:eastAsia="宋体" w:cs="宋体"/>
          <w:color w:val="auto"/>
          <w:sz w:val="32"/>
          <w:szCs w:val="32"/>
          <w:highlight w:val="white"/>
        </w:rPr>
        <w:t>万元，下降</w:t>
      </w:r>
      <w:r>
        <w:rPr>
          <w:rFonts w:ascii="宋体" w:hAnsi="Times New Roman" w:eastAsia="宋体" w:cs="宋体"/>
          <w:color w:val="auto"/>
          <w:sz w:val="32"/>
          <w:szCs w:val="32"/>
          <w:highlight w:val="white"/>
        </w:rPr>
        <w:t>67.42%,</w:t>
      </w:r>
      <w:r>
        <w:rPr>
          <w:rFonts w:hint="eastAsia" w:ascii="宋体" w:hAnsi="Times New Roman" w:eastAsia="宋体" w:cs="宋体"/>
          <w:color w:val="auto"/>
          <w:sz w:val="32"/>
          <w:szCs w:val="32"/>
          <w:highlight w:val="white"/>
        </w:rPr>
        <w:t>减少主要原因是认真贯彻落实</w:t>
      </w:r>
      <w:r>
        <w:rPr>
          <w:rFonts w:hint="eastAsia" w:ascii="宋体" w:hAnsi="Times New Roman" w:eastAsia="宋体" w:cs="宋体"/>
          <w:color w:val="auto"/>
          <w:sz w:val="32"/>
          <w:szCs w:val="32"/>
          <w:highlight w:val="white"/>
          <w:lang w:eastAsia="zh-CN"/>
        </w:rPr>
        <w:t>中央八项规定</w:t>
      </w:r>
      <w:r>
        <w:rPr>
          <w:rFonts w:hint="eastAsia" w:ascii="宋体" w:hAnsi="Times New Roman" w:eastAsia="宋体" w:cs="宋体"/>
          <w:color w:val="auto"/>
          <w:sz w:val="32"/>
          <w:szCs w:val="32"/>
          <w:highlight w:val="white"/>
        </w:rPr>
        <w:t>精神和厉行节约要求，从严控制</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经费开支，全年实际支出比预算有所节约。其中：</w:t>
      </w:r>
    </w:p>
    <w:p w14:paraId="0BA497E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因公出国（境）费支出预算为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万元，由于预算为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，无法计算百分比，与上年相比减少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w:t>
      </w:r>
      <w:r>
        <w:rPr>
          <w:rFonts w:ascii="宋体" w:hAnsi="Times New Roman" w:eastAsia="宋体" w:cs="宋体"/>
          <w:color w:val="auto"/>
          <w:sz w:val="32"/>
          <w:szCs w:val="32"/>
          <w:highlight w:val="white"/>
        </w:rPr>
        <w:t xml:space="preserve">   </w:t>
      </w:r>
    </w:p>
    <w:p w14:paraId="2F664E8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公务接待费支出预算为</w:t>
      </w:r>
      <w:r>
        <w:rPr>
          <w:rFonts w:ascii="宋体" w:hAnsi="Times New Roman" w:eastAsia="宋体" w:cs="宋体"/>
          <w:color w:val="auto"/>
          <w:sz w:val="32"/>
          <w:szCs w:val="32"/>
          <w:highlight w:val="white"/>
        </w:rPr>
        <w:t>0.5</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0.29</w:t>
      </w:r>
      <w:r>
        <w:rPr>
          <w:rFonts w:hint="eastAsia" w:ascii="宋体" w:hAnsi="Times New Roman" w:eastAsia="宋体" w:cs="宋体"/>
          <w:color w:val="auto"/>
          <w:sz w:val="32"/>
          <w:szCs w:val="32"/>
          <w:highlight w:val="white"/>
        </w:rPr>
        <w:t>万元</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完成预算的</w:t>
      </w:r>
      <w:r>
        <w:rPr>
          <w:rFonts w:ascii="宋体" w:hAnsi="Times New Roman" w:eastAsia="宋体" w:cs="宋体"/>
          <w:color w:val="auto"/>
          <w:sz w:val="32"/>
          <w:szCs w:val="32"/>
          <w:highlight w:val="white"/>
        </w:rPr>
        <w:t>58%,</w:t>
      </w:r>
      <w:r>
        <w:rPr>
          <w:rFonts w:hint="eastAsia" w:ascii="宋体" w:hAnsi="Times New Roman" w:eastAsia="宋体" w:cs="宋体"/>
          <w:color w:val="auto"/>
          <w:sz w:val="32"/>
          <w:szCs w:val="32"/>
          <w:highlight w:val="white"/>
        </w:rPr>
        <w:t>决算数小于预算数的主要原因是认真贯彻落实</w:t>
      </w:r>
      <w:r>
        <w:rPr>
          <w:rFonts w:hint="eastAsia" w:ascii="宋体" w:hAnsi="Times New Roman" w:eastAsia="宋体" w:cs="宋体"/>
          <w:color w:val="auto"/>
          <w:sz w:val="32"/>
          <w:szCs w:val="32"/>
          <w:highlight w:val="white"/>
          <w:lang w:eastAsia="zh-CN"/>
        </w:rPr>
        <w:t>中央八项规定</w:t>
      </w:r>
      <w:r>
        <w:rPr>
          <w:rFonts w:hint="eastAsia" w:ascii="宋体" w:hAnsi="Times New Roman" w:eastAsia="宋体" w:cs="宋体"/>
          <w:color w:val="auto"/>
          <w:sz w:val="32"/>
          <w:szCs w:val="32"/>
          <w:highlight w:val="white"/>
        </w:rPr>
        <w:t>精神和厉行节约要求，从严控制</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经费开支，全年实际支出比预算有所节约。与上年相比减少</w:t>
      </w:r>
      <w:r>
        <w:rPr>
          <w:rFonts w:ascii="宋体" w:hAnsi="Times New Roman" w:eastAsia="宋体" w:cs="宋体"/>
          <w:color w:val="auto"/>
          <w:sz w:val="32"/>
          <w:szCs w:val="32"/>
          <w:highlight w:val="white"/>
        </w:rPr>
        <w:t>0.6</w:t>
      </w:r>
      <w:r>
        <w:rPr>
          <w:rFonts w:hint="eastAsia" w:ascii="宋体" w:hAnsi="Times New Roman" w:eastAsia="宋体" w:cs="宋体"/>
          <w:color w:val="auto"/>
          <w:sz w:val="32"/>
          <w:szCs w:val="32"/>
          <w:highlight w:val="white"/>
        </w:rPr>
        <w:t>万元，下降</w:t>
      </w:r>
      <w:r>
        <w:rPr>
          <w:rFonts w:ascii="宋体" w:hAnsi="Times New Roman" w:eastAsia="宋体" w:cs="宋体"/>
          <w:color w:val="auto"/>
          <w:sz w:val="32"/>
          <w:szCs w:val="32"/>
          <w:highlight w:val="white"/>
        </w:rPr>
        <w:t>67.42%,</w:t>
      </w:r>
      <w:r>
        <w:rPr>
          <w:rFonts w:hint="eastAsia" w:ascii="宋体" w:hAnsi="Times New Roman" w:eastAsia="宋体" w:cs="宋体"/>
          <w:color w:val="auto"/>
          <w:sz w:val="32"/>
          <w:szCs w:val="32"/>
          <w:highlight w:val="white"/>
        </w:rPr>
        <w:t>减少主要原因是认真贯彻落实</w:t>
      </w:r>
      <w:r>
        <w:rPr>
          <w:rFonts w:hint="eastAsia" w:ascii="宋体" w:hAnsi="Times New Roman" w:eastAsia="宋体" w:cs="宋体"/>
          <w:color w:val="auto"/>
          <w:sz w:val="32"/>
          <w:szCs w:val="32"/>
          <w:highlight w:val="white"/>
          <w:lang w:eastAsia="zh-CN"/>
        </w:rPr>
        <w:t>中央八项规定</w:t>
      </w:r>
      <w:bookmarkStart w:id="0" w:name="_GoBack"/>
      <w:bookmarkEnd w:id="0"/>
      <w:r>
        <w:rPr>
          <w:rFonts w:hint="eastAsia" w:ascii="宋体" w:hAnsi="Times New Roman" w:eastAsia="宋体" w:cs="宋体"/>
          <w:color w:val="auto"/>
          <w:sz w:val="32"/>
          <w:szCs w:val="32"/>
          <w:highlight w:val="white"/>
        </w:rPr>
        <w:t>精神和厉行节约要求，从严控制</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经费开支，全年实际支出比预算有所节约。</w:t>
      </w:r>
    </w:p>
    <w:p w14:paraId="32FFF39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公务用车购置费支出预算为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万元，由于预算为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，无法计算百分比，与上年相比减少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w:t>
      </w:r>
      <w:r>
        <w:rPr>
          <w:rFonts w:ascii="宋体" w:hAnsi="Times New Roman" w:eastAsia="宋体" w:cs="宋体"/>
          <w:color w:val="auto"/>
          <w:sz w:val="32"/>
          <w:szCs w:val="32"/>
          <w:highlight w:val="white"/>
        </w:rPr>
        <w:t xml:space="preserve">   </w:t>
      </w:r>
    </w:p>
    <w:p w14:paraId="33FB58A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公务用车购置费及运行维护费支出预算为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万元，由于预算为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，无法计算百分比，与上年相比减少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w:t>
      </w:r>
    </w:p>
    <w:p w14:paraId="1057C1E3">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11A11530">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0.29</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100%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255F6A5A">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00885250">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、公务接待费支出决算为</w:t>
      </w:r>
      <w:r>
        <w:rPr>
          <w:rFonts w:ascii="宋体" w:hAnsi="Times New Roman" w:eastAsia="宋体" w:cs="宋体"/>
          <w:kern w:val="0"/>
          <w:sz w:val="32"/>
          <w:szCs w:val="32"/>
          <w:lang w:val="zh-CN"/>
        </w:rPr>
        <w:t>0.29</w:t>
      </w:r>
      <w:r>
        <w:rPr>
          <w:rFonts w:hint="eastAsia" w:ascii="宋体" w:hAnsi="Times New Roman" w:eastAsia="宋体" w:cs="宋体"/>
          <w:kern w:val="0"/>
          <w:sz w:val="32"/>
          <w:szCs w:val="32"/>
          <w:lang w:val="zh-CN"/>
        </w:rPr>
        <w:t>万元，其中：其他国内公务接待支出</w:t>
      </w:r>
      <w:r>
        <w:rPr>
          <w:rFonts w:ascii="宋体" w:hAnsi="Times New Roman" w:eastAsia="宋体" w:cs="宋体"/>
          <w:kern w:val="0"/>
          <w:sz w:val="32"/>
          <w:szCs w:val="32"/>
          <w:lang w:val="zh-CN"/>
        </w:rPr>
        <w:t>0.29</w:t>
      </w:r>
      <w:r>
        <w:rPr>
          <w:rFonts w:hint="eastAsia" w:ascii="宋体" w:hAnsi="Times New Roman" w:eastAsia="宋体" w:cs="宋体"/>
          <w:kern w:val="0"/>
          <w:sz w:val="32"/>
          <w:szCs w:val="32"/>
          <w:lang w:val="zh-CN"/>
        </w:rPr>
        <w:t>万元</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全年共接待来访团组</w:t>
      </w:r>
      <w:r>
        <w:rPr>
          <w:rFonts w:ascii="宋体" w:hAnsi="Times New Roman" w:eastAsia="宋体" w:cs="宋体"/>
          <w:kern w:val="0"/>
          <w:sz w:val="32"/>
          <w:szCs w:val="32"/>
          <w:lang w:val="zh-CN"/>
        </w:rPr>
        <w:t>5</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25</w:t>
      </w:r>
      <w:r>
        <w:rPr>
          <w:rFonts w:hint="eastAsia" w:ascii="宋体" w:hAnsi="Times New Roman" w:eastAsia="宋体" w:cs="宋体"/>
          <w:kern w:val="0"/>
          <w:sz w:val="32"/>
          <w:szCs w:val="32"/>
          <w:lang w:val="zh-CN"/>
        </w:rPr>
        <w:t>人次（不包括陪同人员）。主要用于与有关单位交流工作情况及接受相关部门检查指导工作发生的接待支出。</w:t>
      </w:r>
    </w:p>
    <w:p w14:paraId="14B3ABA8">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2023</w:t>
      </w:r>
      <w:r>
        <w:rPr>
          <w:rFonts w:hint="eastAsia" w:ascii="宋体" w:hAnsi="Times New Roman" w:eastAsia="宋体" w:cs="宋体"/>
          <w:color w:val="auto"/>
          <w:sz w:val="32"/>
          <w:szCs w:val="32"/>
          <w:lang w:val="zh-CN"/>
        </w:rPr>
        <w:t>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47A6ACD4">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4454FF63">
      <w:pPr>
        <w:pStyle w:val="14"/>
        <w:spacing w:line="600" w:lineRule="exact"/>
        <w:ind w:firstLine="630"/>
        <w:rPr>
          <w:rFonts w:hint="eastAsia" w:ascii="宋体" w:hAnsi="Times New Roman" w:eastAsia="宋体" w:cs="宋体"/>
          <w:color w:val="auto"/>
          <w:sz w:val="32"/>
          <w:szCs w:val="32"/>
          <w:highlight w:val="white"/>
          <w:lang w:val="zh-CN"/>
        </w:rPr>
      </w:pPr>
      <w:r>
        <w:rPr>
          <w:rFonts w:ascii="宋体" w:hAnsi="Times New Roman" w:eastAsia="宋体" w:cs="宋体"/>
          <w:color w:val="auto"/>
          <w:sz w:val="32"/>
          <w:szCs w:val="32"/>
          <w:highlight w:val="white"/>
          <w:lang w:val="zh-CN"/>
        </w:rPr>
        <w:t>2023</w:t>
      </w:r>
      <w:r>
        <w:rPr>
          <w:rFonts w:hint="eastAsia" w:ascii="宋体" w:hAnsi="Times New Roman" w:eastAsia="宋体" w:cs="宋体"/>
          <w:color w:val="auto"/>
          <w:sz w:val="32"/>
          <w:szCs w:val="32"/>
          <w:highlight w:val="white"/>
          <w:lang w:val="zh-CN"/>
        </w:rPr>
        <w:t>年本单位没有使用政府性基金预算财政拨款安排的收支。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6B6BE597">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7285D05D">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7D7A421B">
      <w:pPr>
        <w:keepNext/>
        <w:keepLines/>
        <w:autoSpaceDE w:val="0"/>
        <w:autoSpaceDN w:val="0"/>
        <w:adjustRightInd w:val="0"/>
        <w:ind w:firstLine="640"/>
        <w:rPr>
          <w:rFonts w:ascii="宋体" w:hAnsi="Times New Roman" w:eastAsia="宋体" w:cs="宋体"/>
          <w:kern w:val="0"/>
          <w:sz w:val="32"/>
          <w:szCs w:val="32"/>
          <w:lang w:val="zh-CN"/>
        </w:rPr>
      </w:pPr>
      <w:r>
        <w:rPr>
          <w:rFonts w:hint="eastAsia" w:ascii="宋体" w:hAnsi="Times New Roman" w:eastAsia="宋体" w:cs="宋体"/>
          <w:sz w:val="32"/>
          <w:szCs w:val="32"/>
          <w:highlight w:val="white"/>
        </w:rPr>
        <w:t>本单位不属于行政单位和参照公务员法管理事业单位，无机关运行经费支出</w:t>
      </w:r>
      <w:r>
        <w:rPr>
          <w:rFonts w:hint="eastAsia" w:ascii="宋体" w:hAnsi="Times New Roman" w:eastAsia="宋体" w:cs="宋体"/>
          <w:kern w:val="0"/>
          <w:sz w:val="32"/>
          <w:szCs w:val="32"/>
          <w:lang w:val="zh-CN"/>
        </w:rPr>
        <w:t>。</w:t>
      </w:r>
    </w:p>
    <w:p w14:paraId="4D19262E">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057D4AFC">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0.89</w:t>
      </w:r>
      <w:r>
        <w:rPr>
          <w:rFonts w:hint="eastAsia" w:ascii="宋体" w:hAnsi="Times New Roman" w:eastAsia="宋体" w:cs="宋体"/>
          <w:kern w:val="0"/>
          <w:sz w:val="32"/>
          <w:szCs w:val="32"/>
          <w:highlight w:val="white"/>
        </w:rPr>
        <w:t>万元，用于召开</w:t>
      </w:r>
      <w:r>
        <w:rPr>
          <w:rFonts w:hint="eastAsia" w:ascii="宋体" w:hAnsi="Times New Roman" w:eastAsia="宋体" w:cs="宋体"/>
          <w:kern w:val="0"/>
          <w:sz w:val="32"/>
          <w:szCs w:val="32"/>
        </w:rPr>
        <w:t>业务工作会议</w:t>
      </w:r>
      <w:r>
        <w:rPr>
          <w:rFonts w:hint="eastAsia" w:ascii="宋体" w:hAnsi="Times New Roman" w:eastAsia="宋体" w:cs="宋体"/>
          <w:kern w:val="0"/>
          <w:sz w:val="32"/>
          <w:szCs w:val="32"/>
          <w:highlight w:val="white"/>
        </w:rPr>
        <w:t>，人数</w:t>
      </w:r>
      <w:r>
        <w:rPr>
          <w:rFonts w:ascii="宋体" w:hAnsi="Times New Roman" w:eastAsia="宋体" w:cs="宋体"/>
          <w:kern w:val="0"/>
          <w:sz w:val="32"/>
          <w:szCs w:val="32"/>
          <w:highlight w:val="white"/>
        </w:rPr>
        <w:t>55</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年度工作、任务部署等工作会议</w:t>
      </w:r>
      <w:r>
        <w:rPr>
          <w:rFonts w:hint="eastAsia" w:ascii="宋体" w:hAnsi="Times New Roman" w:eastAsia="宋体" w:cs="宋体"/>
          <w:kern w:val="0"/>
          <w:sz w:val="32"/>
          <w:szCs w:val="32"/>
          <w:highlight w:val="white"/>
        </w:rPr>
        <w:t>；开支培训费</w:t>
      </w:r>
      <w:r>
        <w:rPr>
          <w:rFonts w:ascii="宋体" w:hAnsi="Times New Roman" w:eastAsia="宋体" w:cs="宋体"/>
          <w:kern w:val="0"/>
          <w:sz w:val="32"/>
          <w:szCs w:val="32"/>
          <w:highlight w:val="white"/>
        </w:rPr>
        <w:t>0.23</w:t>
      </w:r>
      <w:r>
        <w:rPr>
          <w:rFonts w:hint="eastAsia" w:ascii="宋体" w:hAnsi="Times New Roman" w:eastAsia="宋体" w:cs="宋体"/>
          <w:kern w:val="0"/>
          <w:sz w:val="32"/>
          <w:szCs w:val="32"/>
          <w:highlight w:val="white"/>
        </w:rPr>
        <w:t>万元，用于开展知识技能培训，人数</w:t>
      </w:r>
      <w:r>
        <w:rPr>
          <w:rFonts w:ascii="宋体" w:hAnsi="Times New Roman" w:eastAsia="宋体" w:cs="宋体"/>
          <w:kern w:val="0"/>
          <w:sz w:val="32"/>
          <w:szCs w:val="32"/>
          <w:highlight w:val="white"/>
        </w:rPr>
        <w:t>10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事业人员知识等培训</w:t>
      </w:r>
      <w:r>
        <w:rPr>
          <w:rFonts w:hint="eastAsia" w:ascii="宋体" w:hAnsi="Times New Roman" w:eastAsia="宋体" w:cs="宋体"/>
          <w:kern w:val="0"/>
          <w:sz w:val="32"/>
          <w:szCs w:val="32"/>
          <w:highlight w:val="white"/>
        </w:rPr>
        <w:t>；</w:t>
      </w: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3046A31D">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602D4FD8">
      <w:pPr>
        <w:pStyle w:val="14"/>
        <w:spacing w:line="580" w:lineRule="exact"/>
        <w:ind w:firstLine="640" w:firstLineChars="200"/>
        <w:rPr>
          <w:rFonts w:ascii="宋体" w:hAnsi="Times New Roman" w:eastAsia="宋体" w:cs="宋体"/>
          <w:color w:val="auto"/>
          <w:sz w:val="32"/>
          <w:szCs w:val="32"/>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年度政府采购支出总额</w:t>
      </w:r>
      <w:r>
        <w:rPr>
          <w:rFonts w:ascii="宋体" w:hAnsi="Times New Roman" w:eastAsia="宋体" w:cs="宋体"/>
          <w:color w:val="auto"/>
          <w:sz w:val="32"/>
          <w:szCs w:val="32"/>
          <w:highlight w:val="white"/>
        </w:rPr>
        <w:t>56.77</w:t>
      </w:r>
      <w:r>
        <w:rPr>
          <w:rFonts w:hint="eastAsia" w:ascii="宋体" w:hAnsi="Times New Roman" w:eastAsia="宋体" w:cs="宋体"/>
          <w:color w:val="auto"/>
          <w:sz w:val="32"/>
          <w:szCs w:val="32"/>
          <w:highlight w:val="white"/>
        </w:rPr>
        <w:t>万元，其中：政府采购货物支出</w:t>
      </w:r>
      <w:r>
        <w:rPr>
          <w:rFonts w:ascii="宋体" w:hAnsi="Times New Roman" w:eastAsia="宋体" w:cs="宋体"/>
          <w:color w:val="auto"/>
          <w:sz w:val="32"/>
          <w:szCs w:val="32"/>
          <w:highlight w:val="white"/>
        </w:rPr>
        <w:t>4.38</w:t>
      </w:r>
      <w:r>
        <w:rPr>
          <w:rFonts w:hint="eastAsia" w:ascii="宋体" w:hAnsi="Times New Roman" w:eastAsia="宋体" w:cs="宋体"/>
          <w:color w:val="auto"/>
          <w:sz w:val="32"/>
          <w:szCs w:val="32"/>
          <w:highlight w:val="white"/>
        </w:rPr>
        <w:t>万元；政府采购工程支出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万元；政府采购服务支出</w:t>
      </w:r>
      <w:r>
        <w:rPr>
          <w:rFonts w:ascii="宋体" w:hAnsi="Times New Roman" w:eastAsia="宋体" w:cs="宋体"/>
          <w:color w:val="auto"/>
          <w:sz w:val="32"/>
          <w:szCs w:val="32"/>
          <w:highlight w:val="white"/>
        </w:rPr>
        <w:t>52.39</w:t>
      </w:r>
      <w:r>
        <w:rPr>
          <w:rFonts w:hint="eastAsia" w:ascii="宋体" w:hAnsi="Times New Roman" w:eastAsia="宋体" w:cs="宋体"/>
          <w:color w:val="auto"/>
          <w:sz w:val="32"/>
          <w:szCs w:val="32"/>
          <w:highlight w:val="white"/>
        </w:rPr>
        <w:t>万元。授予中小企业合同金额</w:t>
      </w:r>
      <w:r>
        <w:rPr>
          <w:rFonts w:ascii="宋体" w:hAnsi="Times New Roman" w:eastAsia="宋体" w:cs="宋体"/>
          <w:color w:val="auto"/>
          <w:sz w:val="32"/>
          <w:szCs w:val="32"/>
          <w:highlight w:val="white"/>
        </w:rPr>
        <w:t>56.77</w:t>
      </w:r>
      <w:r>
        <w:rPr>
          <w:rFonts w:hint="eastAsia" w:ascii="宋体" w:hAnsi="Times New Roman" w:eastAsia="宋体" w:cs="宋体"/>
          <w:color w:val="auto"/>
          <w:sz w:val="32"/>
          <w:szCs w:val="32"/>
          <w:highlight w:val="white"/>
        </w:rPr>
        <w:t>万元，占政府采购支出总额的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。其中：授予小微企业合同金额</w:t>
      </w:r>
      <w:r>
        <w:rPr>
          <w:rFonts w:ascii="宋体" w:hAnsi="Times New Roman" w:eastAsia="宋体" w:cs="宋体"/>
          <w:color w:val="auto"/>
          <w:sz w:val="32"/>
          <w:szCs w:val="32"/>
          <w:highlight w:val="white"/>
        </w:rPr>
        <w:t>56.77</w:t>
      </w:r>
      <w:r>
        <w:rPr>
          <w:rFonts w:hint="eastAsia" w:ascii="宋体" w:hAnsi="Times New Roman" w:eastAsia="宋体" w:cs="宋体"/>
          <w:color w:val="auto"/>
          <w:sz w:val="32"/>
          <w:szCs w:val="32"/>
          <w:highlight w:val="white"/>
        </w:rPr>
        <w:t>万元，占授予中小企业合同金额的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。货物采购授予中小企业合同金额占货物支出金额的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。工程采购授予中小企业合同金额占工程支出金额的</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。服务采购授予中小企业合同金额占服务支出金额的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w:t>
      </w:r>
    </w:p>
    <w:p w14:paraId="435EC4B7">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73EB81F3">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02693A91">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7D3C61A4">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02597CA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503D293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部门开展整体支出绩效评价，涉及一般公共预算支出164.67万元，政府性基金预算支出0万元，国有资本经营预算支出0万元, 合计164.67万元，其中：基本支出164.67万元，占100%；项目支出0万元，占0%。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4C6F8BB5">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46D5424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2BC5C27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398D25CA">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65726DB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一是进一步加强厉行节约机制，提高单位三保支出的保障能力。</w:t>
      </w:r>
    </w:p>
    <w:p w14:paraId="06E4D0B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二是预算编制与实际支出项目有的存在差异，有待进一步优化预算，提高预算编制的准确性。</w:t>
      </w:r>
    </w:p>
    <w:p w14:paraId="0C21699C">
      <w:pPr>
        <w:pStyle w:val="14"/>
        <w:jc w:val="both"/>
        <w:rPr>
          <w:color w:val="auto"/>
          <w:sz w:val="72"/>
          <w:szCs w:val="72"/>
        </w:rPr>
      </w:pPr>
    </w:p>
    <w:p w14:paraId="18537185">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3DA8270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685E2DC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财政拨款收入：指本级财政当年拨付的资金。</w:t>
      </w:r>
    </w:p>
    <w:p w14:paraId="1B3E8E3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1D1798E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基本支出：指保障机构正常运转、完成支日常工作任务而发生的人员支出和公用支出。</w:t>
      </w:r>
    </w:p>
    <w:p w14:paraId="0AA54C8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工资福利支出：反映单位开支的在职职工和编制外长期聘用人员的各类劳动报酬，以及为上述人员缴纳的各项社会保险费等。</w:t>
      </w:r>
    </w:p>
    <w:p w14:paraId="701DD9F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见习期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7EF2760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津贴补贴：反映经国家批准建立的机关事业单位艰苦边远地区津贴、机关工作人员地区附加津贴、机关工作人员岗位津贴、事业单位工作人员特殊岗位津贴补贴等。</w:t>
      </w:r>
    </w:p>
    <w:p w14:paraId="1EDA6CF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奖金：反映机关工作人员年终一次性奖金。</w:t>
      </w:r>
    </w:p>
    <w:p w14:paraId="51D805F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机关事业单位基本养老保险缴费：反映机关事业单位缴纳的基本养老保险费。由单位代扣的工作人员基本养老保险缴费，不在此科目反映。</w:t>
      </w:r>
    </w:p>
    <w:p w14:paraId="0236A02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职工基本医疗保险缴费：反映单位为职工缴纳的基本医疗保险费。</w:t>
      </w:r>
    </w:p>
    <w:p w14:paraId="52F301B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其他社会保障缴费：反映单位为职工缴纳的基本医疗、失业、工伤、生育等社会保险费，残疾人就业保障金，军队（含武警）为军人缴纳的伤亡、退役医疗等社会保险费。</w:t>
      </w:r>
    </w:p>
    <w:p w14:paraId="3C2A5F5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住房公积金：反映行政事业单位按人力资源和社会保障部、财政部规定的基本工资和津贴补贴以及规定比例为职工缴纳的住房公积金。</w:t>
      </w:r>
    </w:p>
    <w:p w14:paraId="14A78C8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商品和服务支出：反映单位购买商品和服务的支出（不包括用于购置固定资产的支出、战略性和应急储备支出）。</w:t>
      </w:r>
    </w:p>
    <w:p w14:paraId="55A6E05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办公费：反映单位购买按财务会计制度规定不符合固定资产确认标准的日常办公用品、书报杂志等支出。</w:t>
      </w:r>
    </w:p>
    <w:p w14:paraId="0EE7A6F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印刷费：反映单位的印刷费支出。</w:t>
      </w:r>
    </w:p>
    <w:p w14:paraId="65D9D57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水费：反映单位支付的水费、污水处理费等支出。</w:t>
      </w:r>
    </w:p>
    <w:p w14:paraId="4AA9C2D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电费：反映单位的电费支出。</w:t>
      </w:r>
    </w:p>
    <w:p w14:paraId="565133A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邮电费：反映单位开支的信函、包裹、货物等物品的邮寄费及电话费、电报费、传真费、网络通讯费等。</w:t>
      </w:r>
    </w:p>
    <w:p w14:paraId="69C06C0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差旅费：反映单位工作人员出差发生的城市间交通费、住宿费、伙食补贴费和市内交通费。</w:t>
      </w:r>
    </w:p>
    <w:p w14:paraId="4A61335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维修</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护</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费：反映单位日常开支的固定资产（不包括车船等交通工具）修理和维护费用，网络信息系统运行与维护费用，以及按规定提取的修购基金。</w:t>
      </w:r>
    </w:p>
    <w:p w14:paraId="38F8A28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培训费：反映除因公出国（境）培训费以外的各类培训支出。</w:t>
      </w:r>
    </w:p>
    <w:p w14:paraId="0DCE2F0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劳务费：反映支付给单位和个人的劳务费用，如临时聘用人员、钟点工工资，稿费、翻译费，评审费等。</w:t>
      </w:r>
    </w:p>
    <w:p w14:paraId="039AE0A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委托业务费：反映因委托外单位办理业务而支付的委托业务费。</w:t>
      </w:r>
    </w:p>
    <w:p w14:paraId="6A27282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工会经费：反映单位按规定提取的工会经费。</w:t>
      </w:r>
    </w:p>
    <w:p w14:paraId="49C1565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福利费：反映单位按规定提取的福利费。</w:t>
      </w:r>
    </w:p>
    <w:p w14:paraId="02C0B8D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其他交通费用：反映单位除公务用车运行维护费以外的其他交通费用。如公务交通补贴，租车费用、出租车费用，飞机、船舶等的燃料费、维修费、保险费等。</w:t>
      </w:r>
    </w:p>
    <w:p w14:paraId="4B17987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其他商品和服务支出：反映上述科目未包括的日常公用支出。如行政赔偿费和诉讼费、国内组织的会员费、来访费、广告宣传、其他劳务费及离休人员特需费、公用经费等。</w:t>
      </w:r>
    </w:p>
    <w:p w14:paraId="5970CCD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对个人和家庭的补助：反映政府用于对个人和家庭的补助支出。</w:t>
      </w:r>
    </w:p>
    <w:p w14:paraId="2B002B8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奖励金：反映政府各部门的奖励支出，如对个体私营经济的奖励、计划生育目标责任奖励、独生子女父母奖励等。</w:t>
      </w:r>
    </w:p>
    <w:p w14:paraId="5B789DC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办公设备购置：反映用于购置并按财务会计制度规定纳入固定资产核算范围的办公家具和办公设备的支出，以及按规定提取的修购基金。</w:t>
      </w:r>
    </w:p>
    <w:p w14:paraId="6FBF471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02A30F9D">
      <w:pPr>
        <w:pStyle w:val="14"/>
        <w:jc w:val="center"/>
        <w:rPr>
          <w:rFonts w:ascii="方正小标宋_GBK" w:hAnsi="方正小标宋_GBK" w:eastAsia="方正小标宋_GBK" w:cs="方正小标宋_GBK"/>
          <w:color w:val="auto"/>
          <w:sz w:val="48"/>
          <w:szCs w:val="48"/>
        </w:rPr>
      </w:pPr>
    </w:p>
    <w:p w14:paraId="70E2EC38">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13CA4FA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0F7658A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年度中共华容县委政策研究中心部门决算公开表格</w:t>
      </w:r>
    </w:p>
    <w:p w14:paraId="50AAA71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年度中共华容县委政策研究中心整体支出绩效自评报告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3B01"/>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759B1"/>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D1FB3"/>
    <w:rsid w:val="00904967"/>
    <w:rsid w:val="009237C4"/>
    <w:rsid w:val="00944C48"/>
    <w:rsid w:val="00950252"/>
    <w:rsid w:val="00967F5D"/>
    <w:rsid w:val="009818D7"/>
    <w:rsid w:val="009A0F95"/>
    <w:rsid w:val="009B3ADF"/>
    <w:rsid w:val="009C3B52"/>
    <w:rsid w:val="009E6817"/>
    <w:rsid w:val="009E6E9A"/>
    <w:rsid w:val="00A01D2B"/>
    <w:rsid w:val="00A42218"/>
    <w:rsid w:val="00A70249"/>
    <w:rsid w:val="00A70B02"/>
    <w:rsid w:val="00A71D9F"/>
    <w:rsid w:val="00A92292"/>
    <w:rsid w:val="00A92E9F"/>
    <w:rsid w:val="00AB18FF"/>
    <w:rsid w:val="00B1240F"/>
    <w:rsid w:val="00B33BEA"/>
    <w:rsid w:val="00B57C9F"/>
    <w:rsid w:val="00B63572"/>
    <w:rsid w:val="00B845B3"/>
    <w:rsid w:val="00B85D8B"/>
    <w:rsid w:val="00BB4A40"/>
    <w:rsid w:val="00BD6C3E"/>
    <w:rsid w:val="00BE3674"/>
    <w:rsid w:val="00C10681"/>
    <w:rsid w:val="00C3049A"/>
    <w:rsid w:val="00C31B1E"/>
    <w:rsid w:val="00C471C0"/>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0626"/>
    <w:rsid w:val="00E8683C"/>
    <w:rsid w:val="00EA2B72"/>
    <w:rsid w:val="00EE4896"/>
    <w:rsid w:val="00F74360"/>
    <w:rsid w:val="00FB462F"/>
    <w:rsid w:val="00FE16FA"/>
    <w:rsid w:val="00FE328A"/>
    <w:rsid w:val="00FE6269"/>
    <w:rsid w:val="00FF5CD6"/>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7C37683"/>
    <w:rsid w:val="79FF515B"/>
    <w:rsid w:val="7C592CF7"/>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5804</Words>
  <Characters>6143</Characters>
  <Lines>44</Lines>
  <Paragraphs>12</Paragraphs>
  <TotalTime>0</TotalTime>
  <ScaleCrop>false</ScaleCrop>
  <LinksUpToDate>false</LinksUpToDate>
  <CharactersWithSpaces>6163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2025-11-12T12:28:59Z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