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7B1" w:rsidRDefault="009107B1" w:rsidP="009107B1">
      <w:pPr>
        <w:spacing w:line="580" w:lineRule="exact"/>
        <w:jc w:val="left"/>
        <w:rPr>
          <w:rFonts w:ascii="仿宋_GB2312" w:eastAsia="仿宋_GB2312" w:hAnsi="仿宋_GB2312" w:cs="仿宋_GB2312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4"/>
          <w:sz w:val="32"/>
          <w:szCs w:val="32"/>
        </w:rPr>
        <w:t>附件3</w:t>
      </w:r>
    </w:p>
    <w:p w:rsidR="009107B1" w:rsidRDefault="009107B1" w:rsidP="009107B1">
      <w:pPr>
        <w:spacing w:line="251" w:lineRule="auto"/>
        <w:rPr>
          <w:rFonts w:ascii="Arial"/>
        </w:rPr>
      </w:pPr>
    </w:p>
    <w:p w:rsidR="009107B1" w:rsidRDefault="009107B1" w:rsidP="009107B1">
      <w:pPr>
        <w:spacing w:line="251" w:lineRule="auto"/>
        <w:rPr>
          <w:rFonts w:ascii="Arial"/>
        </w:rPr>
      </w:pPr>
    </w:p>
    <w:p w:rsidR="009107B1" w:rsidRDefault="009107B1" w:rsidP="009107B1">
      <w:pPr>
        <w:rPr>
          <w:rFonts w:ascii="Arial"/>
        </w:rPr>
      </w:pPr>
    </w:p>
    <w:p w:rsidR="009107B1" w:rsidRDefault="009107B1" w:rsidP="009107B1">
      <w:pPr>
        <w:pStyle w:val="a0"/>
      </w:pPr>
    </w:p>
    <w:p w:rsidR="009107B1" w:rsidRDefault="009107B1" w:rsidP="009107B1"/>
    <w:p w:rsidR="009107B1" w:rsidRDefault="009107B1" w:rsidP="009107B1">
      <w:pPr>
        <w:spacing w:before="223" w:line="218" w:lineRule="auto"/>
        <w:jc w:val="center"/>
        <w:rPr>
          <w:rFonts w:ascii="方正小标宋简体" w:eastAsia="方正小标宋简体" w:hAnsi="方正小标宋简体" w:cs="方正小标宋简体"/>
          <w:spacing w:val="-1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pacing w:val="-1"/>
          <w:sz w:val="52"/>
          <w:szCs w:val="52"/>
        </w:rPr>
        <w:t>2023年度华容县财政投资评审中心</w:t>
      </w:r>
    </w:p>
    <w:p w:rsidR="009107B1" w:rsidRDefault="009107B1" w:rsidP="009107B1">
      <w:pPr>
        <w:spacing w:before="223" w:line="218" w:lineRule="auto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pacing w:val="-1"/>
          <w:sz w:val="52"/>
          <w:szCs w:val="52"/>
        </w:rPr>
        <w:t>部门整体支出</w:t>
      </w:r>
      <w:r>
        <w:rPr>
          <w:rFonts w:ascii="方正小标宋简体" w:eastAsia="方正小标宋简体" w:hAnsi="方正小标宋简体" w:cs="方正小标宋简体" w:hint="eastAsia"/>
          <w:spacing w:val="-3"/>
          <w:sz w:val="52"/>
          <w:szCs w:val="52"/>
        </w:rPr>
        <w:t>绩效自评报告</w:t>
      </w:r>
    </w:p>
    <w:p w:rsidR="009107B1" w:rsidRDefault="009107B1" w:rsidP="009107B1">
      <w:pPr>
        <w:spacing w:line="243" w:lineRule="auto"/>
        <w:rPr>
          <w:rFonts w:ascii="Arial"/>
        </w:rPr>
      </w:pPr>
    </w:p>
    <w:p w:rsidR="009107B1" w:rsidRDefault="009107B1" w:rsidP="009107B1">
      <w:pPr>
        <w:spacing w:line="243" w:lineRule="auto"/>
        <w:rPr>
          <w:rFonts w:ascii="Arial"/>
        </w:rPr>
      </w:pPr>
    </w:p>
    <w:p w:rsidR="009107B1" w:rsidRDefault="009107B1" w:rsidP="009107B1">
      <w:pPr>
        <w:spacing w:line="243" w:lineRule="auto"/>
        <w:rPr>
          <w:rFonts w:ascii="Arial"/>
        </w:rPr>
      </w:pPr>
    </w:p>
    <w:p w:rsidR="009107B1" w:rsidRDefault="009107B1" w:rsidP="009107B1">
      <w:pPr>
        <w:spacing w:line="243" w:lineRule="auto"/>
        <w:rPr>
          <w:rFonts w:ascii="Arial"/>
        </w:rPr>
      </w:pPr>
    </w:p>
    <w:p w:rsidR="009107B1" w:rsidRDefault="009107B1" w:rsidP="009107B1">
      <w:pPr>
        <w:spacing w:line="243" w:lineRule="auto"/>
        <w:rPr>
          <w:rFonts w:ascii="Arial"/>
        </w:rPr>
      </w:pPr>
    </w:p>
    <w:p w:rsidR="009107B1" w:rsidRDefault="009107B1" w:rsidP="009107B1">
      <w:pPr>
        <w:spacing w:line="243" w:lineRule="auto"/>
        <w:rPr>
          <w:rFonts w:ascii="Arial"/>
        </w:rPr>
      </w:pPr>
    </w:p>
    <w:p w:rsidR="009107B1" w:rsidRDefault="009107B1" w:rsidP="009107B1">
      <w:pPr>
        <w:pStyle w:val="a0"/>
        <w:rPr>
          <w:rFonts w:ascii="Arial"/>
          <w:sz w:val="21"/>
        </w:rPr>
      </w:pPr>
    </w:p>
    <w:p w:rsidR="009107B1" w:rsidRDefault="009107B1" w:rsidP="009107B1">
      <w:pPr>
        <w:spacing w:line="243" w:lineRule="auto"/>
        <w:rPr>
          <w:rFonts w:ascii="Arial"/>
        </w:rPr>
      </w:pPr>
    </w:p>
    <w:p w:rsidR="009107B1" w:rsidRDefault="009107B1" w:rsidP="009107B1">
      <w:pPr>
        <w:spacing w:line="243" w:lineRule="auto"/>
        <w:rPr>
          <w:rFonts w:ascii="Arial"/>
        </w:rPr>
      </w:pPr>
    </w:p>
    <w:p w:rsidR="009107B1" w:rsidRDefault="009107B1" w:rsidP="009107B1">
      <w:pPr>
        <w:spacing w:line="243" w:lineRule="auto"/>
        <w:rPr>
          <w:rFonts w:ascii="Arial"/>
        </w:rPr>
      </w:pPr>
    </w:p>
    <w:p w:rsidR="009107B1" w:rsidRDefault="009107B1" w:rsidP="009107B1">
      <w:pPr>
        <w:spacing w:line="243" w:lineRule="auto"/>
        <w:rPr>
          <w:rFonts w:ascii="Arial"/>
        </w:rPr>
      </w:pPr>
    </w:p>
    <w:p w:rsidR="009107B1" w:rsidRDefault="009107B1" w:rsidP="009107B1">
      <w:pPr>
        <w:spacing w:line="243" w:lineRule="auto"/>
        <w:rPr>
          <w:rFonts w:ascii="Arial"/>
        </w:rPr>
      </w:pPr>
    </w:p>
    <w:p w:rsidR="009107B1" w:rsidRDefault="009107B1" w:rsidP="009107B1">
      <w:pPr>
        <w:spacing w:line="243" w:lineRule="auto"/>
        <w:rPr>
          <w:rFonts w:ascii="Arial"/>
        </w:rPr>
      </w:pPr>
    </w:p>
    <w:p w:rsidR="009107B1" w:rsidRDefault="009107B1" w:rsidP="009107B1">
      <w:pPr>
        <w:spacing w:line="244" w:lineRule="auto"/>
        <w:rPr>
          <w:rFonts w:ascii="Arial"/>
        </w:rPr>
      </w:pPr>
    </w:p>
    <w:p w:rsidR="009107B1" w:rsidRDefault="009107B1" w:rsidP="009107B1">
      <w:pPr>
        <w:spacing w:line="244" w:lineRule="auto"/>
        <w:rPr>
          <w:rFonts w:ascii="Arial"/>
        </w:rPr>
      </w:pPr>
    </w:p>
    <w:p w:rsidR="009107B1" w:rsidRDefault="009107B1" w:rsidP="009107B1">
      <w:pPr>
        <w:pStyle w:val="a4"/>
        <w:spacing w:before="100" w:line="221" w:lineRule="auto"/>
        <w:ind w:firstLineChars="200" w:firstLine="60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  <w:lang w:eastAsia="zh-CN"/>
        </w:rPr>
        <w:t>部门（单位）名称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lang w:eastAsia="zh-CN"/>
        </w:rPr>
        <w:t>：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u w:val="single"/>
          <w:lang w:eastAsia="zh-CN"/>
        </w:rPr>
        <w:t>(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  <w:u w:val="single"/>
          <w:lang w:eastAsia="zh-CN"/>
        </w:rPr>
        <w:t>盖章）</w:t>
      </w:r>
    </w:p>
    <w:p w:rsidR="009107B1" w:rsidRDefault="009107B1" w:rsidP="009107B1">
      <w:pPr>
        <w:spacing w:before="228" w:line="222" w:lineRule="auto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2024年</w:t>
      </w:r>
      <w:r>
        <w:rPr>
          <w:rFonts w:ascii="仿宋_GB2312" w:eastAsia="仿宋_GB2312" w:hAnsi="仿宋_GB2312" w:cs="仿宋_GB2312" w:hint="eastAsia"/>
          <w:spacing w:val="21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pacing w:val="43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日</w:t>
      </w:r>
    </w:p>
    <w:p w:rsidR="009107B1" w:rsidRDefault="009107B1" w:rsidP="009107B1">
      <w:pPr>
        <w:spacing w:line="335" w:lineRule="auto"/>
        <w:rPr>
          <w:rFonts w:ascii="仿宋_GB2312" w:eastAsia="仿宋_GB2312" w:hAnsi="仿宋_GB2312" w:cs="仿宋_GB2312"/>
          <w:sz w:val="32"/>
          <w:szCs w:val="32"/>
        </w:rPr>
      </w:pPr>
    </w:p>
    <w:p w:rsidR="009107B1" w:rsidRDefault="009107B1" w:rsidP="009107B1">
      <w:pPr>
        <w:pStyle w:val="a4"/>
        <w:spacing w:before="102" w:line="224" w:lineRule="auto"/>
        <w:ind w:left="3216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  <w:lang w:eastAsia="zh-CN"/>
        </w:rPr>
        <w:t>（此页为封面）</w:t>
      </w:r>
    </w:p>
    <w:p w:rsidR="009107B1" w:rsidRDefault="009107B1" w:rsidP="009107B1">
      <w:r>
        <w:br w:type="page"/>
      </w:r>
    </w:p>
    <w:p w:rsidR="009107B1" w:rsidRDefault="009107B1" w:rsidP="009107B1">
      <w:pPr>
        <w:pStyle w:val="a0"/>
        <w:sectPr w:rsidR="009107B1">
          <w:footerReference w:type="default" r:id="rId5"/>
          <w:pgSz w:w="11905" w:h="16838"/>
          <w:pgMar w:top="1984" w:right="1701" w:bottom="1984" w:left="1701" w:header="850" w:footer="1587" w:gutter="0"/>
          <w:pgNumType w:fmt="numberInDash" w:start="7"/>
          <w:cols w:space="0"/>
          <w:docGrid w:type="lines" w:linePitch="314"/>
        </w:sectPr>
      </w:pPr>
    </w:p>
    <w:p w:rsidR="009107B1" w:rsidRDefault="009107B1" w:rsidP="009107B1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pacing w:val="6"/>
          <w:sz w:val="44"/>
          <w:szCs w:val="44"/>
        </w:rPr>
      </w:pPr>
    </w:p>
    <w:p w:rsidR="009107B1" w:rsidRDefault="009107B1" w:rsidP="009107B1">
      <w:pPr>
        <w:pStyle w:val="a0"/>
      </w:pPr>
    </w:p>
    <w:p w:rsidR="009107B1" w:rsidRDefault="009107B1" w:rsidP="009107B1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pacing w:val="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6"/>
          <w:sz w:val="44"/>
          <w:szCs w:val="44"/>
        </w:rPr>
        <w:t>2023年度华容县财政投资评审中心</w:t>
      </w:r>
    </w:p>
    <w:p w:rsidR="009107B1" w:rsidRDefault="009107B1" w:rsidP="009107B1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6"/>
          <w:sz w:val="44"/>
          <w:szCs w:val="44"/>
        </w:rPr>
        <w:t>部门整体支出</w:t>
      </w:r>
      <w:r>
        <w:rPr>
          <w:rFonts w:ascii="方正小标宋简体" w:eastAsia="方正小标宋简体" w:hAnsi="方正小标宋简体" w:cs="方正小标宋简体" w:hint="eastAsia"/>
          <w:spacing w:val="7"/>
          <w:sz w:val="44"/>
          <w:szCs w:val="44"/>
        </w:rPr>
        <w:t>绩效自评报告</w:t>
      </w:r>
    </w:p>
    <w:p w:rsidR="009107B1" w:rsidRDefault="009107B1" w:rsidP="009107B1">
      <w:pPr>
        <w:spacing w:line="283" w:lineRule="auto"/>
        <w:rPr>
          <w:rFonts w:ascii="Arial"/>
        </w:rPr>
      </w:pPr>
    </w:p>
    <w:p w:rsidR="009107B1" w:rsidRDefault="009107B1" w:rsidP="009107B1">
      <w:pPr>
        <w:spacing w:line="284" w:lineRule="auto"/>
        <w:rPr>
          <w:rFonts w:ascii="Arial"/>
        </w:rPr>
      </w:pPr>
    </w:p>
    <w:p w:rsidR="009107B1" w:rsidRDefault="009107B1" w:rsidP="009107B1">
      <w:pPr>
        <w:pStyle w:val="a0"/>
      </w:pPr>
    </w:p>
    <w:p w:rsidR="009107B1" w:rsidRDefault="009107B1" w:rsidP="009107B1">
      <w:pPr>
        <w:numPr>
          <w:ilvl w:val="0"/>
          <w:numId w:val="1"/>
        </w:numPr>
        <w:spacing w:before="101" w:line="228" w:lineRule="auto"/>
        <w:ind w:left="648"/>
        <w:rPr>
          <w:rFonts w:ascii="黑体" w:eastAsia="黑体" w:hAnsi="黑体" w:cs="黑体"/>
          <w:spacing w:val="5"/>
          <w:sz w:val="32"/>
          <w:szCs w:val="32"/>
        </w:rPr>
      </w:pPr>
      <w:r>
        <w:rPr>
          <w:rFonts w:ascii="黑体" w:eastAsia="黑体" w:hAnsi="黑体" w:cs="黑体" w:hint="eastAsia"/>
          <w:spacing w:val="5"/>
          <w:sz w:val="32"/>
          <w:szCs w:val="32"/>
        </w:rPr>
        <w:t>部门基本情况</w:t>
      </w:r>
    </w:p>
    <w:p w:rsidR="009107B1" w:rsidRDefault="009107B1" w:rsidP="009107B1">
      <w:pPr>
        <w:spacing w:line="610" w:lineRule="exact"/>
        <w:ind w:firstLineChars="200" w:firstLine="560"/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华容县财政投资评审中心为华容县财政局下属副科级事业单位，主要职责有：1.负责拟订财政投资评审规章制度，建立财政投资评审操作规程和质量考核体系；制定和修改评审计价控制标准；2.负责政府性投资项目的预算、招标上限值、竣工决（结）算的评审工作，对政府投资项目提出政策建议；3.参与具体项目支出标准建设工作，提出完善县本级项目支出标准的意见和建议；4.承担部门预算项目审核工作，对县本级部门预算项目的真实性、合理性、准确性进行评估；5.参与财政投资项目的初步设计评审、概算审核、政府采购和工程招标、工程变更现场核查等相关工作；参与财政性投资项目的事前、事中、事后等全过程跟踪评审工作；6.完成县委县政府及财政局交办的其他工作。</w:t>
      </w:r>
    </w:p>
    <w:p w:rsidR="009107B1" w:rsidRDefault="009107B1" w:rsidP="009107B1">
      <w:pPr>
        <w:spacing w:line="610" w:lineRule="exact"/>
        <w:ind w:firstLineChars="200" w:firstLine="560"/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项目绩效总体目标：完成政府投资工程项目的预算、结算项目评审工作。</w:t>
      </w:r>
    </w:p>
    <w:p w:rsidR="009107B1" w:rsidRDefault="009107B1" w:rsidP="009107B1">
      <w:pPr>
        <w:pStyle w:val="a0"/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</w:pPr>
    </w:p>
    <w:p w:rsidR="009107B1" w:rsidRDefault="009107B1" w:rsidP="009107B1"/>
    <w:p w:rsidR="009107B1" w:rsidRDefault="009107B1" w:rsidP="009107B1">
      <w:pPr>
        <w:spacing w:before="216" w:line="226" w:lineRule="auto"/>
        <w:ind w:left="648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-2"/>
          <w:sz w:val="32"/>
          <w:szCs w:val="32"/>
        </w:rPr>
        <w:lastRenderedPageBreak/>
        <w:t>二、一般公共预算支出情况</w:t>
      </w:r>
    </w:p>
    <w:p w:rsidR="009107B1" w:rsidRDefault="009107B1" w:rsidP="009107B1">
      <w:p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（一）基本支出情况</w:t>
      </w:r>
    </w:p>
    <w:p w:rsidR="009107B1" w:rsidRDefault="009107B1" w:rsidP="009107B1">
      <w:pPr>
        <w:pStyle w:val="a0"/>
        <w:ind w:firstLineChars="200" w:firstLine="560"/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2023年基本支出共计29.51万元。</w:t>
      </w:r>
    </w:p>
    <w:p w:rsidR="009107B1" w:rsidRDefault="009107B1" w:rsidP="009107B1">
      <w:pPr>
        <w:numPr>
          <w:ilvl w:val="0"/>
          <w:numId w:val="2"/>
        </w:num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项目支出情况</w:t>
      </w:r>
    </w:p>
    <w:p w:rsidR="009107B1" w:rsidRDefault="009107B1" w:rsidP="009107B1">
      <w:pPr>
        <w:pStyle w:val="a0"/>
        <w:ind w:firstLineChars="200" w:firstLine="560"/>
      </w:pPr>
      <w:r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2023年项目支出共计340.07万元。</w:t>
      </w:r>
    </w:p>
    <w:p w:rsidR="009107B1" w:rsidRDefault="009107B1" w:rsidP="009107B1">
      <w:pPr>
        <w:numPr>
          <w:ilvl w:val="0"/>
          <w:numId w:val="1"/>
        </w:numPr>
        <w:spacing w:before="224" w:line="227" w:lineRule="auto"/>
        <w:ind w:left="648"/>
        <w:rPr>
          <w:rFonts w:ascii="黑体" w:eastAsia="黑体" w:hAnsi="黑体" w:cs="黑体"/>
          <w:spacing w:val="8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政府性基金预算支出情况</w:t>
      </w:r>
    </w:p>
    <w:p w:rsidR="009107B1" w:rsidRDefault="009107B1" w:rsidP="009107B1">
      <w:pPr>
        <w:pStyle w:val="a0"/>
        <w:ind w:firstLineChars="200" w:firstLine="560"/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无</w:t>
      </w:r>
    </w:p>
    <w:p w:rsidR="009107B1" w:rsidRDefault="009107B1" w:rsidP="009107B1">
      <w:pPr>
        <w:numPr>
          <w:ilvl w:val="0"/>
          <w:numId w:val="1"/>
        </w:numPr>
        <w:spacing w:before="219" w:line="600" w:lineRule="exact"/>
        <w:ind w:left="648"/>
        <w:rPr>
          <w:rFonts w:ascii="黑体" w:eastAsia="黑体" w:hAnsi="黑体" w:cs="黑体"/>
          <w:spacing w:val="7"/>
          <w:position w:val="21"/>
          <w:sz w:val="32"/>
          <w:szCs w:val="32"/>
        </w:rPr>
      </w:pPr>
      <w:r>
        <w:rPr>
          <w:rFonts w:ascii="黑体" w:eastAsia="黑体" w:hAnsi="黑体" w:cs="黑体" w:hint="eastAsia"/>
          <w:spacing w:val="7"/>
          <w:position w:val="21"/>
          <w:sz w:val="32"/>
          <w:szCs w:val="32"/>
        </w:rPr>
        <w:t>国有资本经营预算支出情况</w:t>
      </w:r>
    </w:p>
    <w:p w:rsidR="009107B1" w:rsidRDefault="009107B1" w:rsidP="009107B1">
      <w:pPr>
        <w:pStyle w:val="a0"/>
        <w:ind w:firstLineChars="200" w:firstLine="560"/>
      </w:pPr>
      <w:r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无</w:t>
      </w:r>
    </w:p>
    <w:p w:rsidR="009107B1" w:rsidRDefault="009107B1" w:rsidP="009107B1">
      <w:pPr>
        <w:numPr>
          <w:ilvl w:val="0"/>
          <w:numId w:val="1"/>
        </w:numPr>
        <w:spacing w:line="227" w:lineRule="auto"/>
        <w:ind w:left="648"/>
        <w:rPr>
          <w:rFonts w:ascii="黑体" w:eastAsia="黑体" w:hAnsi="黑体" w:cs="黑体"/>
          <w:spacing w:val="8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社会保险基金预算支出情况</w:t>
      </w:r>
    </w:p>
    <w:p w:rsidR="009107B1" w:rsidRDefault="009107B1" w:rsidP="009107B1">
      <w:pPr>
        <w:pStyle w:val="a0"/>
        <w:ind w:firstLineChars="200" w:firstLine="560"/>
      </w:pPr>
      <w:r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无</w:t>
      </w:r>
    </w:p>
    <w:p w:rsidR="009107B1" w:rsidRDefault="009107B1" w:rsidP="009107B1">
      <w:pPr>
        <w:numPr>
          <w:ilvl w:val="0"/>
          <w:numId w:val="1"/>
        </w:numPr>
        <w:spacing w:before="219" w:line="226" w:lineRule="auto"/>
        <w:ind w:left="648"/>
        <w:rPr>
          <w:rFonts w:ascii="黑体" w:eastAsia="黑体" w:hAnsi="黑体" w:cs="黑体"/>
          <w:spacing w:val="8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部门整体支出绩效情况</w:t>
      </w:r>
    </w:p>
    <w:p w:rsidR="009107B1" w:rsidRDefault="009107B1" w:rsidP="009107B1">
      <w:pPr>
        <w:pStyle w:val="a0"/>
        <w:ind w:firstLineChars="200" w:firstLine="560"/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2023年整体支出共计369.58万元。</w:t>
      </w:r>
    </w:p>
    <w:p w:rsidR="009107B1" w:rsidRDefault="009107B1" w:rsidP="009107B1">
      <w:pPr>
        <w:numPr>
          <w:ilvl w:val="0"/>
          <w:numId w:val="1"/>
        </w:numPr>
        <w:spacing w:before="220" w:line="600" w:lineRule="exact"/>
        <w:ind w:left="648"/>
        <w:rPr>
          <w:rFonts w:ascii="黑体" w:eastAsia="黑体" w:hAnsi="黑体" w:cs="黑体"/>
          <w:spacing w:val="9"/>
          <w:position w:val="21"/>
          <w:sz w:val="32"/>
          <w:szCs w:val="32"/>
        </w:rPr>
      </w:pPr>
      <w:r>
        <w:rPr>
          <w:rFonts w:ascii="黑体" w:eastAsia="黑体" w:hAnsi="黑体" w:cs="黑体" w:hint="eastAsia"/>
          <w:spacing w:val="9"/>
          <w:position w:val="21"/>
          <w:sz w:val="32"/>
          <w:szCs w:val="32"/>
        </w:rPr>
        <w:t>存在的问题及原因分析</w:t>
      </w:r>
    </w:p>
    <w:p w:rsidR="009107B1" w:rsidRDefault="009107B1" w:rsidP="009107B1">
      <w:pPr>
        <w:pStyle w:val="a0"/>
        <w:ind w:firstLineChars="200" w:firstLine="560"/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无</w:t>
      </w:r>
    </w:p>
    <w:p w:rsidR="009107B1" w:rsidRDefault="009107B1" w:rsidP="009107B1">
      <w:pPr>
        <w:spacing w:line="227" w:lineRule="auto"/>
        <w:ind w:left="643"/>
        <w:rPr>
          <w:rFonts w:ascii="黑体" w:eastAsia="黑体" w:hAnsi="黑体" w:cs="黑体"/>
          <w:spacing w:val="8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八、下一步改进措施</w:t>
      </w:r>
    </w:p>
    <w:p w:rsidR="009107B1" w:rsidRDefault="009107B1" w:rsidP="009107B1">
      <w:pPr>
        <w:pStyle w:val="a0"/>
        <w:ind w:firstLineChars="200" w:firstLine="560"/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加强资金管理，提高财政资金使用效率。</w:t>
      </w:r>
    </w:p>
    <w:p w:rsidR="009107B1" w:rsidRDefault="009107B1" w:rsidP="009107B1">
      <w:pPr>
        <w:numPr>
          <w:ilvl w:val="0"/>
          <w:numId w:val="3"/>
        </w:numPr>
        <w:spacing w:before="219" w:line="600" w:lineRule="exact"/>
        <w:ind w:left="650"/>
        <w:rPr>
          <w:rFonts w:ascii="黑体" w:eastAsia="黑体" w:hAnsi="黑体" w:cs="黑体"/>
          <w:spacing w:val="8"/>
          <w:position w:val="21"/>
          <w:sz w:val="32"/>
          <w:szCs w:val="32"/>
        </w:rPr>
      </w:pPr>
      <w:r>
        <w:rPr>
          <w:rFonts w:ascii="黑体" w:eastAsia="黑体" w:hAnsi="黑体" w:cs="黑体" w:hint="eastAsia"/>
          <w:spacing w:val="9"/>
          <w:position w:val="21"/>
          <w:sz w:val="32"/>
          <w:szCs w:val="32"/>
        </w:rPr>
        <w:t>部门整体支出绩效自评结果拟应用和公开</w:t>
      </w:r>
      <w:r>
        <w:rPr>
          <w:rFonts w:ascii="黑体" w:eastAsia="黑体" w:hAnsi="黑体" w:cs="黑体" w:hint="eastAsia"/>
          <w:spacing w:val="8"/>
          <w:position w:val="21"/>
          <w:sz w:val="32"/>
          <w:szCs w:val="32"/>
        </w:rPr>
        <w:t>情况</w:t>
      </w:r>
    </w:p>
    <w:p w:rsidR="009107B1" w:rsidRDefault="009107B1" w:rsidP="009107B1">
      <w:pPr>
        <w:pStyle w:val="a0"/>
        <w:ind w:firstLineChars="200" w:firstLine="560"/>
      </w:pPr>
      <w:r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无</w:t>
      </w:r>
    </w:p>
    <w:p w:rsidR="009107B1" w:rsidRDefault="009107B1" w:rsidP="009107B1">
      <w:pPr>
        <w:numPr>
          <w:ilvl w:val="0"/>
          <w:numId w:val="3"/>
        </w:numPr>
        <w:spacing w:line="226" w:lineRule="auto"/>
        <w:ind w:left="650"/>
        <w:rPr>
          <w:rFonts w:ascii="黑体" w:eastAsia="黑体" w:hAnsi="黑体" w:cs="黑体"/>
          <w:spacing w:val="-3"/>
          <w:sz w:val="32"/>
          <w:szCs w:val="32"/>
        </w:rPr>
      </w:pPr>
      <w:r>
        <w:rPr>
          <w:rFonts w:ascii="黑体" w:eastAsia="黑体" w:hAnsi="黑体" w:cs="黑体" w:hint="eastAsia"/>
          <w:spacing w:val="-3"/>
          <w:sz w:val="32"/>
          <w:szCs w:val="32"/>
        </w:rPr>
        <w:t>其他需要说明的情况</w:t>
      </w:r>
    </w:p>
    <w:p w:rsidR="009107B1" w:rsidRDefault="009107B1" w:rsidP="009107B1">
      <w:pPr>
        <w:pStyle w:val="a0"/>
        <w:ind w:firstLineChars="200" w:firstLine="560"/>
      </w:pPr>
      <w:r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无</w:t>
      </w:r>
    </w:p>
    <w:p w:rsidR="009107B1" w:rsidRDefault="009107B1" w:rsidP="009107B1">
      <w:pPr>
        <w:rPr>
          <w:rFonts w:ascii="黑体" w:eastAsia="黑体" w:hAnsi="黑体" w:cs="黑体"/>
          <w:spacing w:val="-3"/>
          <w:sz w:val="31"/>
          <w:szCs w:val="31"/>
        </w:rPr>
      </w:pPr>
      <w:r>
        <w:rPr>
          <w:rFonts w:ascii="黑体" w:eastAsia="黑体" w:hAnsi="黑体" w:cs="黑体"/>
          <w:spacing w:val="-3"/>
          <w:sz w:val="31"/>
          <w:szCs w:val="31"/>
        </w:rPr>
        <w:br w:type="page"/>
      </w:r>
    </w:p>
    <w:p w:rsidR="009107B1" w:rsidRDefault="009107B1" w:rsidP="009107B1">
      <w:pPr>
        <w:rPr>
          <w:rFonts w:eastAsia="方正小标宋_GBK"/>
          <w:sz w:val="52"/>
          <w:szCs w:val="52"/>
        </w:rPr>
        <w:sectPr w:rsidR="009107B1">
          <w:footerReference w:type="default" r:id="rId6"/>
          <w:pgSz w:w="11905" w:h="16838"/>
          <w:pgMar w:top="1984" w:right="1701" w:bottom="1984" w:left="1701" w:header="850" w:footer="992" w:gutter="0"/>
          <w:pgNumType w:fmt="numberInDash"/>
          <w:cols w:space="0"/>
          <w:docGrid w:type="lines" w:linePitch="314"/>
        </w:sectPr>
      </w:pPr>
    </w:p>
    <w:p w:rsidR="009107B1" w:rsidRDefault="009107B1" w:rsidP="009107B1">
      <w:pPr>
        <w:spacing w:line="580" w:lineRule="exact"/>
        <w:jc w:val="left"/>
      </w:pPr>
      <w:r>
        <w:rPr>
          <w:rFonts w:ascii="仿宋_GB2312" w:eastAsia="仿宋_GB2312" w:hAnsi="仿宋_GB2312" w:cs="仿宋_GB2312" w:hint="eastAsia"/>
          <w:spacing w:val="-4"/>
          <w:sz w:val="32"/>
          <w:szCs w:val="32"/>
        </w:rPr>
        <w:lastRenderedPageBreak/>
        <w:t>附件4</w:t>
      </w:r>
    </w:p>
    <w:p w:rsidR="009107B1" w:rsidRDefault="009107B1" w:rsidP="009107B1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pacing w:val="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6"/>
          <w:sz w:val="44"/>
          <w:szCs w:val="44"/>
        </w:rPr>
        <w:t>2023年度部门整体支出绩效自评表</w:t>
      </w:r>
    </w:p>
    <w:p w:rsidR="009107B1" w:rsidRDefault="009107B1" w:rsidP="009107B1">
      <w:pPr>
        <w:spacing w:line="132" w:lineRule="exact"/>
      </w:pPr>
    </w:p>
    <w:tbl>
      <w:tblPr>
        <w:tblStyle w:val="TableNormal"/>
        <w:tblW w:w="5080" w:type="pct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/>
      </w:tblPr>
      <w:tblGrid>
        <w:gridCol w:w="797"/>
        <w:gridCol w:w="963"/>
        <w:gridCol w:w="949"/>
        <w:gridCol w:w="20"/>
        <w:gridCol w:w="976"/>
        <w:gridCol w:w="1039"/>
        <w:gridCol w:w="990"/>
        <w:gridCol w:w="672"/>
        <w:gridCol w:w="698"/>
        <w:gridCol w:w="1341"/>
      </w:tblGrid>
      <w:tr w:rsidR="009107B1" w:rsidTr="00B844EA">
        <w:trPr>
          <w:trHeight w:val="901"/>
          <w:jc w:val="center"/>
        </w:trPr>
        <w:tc>
          <w:tcPr>
            <w:tcW w:w="1603" w:type="pct"/>
            <w:gridSpan w:val="3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省级预算部门、单位名称</w:t>
            </w:r>
          </w:p>
        </w:tc>
        <w:tc>
          <w:tcPr>
            <w:tcW w:w="3396" w:type="pct"/>
            <w:gridSpan w:val="7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华容县财政投资评审中心</w:t>
            </w:r>
          </w:p>
        </w:tc>
      </w:tr>
      <w:tr w:rsidR="009107B1" w:rsidTr="00B844EA">
        <w:trPr>
          <w:trHeight w:val="820"/>
          <w:jc w:val="center"/>
        </w:trPr>
        <w:tc>
          <w:tcPr>
            <w:tcW w:w="471" w:type="pct"/>
            <w:vMerge w:val="restart"/>
            <w:tcBorders>
              <w:bottom w:val="nil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年度预算申请（万元）</w:t>
            </w:r>
          </w:p>
        </w:tc>
        <w:tc>
          <w:tcPr>
            <w:tcW w:w="1131" w:type="pct"/>
            <w:gridSpan w:val="2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90" w:type="pct"/>
            <w:gridSpan w:val="2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年初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预算数</w:t>
            </w:r>
          </w:p>
        </w:tc>
        <w:tc>
          <w:tcPr>
            <w:tcW w:w="61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全年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预算数</w:t>
            </w:r>
          </w:p>
        </w:tc>
        <w:tc>
          <w:tcPr>
            <w:tcW w:w="58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全年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执行数</w:t>
            </w:r>
          </w:p>
        </w:tc>
        <w:tc>
          <w:tcPr>
            <w:tcW w:w="398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分值</w:t>
            </w:r>
          </w:p>
        </w:tc>
        <w:tc>
          <w:tcPr>
            <w:tcW w:w="41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执行率</w:t>
            </w:r>
          </w:p>
        </w:tc>
        <w:tc>
          <w:tcPr>
            <w:tcW w:w="79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自评得分</w:t>
            </w:r>
          </w:p>
        </w:tc>
      </w:tr>
      <w:tr w:rsidR="009107B1" w:rsidTr="00B844EA">
        <w:trPr>
          <w:trHeight w:val="520"/>
          <w:jc w:val="center"/>
        </w:trPr>
        <w:tc>
          <w:tcPr>
            <w:tcW w:w="471" w:type="pct"/>
            <w:vMerge/>
            <w:tcBorders>
              <w:top w:val="nil"/>
              <w:bottom w:val="nil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131" w:type="pct"/>
            <w:gridSpan w:val="2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年度资金总额</w:t>
            </w:r>
          </w:p>
        </w:tc>
        <w:tc>
          <w:tcPr>
            <w:tcW w:w="590" w:type="pct"/>
            <w:gridSpan w:val="2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369.58</w:t>
            </w:r>
          </w:p>
        </w:tc>
        <w:tc>
          <w:tcPr>
            <w:tcW w:w="61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369.58</w:t>
            </w:r>
          </w:p>
        </w:tc>
        <w:tc>
          <w:tcPr>
            <w:tcW w:w="58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369.58</w:t>
            </w:r>
          </w:p>
        </w:tc>
        <w:tc>
          <w:tcPr>
            <w:tcW w:w="398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100</w:t>
            </w:r>
          </w:p>
        </w:tc>
        <w:tc>
          <w:tcPr>
            <w:tcW w:w="41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96%</w:t>
            </w:r>
          </w:p>
        </w:tc>
        <w:tc>
          <w:tcPr>
            <w:tcW w:w="79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96</w:t>
            </w:r>
          </w:p>
        </w:tc>
      </w:tr>
      <w:tr w:rsidR="009107B1" w:rsidTr="00B844EA">
        <w:trPr>
          <w:trHeight w:val="520"/>
          <w:jc w:val="center"/>
        </w:trPr>
        <w:tc>
          <w:tcPr>
            <w:tcW w:w="471" w:type="pct"/>
            <w:vMerge/>
            <w:tcBorders>
              <w:top w:val="nil"/>
              <w:bottom w:val="nil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2337" w:type="pct"/>
            <w:gridSpan w:val="5"/>
            <w:vAlign w:val="center"/>
          </w:tcPr>
          <w:p w:rsidR="009107B1" w:rsidRDefault="009107B1" w:rsidP="00B844EA">
            <w:pPr>
              <w:spacing w:line="260" w:lineRule="exact"/>
              <w:ind w:firstLineChars="28" w:firstLine="59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按收入性质分：</w:t>
            </w:r>
          </w:p>
        </w:tc>
        <w:tc>
          <w:tcPr>
            <w:tcW w:w="2190" w:type="pct"/>
            <w:gridSpan w:val="4"/>
            <w:vAlign w:val="center"/>
          </w:tcPr>
          <w:p w:rsidR="009107B1" w:rsidRDefault="009107B1" w:rsidP="00B844EA">
            <w:pPr>
              <w:spacing w:line="260" w:lineRule="exact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按支出性质分：</w:t>
            </w:r>
          </w:p>
        </w:tc>
      </w:tr>
      <w:tr w:rsidR="009107B1" w:rsidTr="00B844EA">
        <w:trPr>
          <w:trHeight w:val="520"/>
          <w:jc w:val="center"/>
        </w:trPr>
        <w:tc>
          <w:tcPr>
            <w:tcW w:w="471" w:type="pct"/>
            <w:vMerge/>
            <w:tcBorders>
              <w:top w:val="nil"/>
              <w:bottom w:val="nil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2337" w:type="pct"/>
            <w:gridSpan w:val="5"/>
            <w:vAlign w:val="center"/>
          </w:tcPr>
          <w:p w:rsidR="009107B1" w:rsidRDefault="009107B1" w:rsidP="00B844EA">
            <w:pPr>
              <w:spacing w:line="260" w:lineRule="exact"/>
              <w:ind w:firstLineChars="100" w:firstLine="210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其中：一般公共预算：369.58</w:t>
            </w:r>
          </w:p>
        </w:tc>
        <w:tc>
          <w:tcPr>
            <w:tcW w:w="2190" w:type="pct"/>
            <w:gridSpan w:val="4"/>
            <w:vAlign w:val="center"/>
          </w:tcPr>
          <w:p w:rsidR="009107B1" w:rsidRDefault="009107B1" w:rsidP="00B844EA">
            <w:pPr>
              <w:spacing w:line="260" w:lineRule="exact"/>
              <w:ind w:firstLineChars="100" w:firstLine="210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其中：基本支出：68.98</w:t>
            </w:r>
          </w:p>
        </w:tc>
      </w:tr>
      <w:tr w:rsidR="009107B1" w:rsidTr="00B844EA">
        <w:trPr>
          <w:trHeight w:val="520"/>
          <w:jc w:val="center"/>
        </w:trPr>
        <w:tc>
          <w:tcPr>
            <w:tcW w:w="471" w:type="pct"/>
            <w:vMerge/>
            <w:tcBorders>
              <w:top w:val="nil"/>
              <w:bottom w:val="nil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2337" w:type="pct"/>
            <w:gridSpan w:val="5"/>
            <w:vAlign w:val="center"/>
          </w:tcPr>
          <w:p w:rsidR="009107B1" w:rsidRDefault="009107B1" w:rsidP="00B844EA">
            <w:pPr>
              <w:spacing w:line="260" w:lineRule="exact"/>
              <w:ind w:firstLineChars="400" w:firstLine="840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政府性基金拨款：0</w:t>
            </w:r>
          </w:p>
        </w:tc>
        <w:tc>
          <w:tcPr>
            <w:tcW w:w="2190" w:type="pct"/>
            <w:gridSpan w:val="4"/>
            <w:vAlign w:val="center"/>
          </w:tcPr>
          <w:p w:rsidR="009107B1" w:rsidRDefault="009107B1" w:rsidP="00B844EA">
            <w:pPr>
              <w:spacing w:line="260" w:lineRule="exact"/>
              <w:ind w:firstLineChars="400" w:firstLine="840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项目支出：300.60</w:t>
            </w:r>
          </w:p>
        </w:tc>
      </w:tr>
      <w:tr w:rsidR="009107B1" w:rsidTr="00B844EA">
        <w:trPr>
          <w:trHeight w:val="520"/>
          <w:jc w:val="center"/>
        </w:trPr>
        <w:tc>
          <w:tcPr>
            <w:tcW w:w="471" w:type="pct"/>
            <w:vMerge/>
            <w:tcBorders>
              <w:top w:val="nil"/>
              <w:bottom w:val="nil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2337" w:type="pct"/>
            <w:gridSpan w:val="5"/>
            <w:vAlign w:val="center"/>
          </w:tcPr>
          <w:p w:rsidR="009107B1" w:rsidRDefault="009107B1" w:rsidP="00B844EA">
            <w:pPr>
              <w:spacing w:line="260" w:lineRule="exact"/>
              <w:ind w:firstLineChars="400" w:firstLine="840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纳入专户管理的非税收入拨款：0</w:t>
            </w:r>
          </w:p>
        </w:tc>
        <w:tc>
          <w:tcPr>
            <w:tcW w:w="2190" w:type="pct"/>
            <w:gridSpan w:val="4"/>
            <w:vAlign w:val="center"/>
          </w:tcPr>
          <w:p w:rsidR="009107B1" w:rsidRDefault="009107B1" w:rsidP="00B844EA">
            <w:pPr>
              <w:spacing w:line="260" w:lineRule="exact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9107B1" w:rsidTr="00B844EA">
        <w:trPr>
          <w:trHeight w:val="520"/>
          <w:jc w:val="center"/>
        </w:trPr>
        <w:tc>
          <w:tcPr>
            <w:tcW w:w="471" w:type="pct"/>
            <w:vMerge/>
            <w:tcBorders>
              <w:top w:val="nil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2337" w:type="pct"/>
            <w:gridSpan w:val="5"/>
            <w:vAlign w:val="center"/>
          </w:tcPr>
          <w:p w:rsidR="009107B1" w:rsidRDefault="009107B1" w:rsidP="00B844EA">
            <w:pPr>
              <w:spacing w:line="260" w:lineRule="exact"/>
              <w:ind w:firstLineChars="400" w:firstLine="840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其他资金：0</w:t>
            </w:r>
          </w:p>
        </w:tc>
        <w:tc>
          <w:tcPr>
            <w:tcW w:w="2190" w:type="pct"/>
            <w:gridSpan w:val="4"/>
            <w:vAlign w:val="center"/>
          </w:tcPr>
          <w:p w:rsidR="009107B1" w:rsidRDefault="009107B1" w:rsidP="00B844EA">
            <w:pPr>
              <w:spacing w:line="260" w:lineRule="exact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9107B1" w:rsidTr="00B844EA">
        <w:trPr>
          <w:trHeight w:val="520"/>
          <w:jc w:val="center"/>
        </w:trPr>
        <w:tc>
          <w:tcPr>
            <w:tcW w:w="471" w:type="pct"/>
            <w:vMerge w:val="restart"/>
            <w:tcBorders>
              <w:bottom w:val="nil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年度总体目标</w:t>
            </w:r>
          </w:p>
        </w:tc>
        <w:tc>
          <w:tcPr>
            <w:tcW w:w="2337" w:type="pct"/>
            <w:gridSpan w:val="5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预期目标</w:t>
            </w:r>
          </w:p>
        </w:tc>
        <w:tc>
          <w:tcPr>
            <w:tcW w:w="2190" w:type="pct"/>
            <w:gridSpan w:val="4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实际完成情况</w:t>
            </w:r>
          </w:p>
        </w:tc>
      </w:tr>
      <w:tr w:rsidR="009107B1" w:rsidTr="00B844EA">
        <w:trPr>
          <w:trHeight w:val="520"/>
          <w:jc w:val="center"/>
        </w:trPr>
        <w:tc>
          <w:tcPr>
            <w:tcW w:w="471" w:type="pct"/>
            <w:vMerge/>
            <w:tcBorders>
              <w:top w:val="nil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2337" w:type="pct"/>
            <w:gridSpan w:val="5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完成政府性投资项目预、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结算评审</w:t>
            </w:r>
          </w:p>
        </w:tc>
        <w:tc>
          <w:tcPr>
            <w:tcW w:w="2190" w:type="pct"/>
            <w:gridSpan w:val="4"/>
            <w:vAlign w:val="center"/>
          </w:tcPr>
          <w:p w:rsidR="009107B1" w:rsidRDefault="009107B1" w:rsidP="00B844EA">
            <w:pPr>
              <w:spacing w:line="260" w:lineRule="exac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共计完成20多亿政府性投资项目预、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结算评审</w:t>
            </w:r>
          </w:p>
        </w:tc>
      </w:tr>
      <w:tr w:rsidR="009107B1" w:rsidTr="00B844EA">
        <w:trPr>
          <w:trHeight w:val="860"/>
          <w:jc w:val="center"/>
        </w:trPr>
        <w:tc>
          <w:tcPr>
            <w:tcW w:w="471" w:type="pct"/>
            <w:vMerge w:val="restar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绩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效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指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标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绩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效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指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标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一级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指标</w:t>
            </w:r>
          </w:p>
        </w:tc>
        <w:tc>
          <w:tcPr>
            <w:tcW w:w="574" w:type="pct"/>
            <w:gridSpan w:val="2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二级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指标</w:t>
            </w:r>
          </w:p>
        </w:tc>
        <w:tc>
          <w:tcPr>
            <w:tcW w:w="578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三级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指标</w:t>
            </w:r>
          </w:p>
        </w:tc>
        <w:tc>
          <w:tcPr>
            <w:tcW w:w="61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年度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指标值</w:t>
            </w:r>
          </w:p>
        </w:tc>
        <w:tc>
          <w:tcPr>
            <w:tcW w:w="58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实际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完成值</w:t>
            </w:r>
          </w:p>
        </w:tc>
        <w:tc>
          <w:tcPr>
            <w:tcW w:w="398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分值</w:t>
            </w:r>
          </w:p>
        </w:tc>
        <w:tc>
          <w:tcPr>
            <w:tcW w:w="41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自评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得分</w:t>
            </w:r>
          </w:p>
        </w:tc>
        <w:tc>
          <w:tcPr>
            <w:tcW w:w="79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偏差原因分析及改进措施</w:t>
            </w:r>
          </w:p>
        </w:tc>
      </w:tr>
      <w:tr w:rsidR="009107B1" w:rsidTr="00B844EA">
        <w:trPr>
          <w:trHeight w:val="454"/>
          <w:jc w:val="center"/>
        </w:trPr>
        <w:tc>
          <w:tcPr>
            <w:tcW w:w="471" w:type="pct"/>
            <w:vMerge/>
            <w:textDirection w:val="tbRlV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产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出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标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(30分）</w:t>
            </w:r>
          </w:p>
        </w:tc>
        <w:tc>
          <w:tcPr>
            <w:tcW w:w="574" w:type="pct"/>
            <w:gridSpan w:val="2"/>
            <w:vMerge w:val="restart"/>
            <w:tcBorders>
              <w:left w:val="single" w:sz="4" w:space="0" w:color="auto"/>
              <w:bottom w:val="nil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数量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</w:t>
            </w:r>
          </w:p>
        </w:tc>
        <w:tc>
          <w:tcPr>
            <w:tcW w:w="578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预算项目评审个数</w:t>
            </w:r>
          </w:p>
        </w:tc>
        <w:tc>
          <w:tcPr>
            <w:tcW w:w="61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≥80个</w:t>
            </w:r>
          </w:p>
        </w:tc>
        <w:tc>
          <w:tcPr>
            <w:tcW w:w="58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153个</w:t>
            </w:r>
          </w:p>
        </w:tc>
        <w:tc>
          <w:tcPr>
            <w:tcW w:w="398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41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79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9107B1" w:rsidTr="00B844EA">
        <w:trPr>
          <w:trHeight w:val="454"/>
          <w:jc w:val="center"/>
        </w:trPr>
        <w:tc>
          <w:tcPr>
            <w:tcW w:w="471" w:type="pct"/>
            <w:vMerge/>
            <w:textDirection w:val="tbRlV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8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结算项目评审个数</w:t>
            </w:r>
          </w:p>
        </w:tc>
        <w:tc>
          <w:tcPr>
            <w:tcW w:w="61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≥10个</w:t>
            </w:r>
          </w:p>
        </w:tc>
        <w:tc>
          <w:tcPr>
            <w:tcW w:w="58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16个</w:t>
            </w:r>
          </w:p>
        </w:tc>
        <w:tc>
          <w:tcPr>
            <w:tcW w:w="398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41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79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9107B1" w:rsidTr="00B844EA">
        <w:trPr>
          <w:trHeight w:val="454"/>
          <w:jc w:val="center"/>
        </w:trPr>
        <w:tc>
          <w:tcPr>
            <w:tcW w:w="471" w:type="pct"/>
            <w:vMerge/>
            <w:textDirection w:val="tbRlV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质量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</w:t>
            </w:r>
          </w:p>
        </w:tc>
        <w:tc>
          <w:tcPr>
            <w:tcW w:w="578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综合审定金额</w:t>
            </w:r>
          </w:p>
        </w:tc>
        <w:tc>
          <w:tcPr>
            <w:tcW w:w="61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≥10亿</w:t>
            </w:r>
          </w:p>
        </w:tc>
        <w:tc>
          <w:tcPr>
            <w:tcW w:w="58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15.35亿</w:t>
            </w:r>
          </w:p>
        </w:tc>
        <w:tc>
          <w:tcPr>
            <w:tcW w:w="398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41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79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9107B1" w:rsidTr="00B844EA">
        <w:trPr>
          <w:trHeight w:val="454"/>
          <w:jc w:val="center"/>
        </w:trPr>
        <w:tc>
          <w:tcPr>
            <w:tcW w:w="471" w:type="pct"/>
            <w:vMerge/>
            <w:textDirection w:val="tbRlV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时效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</w:t>
            </w:r>
          </w:p>
        </w:tc>
        <w:tc>
          <w:tcPr>
            <w:tcW w:w="578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按时评审率</w:t>
            </w:r>
          </w:p>
        </w:tc>
        <w:tc>
          <w:tcPr>
            <w:tcW w:w="61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100%</w:t>
            </w:r>
          </w:p>
        </w:tc>
        <w:tc>
          <w:tcPr>
            <w:tcW w:w="58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97%</w:t>
            </w:r>
          </w:p>
        </w:tc>
        <w:tc>
          <w:tcPr>
            <w:tcW w:w="398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41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8</w:t>
            </w:r>
          </w:p>
        </w:tc>
        <w:tc>
          <w:tcPr>
            <w:tcW w:w="79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事多人少；项目设计高估冒算；业主资料补充超时等原因延长评审时间。</w:t>
            </w:r>
          </w:p>
        </w:tc>
      </w:tr>
      <w:tr w:rsidR="009107B1" w:rsidTr="00B844EA">
        <w:trPr>
          <w:trHeight w:val="672"/>
          <w:jc w:val="center"/>
        </w:trPr>
        <w:tc>
          <w:tcPr>
            <w:tcW w:w="471" w:type="pct"/>
            <w:vMerge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效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益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标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（30分）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经济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效益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</w:t>
            </w:r>
          </w:p>
        </w:tc>
        <w:tc>
          <w:tcPr>
            <w:tcW w:w="578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综合审减率</w:t>
            </w:r>
          </w:p>
        </w:tc>
        <w:tc>
          <w:tcPr>
            <w:tcW w:w="61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≥15%</w:t>
            </w:r>
          </w:p>
        </w:tc>
        <w:tc>
          <w:tcPr>
            <w:tcW w:w="58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23.45%</w:t>
            </w:r>
          </w:p>
        </w:tc>
        <w:tc>
          <w:tcPr>
            <w:tcW w:w="398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41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79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9107B1" w:rsidTr="00B844EA">
        <w:trPr>
          <w:trHeight w:val="510"/>
          <w:jc w:val="center"/>
        </w:trPr>
        <w:tc>
          <w:tcPr>
            <w:tcW w:w="471" w:type="pct"/>
            <w:vMerge/>
            <w:textDirection w:val="tbRlV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社会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效益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</w:t>
            </w:r>
          </w:p>
        </w:tc>
        <w:tc>
          <w:tcPr>
            <w:tcW w:w="578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送审金额</w:t>
            </w:r>
          </w:p>
        </w:tc>
        <w:tc>
          <w:tcPr>
            <w:tcW w:w="61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≥20亿</w:t>
            </w:r>
          </w:p>
        </w:tc>
        <w:tc>
          <w:tcPr>
            <w:tcW w:w="58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20.05亿</w:t>
            </w:r>
          </w:p>
        </w:tc>
        <w:tc>
          <w:tcPr>
            <w:tcW w:w="398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41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79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9107B1" w:rsidTr="00B844EA">
        <w:trPr>
          <w:trHeight w:val="510"/>
          <w:jc w:val="center"/>
        </w:trPr>
        <w:tc>
          <w:tcPr>
            <w:tcW w:w="471" w:type="pct"/>
            <w:vMerge/>
            <w:textDirection w:val="tbRlV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满意度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（10分）</w:t>
            </w:r>
          </w:p>
        </w:tc>
        <w:tc>
          <w:tcPr>
            <w:tcW w:w="574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服务对象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满意度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</w:t>
            </w:r>
          </w:p>
        </w:tc>
        <w:tc>
          <w:tcPr>
            <w:tcW w:w="578" w:type="pct"/>
            <w:tcBorders>
              <w:left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业主单位满意度</w:t>
            </w:r>
          </w:p>
        </w:tc>
        <w:tc>
          <w:tcPr>
            <w:tcW w:w="61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100%</w:t>
            </w:r>
          </w:p>
        </w:tc>
        <w:tc>
          <w:tcPr>
            <w:tcW w:w="58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100%</w:t>
            </w:r>
          </w:p>
        </w:tc>
        <w:tc>
          <w:tcPr>
            <w:tcW w:w="398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41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79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9107B1" w:rsidTr="00B844EA">
        <w:trPr>
          <w:trHeight w:val="510"/>
          <w:jc w:val="center"/>
        </w:trPr>
        <w:tc>
          <w:tcPr>
            <w:tcW w:w="471" w:type="pct"/>
            <w:vMerge/>
            <w:textDirection w:val="tbRlV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4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8" w:type="pct"/>
            <w:tcBorders>
              <w:left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对中介事务所满意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lastRenderedPageBreak/>
              <w:t>度</w:t>
            </w:r>
          </w:p>
        </w:tc>
        <w:tc>
          <w:tcPr>
            <w:tcW w:w="61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lastRenderedPageBreak/>
              <w:t>≥95%</w:t>
            </w:r>
          </w:p>
        </w:tc>
        <w:tc>
          <w:tcPr>
            <w:tcW w:w="58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90%</w:t>
            </w:r>
          </w:p>
        </w:tc>
        <w:tc>
          <w:tcPr>
            <w:tcW w:w="398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41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8</w:t>
            </w:r>
          </w:p>
        </w:tc>
        <w:tc>
          <w:tcPr>
            <w:tcW w:w="79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加强考核制和淘汰制</w:t>
            </w:r>
          </w:p>
        </w:tc>
      </w:tr>
      <w:tr w:rsidR="009107B1" w:rsidTr="00B844EA">
        <w:trPr>
          <w:trHeight w:val="510"/>
          <w:jc w:val="center"/>
        </w:trPr>
        <w:tc>
          <w:tcPr>
            <w:tcW w:w="471" w:type="pct"/>
            <w:vMerge/>
            <w:textDirection w:val="tbRlV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成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本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标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（20分）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经济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成本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</w:t>
            </w:r>
          </w:p>
        </w:tc>
        <w:tc>
          <w:tcPr>
            <w:tcW w:w="578" w:type="pct"/>
            <w:tcBorders>
              <w:left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中介服务费占送审金额的比例</w:t>
            </w:r>
          </w:p>
        </w:tc>
        <w:tc>
          <w:tcPr>
            <w:tcW w:w="61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≤3‰</w:t>
            </w:r>
          </w:p>
        </w:tc>
        <w:tc>
          <w:tcPr>
            <w:tcW w:w="58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1.78‰</w:t>
            </w:r>
          </w:p>
        </w:tc>
        <w:tc>
          <w:tcPr>
            <w:tcW w:w="398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41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79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9107B1" w:rsidTr="00B844EA">
        <w:trPr>
          <w:trHeight w:val="510"/>
          <w:jc w:val="center"/>
        </w:trPr>
        <w:tc>
          <w:tcPr>
            <w:tcW w:w="471" w:type="pct"/>
            <w:vMerge/>
            <w:textDirection w:val="tbRlV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0" w:type="pct"/>
            <w:vMerge/>
            <w:tcBorders>
              <w:left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574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社会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成本</w:t>
            </w:r>
          </w:p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</w:t>
            </w:r>
          </w:p>
        </w:tc>
        <w:tc>
          <w:tcPr>
            <w:tcW w:w="578" w:type="pct"/>
            <w:tcBorders>
              <w:left w:val="single" w:sz="4" w:space="0" w:color="auto"/>
            </w:tcBorders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超时评审率</w:t>
            </w:r>
          </w:p>
        </w:tc>
        <w:tc>
          <w:tcPr>
            <w:tcW w:w="61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≤5%</w:t>
            </w:r>
          </w:p>
        </w:tc>
        <w:tc>
          <w:tcPr>
            <w:tcW w:w="585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3%</w:t>
            </w:r>
          </w:p>
        </w:tc>
        <w:tc>
          <w:tcPr>
            <w:tcW w:w="398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41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79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9107B1" w:rsidTr="00B844EA">
        <w:trPr>
          <w:trHeight w:val="510"/>
          <w:jc w:val="center"/>
        </w:trPr>
        <w:tc>
          <w:tcPr>
            <w:tcW w:w="3394" w:type="pct"/>
            <w:gridSpan w:val="7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总分</w:t>
            </w:r>
          </w:p>
        </w:tc>
        <w:tc>
          <w:tcPr>
            <w:tcW w:w="398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100</w:t>
            </w:r>
          </w:p>
        </w:tc>
        <w:tc>
          <w:tcPr>
            <w:tcW w:w="41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96</w:t>
            </w:r>
          </w:p>
        </w:tc>
        <w:tc>
          <w:tcPr>
            <w:tcW w:w="793" w:type="pct"/>
            <w:vAlign w:val="center"/>
          </w:tcPr>
          <w:p w:rsidR="009107B1" w:rsidRDefault="009107B1" w:rsidP="00B844EA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</w:tbl>
    <w:p w:rsidR="009107B1" w:rsidRDefault="009107B1" w:rsidP="009107B1"/>
    <w:p w:rsidR="009107B1" w:rsidRDefault="009107B1" w:rsidP="009107B1">
      <w:r>
        <w:rPr>
          <w:rFonts w:hint="eastAsia"/>
        </w:rPr>
        <w:t>填表人：张靖</w:t>
      </w:r>
      <w:r>
        <w:rPr>
          <w:rFonts w:hint="eastAsia"/>
        </w:rPr>
        <w:t xml:space="preserve">  </w:t>
      </w:r>
      <w:r>
        <w:rPr>
          <w:rFonts w:hint="eastAsia"/>
        </w:rPr>
        <w:t>填报日期：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 xml:space="preserve">  </w:t>
      </w:r>
      <w:r>
        <w:rPr>
          <w:rFonts w:hint="eastAsia"/>
        </w:rPr>
        <w:t>联系电话：</w:t>
      </w:r>
      <w:r>
        <w:rPr>
          <w:rFonts w:hint="eastAsia"/>
        </w:rPr>
        <w:t xml:space="preserve">15173382199  </w:t>
      </w:r>
      <w:r>
        <w:rPr>
          <w:rFonts w:hint="eastAsia"/>
        </w:rPr>
        <w:t>单位负责人签字：</w:t>
      </w:r>
    </w:p>
    <w:p w:rsidR="00A625A9" w:rsidRPr="009107B1" w:rsidRDefault="00C3316B"/>
    <w:sectPr w:rsidR="00A625A9" w:rsidRPr="009107B1" w:rsidSect="00E028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3CF" w:rsidRDefault="00C3316B">
    <w:pPr>
      <w:pStyle w:val="a4"/>
      <w:spacing w:before="1" w:line="174" w:lineRule="auto"/>
      <w:jc w:val="center"/>
      <w:rPr>
        <w:sz w:val="28"/>
        <w:szCs w:val="28"/>
      </w:rPr>
    </w:pPr>
    <w:r w:rsidRPr="004373CF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104pt;margin-top:0;width:2in;height:2in;z-index:251660288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 filled="f" stroked="f" strokeweight=".5pt">
          <v:textbox style="mso-fit-shape-to-text:t" inset="0,0,0,0">
            <w:txbxContent>
              <w:p w:rsidR="004373CF" w:rsidRDefault="00C3316B">
                <w:pPr>
                  <w:pStyle w:val="a5"/>
                  <w:ind w:leftChars="250" w:left="525" w:rightChars="250" w:right="525"/>
                  <w:rPr>
                    <w:rFonts w:eastAsia="华文仿宋"/>
                    <w:sz w:val="32"/>
                    <w:szCs w:val="32"/>
                  </w:rPr>
                </w:pPr>
                <w:r>
                  <w:rPr>
                    <w:rFonts w:eastAsia="华文仿宋"/>
                    <w:sz w:val="32"/>
                    <w:szCs w:val="32"/>
                  </w:rPr>
                  <w:fldChar w:fldCharType="begin"/>
                </w:r>
                <w:r>
                  <w:rPr>
                    <w:rFonts w:eastAsia="华文仿宋"/>
                    <w:sz w:val="32"/>
                    <w:szCs w:val="32"/>
                  </w:rPr>
                  <w:instrText xml:space="preserve"> PAGE  \* MERGEFORMAT </w:instrText>
                </w:r>
                <w:r>
                  <w:rPr>
                    <w:rFonts w:eastAsia="华文仿宋"/>
                    <w:sz w:val="32"/>
                    <w:szCs w:val="32"/>
                  </w:rPr>
                  <w:fldChar w:fldCharType="separate"/>
                </w:r>
                <w:r w:rsidR="009107B1">
                  <w:rPr>
                    <w:rFonts w:eastAsia="华文仿宋"/>
                    <w:noProof/>
                    <w:sz w:val="32"/>
                    <w:szCs w:val="32"/>
                  </w:rPr>
                  <w:t>- 7 -</w:t>
                </w:r>
                <w:r>
                  <w:rPr>
                    <w:rFonts w:eastAsia="华文仿宋"/>
                    <w:sz w:val="32"/>
                    <w:szCs w:val="32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3CF" w:rsidRDefault="00C3316B">
    <w:pPr>
      <w:pStyle w:val="a4"/>
      <w:spacing w:before="1" w:line="174" w:lineRule="auto"/>
      <w:ind w:left="8576"/>
      <w:rPr>
        <w:sz w:val="28"/>
        <w:szCs w:val="28"/>
      </w:rPr>
    </w:pPr>
    <w:r w:rsidRPr="004373CF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104pt;margin-top:0;width:2in;height:2in;z-index:251661312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 filled="f" stroked="f" strokeweight=".5pt">
          <v:textbox style="mso-fit-shape-to-text:t" inset="0,0,0,0">
            <w:txbxContent>
              <w:p w:rsidR="004373CF" w:rsidRDefault="00C3316B">
                <w:pPr>
                  <w:pStyle w:val="a5"/>
                  <w:rPr>
                    <w:rFonts w:ascii="华文仿宋" w:eastAsia="华文仿宋" w:hAnsi="华文仿宋" w:cs="华文仿宋"/>
                    <w:sz w:val="28"/>
                    <w:szCs w:val="28"/>
                  </w:rPr>
                </w:pPr>
                <w:r>
                  <w:rPr>
                    <w:rFonts w:ascii="华文仿宋" w:eastAsia="华文仿宋" w:hAnsi="华文仿宋" w:cs="华文仿宋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华文仿宋" w:eastAsia="华文仿宋" w:hAnsi="华文仿宋" w:cs="华文仿宋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华文仿宋" w:eastAsia="华文仿宋" w:hAnsi="华文仿宋" w:cs="华文仿宋" w:hint="eastAsia"/>
                    <w:sz w:val="28"/>
                    <w:szCs w:val="28"/>
                  </w:rPr>
                  <w:fldChar w:fldCharType="separate"/>
                </w:r>
                <w:r w:rsidR="009107B1">
                  <w:rPr>
                    <w:rFonts w:ascii="华文仿宋" w:eastAsia="华文仿宋" w:hAnsi="华文仿宋" w:cs="华文仿宋"/>
                    <w:noProof/>
                    <w:sz w:val="28"/>
                    <w:szCs w:val="28"/>
                  </w:rPr>
                  <w:t>- 8 -</w:t>
                </w:r>
                <w:r>
                  <w:rPr>
                    <w:rFonts w:ascii="华文仿宋" w:eastAsia="华文仿宋" w:hAnsi="华文仿宋" w:cs="华文仿宋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E4DD649"/>
    <w:multiLevelType w:val="singleLevel"/>
    <w:tmpl w:val="BE4DD649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4E9351B"/>
    <w:multiLevelType w:val="singleLevel"/>
    <w:tmpl w:val="24E9351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8328635"/>
    <w:multiLevelType w:val="singleLevel"/>
    <w:tmpl w:val="48328635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9107B1"/>
    <w:rsid w:val="00054346"/>
    <w:rsid w:val="000747B6"/>
    <w:rsid w:val="009107B1"/>
    <w:rsid w:val="00C3316B"/>
    <w:rsid w:val="00E02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autoRedefine/>
    <w:qFormat/>
    <w:rsid w:val="009107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next w:val="a"/>
    <w:link w:val="Char"/>
    <w:autoRedefine/>
    <w:qFormat/>
    <w:rsid w:val="009107B1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1"/>
    <w:link w:val="a0"/>
    <w:rsid w:val="009107B1"/>
    <w:rPr>
      <w:rFonts w:ascii="Times New Roman" w:eastAsia="宋体" w:hAnsi="Times New Roman" w:cs="Times New Roman"/>
      <w:sz w:val="18"/>
      <w:szCs w:val="18"/>
    </w:rPr>
  </w:style>
  <w:style w:type="paragraph" w:styleId="a4">
    <w:name w:val="Body Text"/>
    <w:basedOn w:val="a"/>
    <w:link w:val="Char0"/>
    <w:autoRedefine/>
    <w:semiHidden/>
    <w:qFormat/>
    <w:rsid w:val="009107B1"/>
    <w:rPr>
      <w:rFonts w:ascii="仿宋" w:eastAsia="仿宋" w:hAnsi="仿宋" w:cs="仿宋"/>
      <w:sz w:val="31"/>
      <w:szCs w:val="31"/>
      <w:lang w:eastAsia="en-US"/>
    </w:rPr>
  </w:style>
  <w:style w:type="character" w:customStyle="1" w:styleId="Char0">
    <w:name w:val="正文文本 Char"/>
    <w:basedOn w:val="a1"/>
    <w:link w:val="a4"/>
    <w:semiHidden/>
    <w:rsid w:val="009107B1"/>
    <w:rPr>
      <w:rFonts w:ascii="仿宋" w:eastAsia="仿宋" w:hAnsi="仿宋" w:cs="仿宋"/>
      <w:sz w:val="31"/>
      <w:szCs w:val="31"/>
      <w:lang w:eastAsia="en-US"/>
    </w:rPr>
  </w:style>
  <w:style w:type="paragraph" w:styleId="a5">
    <w:name w:val="footer"/>
    <w:basedOn w:val="a"/>
    <w:link w:val="Char1"/>
    <w:autoRedefine/>
    <w:uiPriority w:val="99"/>
    <w:qFormat/>
    <w:rsid w:val="009107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qFormat/>
    <w:rsid w:val="009107B1"/>
    <w:rPr>
      <w:rFonts w:ascii="Times New Roman" w:eastAsia="宋体" w:hAnsi="Times New Roman" w:cs="Times New Roman"/>
      <w:sz w:val="18"/>
      <w:szCs w:val="18"/>
    </w:rPr>
  </w:style>
  <w:style w:type="table" w:customStyle="1" w:styleId="TableNormal">
    <w:name w:val="Table Normal"/>
    <w:autoRedefine/>
    <w:semiHidden/>
    <w:unhideWhenUsed/>
    <w:qFormat/>
    <w:rsid w:val="009107B1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235</Words>
  <Characters>1345</Characters>
  <Application>Microsoft Office Word</Application>
  <DocSecurity>0</DocSecurity>
  <Lines>11</Lines>
  <Paragraphs>3</Paragraphs>
  <ScaleCrop>false</ScaleCrop>
  <Company>Microsoft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2024-06-13T08:27:00Z</dcterms:created>
  <dcterms:modified xsi:type="dcterms:W3CDTF">2024-06-13T08:28:00Z</dcterms:modified>
</cp:coreProperties>
</file>