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CD494">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209A67AF">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华容县政务服务中心</w:t>
      </w:r>
      <w:r>
        <w:rPr>
          <w:rFonts w:hint="eastAsia" w:ascii="方正小标宋_GBK" w:hAnsi="方正小标宋_GBK" w:eastAsia="方正小标宋_GBK" w:cs="方正小标宋_GBK"/>
          <w:color w:val="auto"/>
          <w:sz w:val="84"/>
          <w:szCs w:val="84"/>
        </w:rPr>
        <w:t>部门决算</w:t>
      </w:r>
    </w:p>
    <w:p w14:paraId="0CFF5636">
      <w:pPr>
        <w:pStyle w:val="14"/>
        <w:keepNext w:val="0"/>
        <w:keepLines w:val="0"/>
        <w:pageBreakBefore w:val="0"/>
        <w:widowControl w:val="0"/>
        <w:kinsoku/>
        <w:wordWrap/>
        <w:overflowPunct/>
        <w:topLinePunct w:val="0"/>
        <w:bidi w:val="0"/>
        <w:snapToGrid/>
        <w:spacing w:line="500" w:lineRule="exact"/>
        <w:jc w:val="both"/>
        <w:textAlignment w:val="auto"/>
        <w:rPr>
          <w:b/>
          <w:color w:val="auto"/>
          <w:sz w:val="36"/>
          <w:szCs w:val="28"/>
        </w:rPr>
      </w:pPr>
    </w:p>
    <w:p w14:paraId="2A10E7A8">
      <w:pPr>
        <w:pStyle w:val="14"/>
        <w:keepNext w:val="0"/>
        <w:keepLines w:val="0"/>
        <w:pageBreakBefore w:val="0"/>
        <w:widowControl w:val="0"/>
        <w:kinsoku/>
        <w:wordWrap/>
        <w:overflowPunct/>
        <w:topLinePunct w:val="0"/>
        <w:bidi w:val="0"/>
        <w:snapToGrid/>
        <w:spacing w:line="500" w:lineRule="exact"/>
        <w:jc w:val="center"/>
        <w:textAlignment w:val="auto"/>
        <w:rPr>
          <w:b/>
          <w:color w:val="auto"/>
          <w:sz w:val="36"/>
          <w:szCs w:val="28"/>
        </w:rPr>
      </w:pPr>
      <w:r>
        <w:rPr>
          <w:rFonts w:hint="eastAsia"/>
          <w:b/>
          <w:color w:val="auto"/>
          <w:sz w:val="36"/>
          <w:szCs w:val="28"/>
        </w:rPr>
        <w:t>目录</w:t>
      </w:r>
    </w:p>
    <w:p w14:paraId="25290259">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rPr>
      </w:pPr>
      <w:r>
        <w:rPr>
          <w:rFonts w:hint="eastAsia" w:hAnsi="黑体"/>
          <w:bCs/>
          <w:color w:val="auto"/>
          <w:sz w:val="28"/>
          <w:szCs w:val="28"/>
        </w:rPr>
        <w:t>第一部分华容县政务服务中心概况</w:t>
      </w:r>
    </w:p>
    <w:p w14:paraId="040882D9">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6B30C889">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6D0B0F90">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rPr>
      </w:pPr>
      <w:r>
        <w:rPr>
          <w:rFonts w:hint="eastAsia" w:hAnsi="黑体"/>
          <w:bCs/>
          <w:color w:val="auto"/>
          <w:sz w:val="28"/>
          <w:szCs w:val="28"/>
        </w:rPr>
        <w:t>第二部分 部门决算表</w:t>
      </w:r>
    </w:p>
    <w:p w14:paraId="333E9E5F">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1506BDBE">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328486FF">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041DED0C">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37132C5D">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62BA332E">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4C1D202C">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55ABAA02">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640654EF">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1F994226">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rPr>
      </w:pPr>
    </w:p>
    <w:p w14:paraId="611FCE6A">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rPr>
      </w:pPr>
      <w:r>
        <w:rPr>
          <w:rFonts w:hint="eastAsia" w:hAnsi="黑体"/>
          <w:bCs/>
          <w:color w:val="auto"/>
          <w:sz w:val="28"/>
          <w:szCs w:val="28"/>
        </w:rPr>
        <w:t>第四部分 名词解释</w:t>
      </w:r>
    </w:p>
    <w:p w14:paraId="3C385207">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rPr>
      </w:pPr>
      <w:r>
        <w:rPr>
          <w:rFonts w:hint="eastAsia" w:hAnsi="黑体"/>
          <w:bCs/>
          <w:color w:val="auto"/>
          <w:sz w:val="28"/>
          <w:szCs w:val="28"/>
        </w:rPr>
        <w:t>第五部分 附件</w:t>
      </w:r>
    </w:p>
    <w:p w14:paraId="3817F73F">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rPr>
      </w:pPr>
    </w:p>
    <w:p w14:paraId="42C74FA3">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075D56B2">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1CE2AD7A">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2C94CF27">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7717A22B">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312403BF">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51DDED05">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7BA23AC2">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607C32AB">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4E3A2FDA">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4830C786">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74874903">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3BBC4555">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04A030DC">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华容县政务服务中心概况</w:t>
      </w:r>
    </w:p>
    <w:p w14:paraId="54A12B13">
      <w:pPr>
        <w:keepNext w:val="0"/>
        <w:keepLines w:val="0"/>
        <w:pageBreakBefore w:val="0"/>
        <w:widowControl w:val="0"/>
        <w:kinsoku/>
        <w:wordWrap/>
        <w:overflowPunct/>
        <w:topLinePunct w:val="0"/>
        <w:bidi w:val="0"/>
        <w:snapToGrid/>
        <w:spacing w:line="600" w:lineRule="exact"/>
        <w:textAlignment w:val="auto"/>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6C8B7B1B">
      <w:pPr>
        <w:keepNext w:val="0"/>
        <w:keepLines w:val="0"/>
        <w:pageBreakBefore w:val="0"/>
        <w:widowControl w:val="0"/>
        <w:shd w:val="clear" w:color="auto" w:fill="FFFFFF"/>
        <w:kinsoku/>
        <w:wordWrap/>
        <w:overflowPunct/>
        <w:topLinePunct w:val="0"/>
        <w:autoSpaceDE w:val="0"/>
        <w:autoSpaceDN w:val="0"/>
        <w:bidi w:val="0"/>
        <w:adjustRightInd w:val="0"/>
        <w:snapToGrid/>
        <w:ind w:firstLine="640"/>
        <w:jc w:val="left"/>
        <w:textAlignment w:val="auto"/>
        <w:rPr>
          <w:rFonts w:ascii="宋体" w:hAnsi="Times New Roman" w:eastAsia="宋体" w:cs="宋体"/>
          <w:kern w:val="0"/>
          <w:sz w:val="32"/>
          <w:szCs w:val="32"/>
        </w:rPr>
      </w:pPr>
      <w:r>
        <w:rPr>
          <w:rFonts w:hint="eastAsia" w:ascii="宋体" w:hAnsi="Times New Roman" w:eastAsia="宋体" w:cs="宋体"/>
          <w:kern w:val="0"/>
          <w:sz w:val="32"/>
          <w:szCs w:val="32"/>
        </w:rPr>
        <w:t>（一）贯彻落实国家、省、市、县有关行政审批制度改革、优化政务服务等方面的方针政策、法律法规和决策部署。</w:t>
      </w:r>
    </w:p>
    <w:p w14:paraId="5527FE12">
      <w:pPr>
        <w:keepNext w:val="0"/>
        <w:keepLines w:val="0"/>
        <w:pageBreakBefore w:val="0"/>
        <w:widowControl w:val="0"/>
        <w:shd w:val="clear" w:color="auto" w:fill="FFFFFF"/>
        <w:kinsoku/>
        <w:wordWrap/>
        <w:overflowPunct/>
        <w:topLinePunct w:val="0"/>
        <w:autoSpaceDE w:val="0"/>
        <w:autoSpaceDN w:val="0"/>
        <w:bidi w:val="0"/>
        <w:adjustRightInd w:val="0"/>
        <w:snapToGrid/>
        <w:ind w:firstLine="640"/>
        <w:jc w:val="left"/>
        <w:textAlignment w:val="auto"/>
        <w:rPr>
          <w:rFonts w:ascii="宋体" w:hAnsi="Times New Roman" w:eastAsia="宋体" w:cs="宋体"/>
          <w:kern w:val="0"/>
          <w:sz w:val="32"/>
          <w:szCs w:val="32"/>
        </w:rPr>
      </w:pPr>
      <w:r>
        <w:rPr>
          <w:rFonts w:hint="eastAsia" w:ascii="宋体" w:hAnsi="Times New Roman" w:eastAsia="宋体" w:cs="宋体"/>
          <w:kern w:val="0"/>
          <w:sz w:val="32"/>
          <w:szCs w:val="32"/>
        </w:rPr>
        <w:t>（二）负责全县政务服务规范化、标准化、科学化建设，</w:t>
      </w:r>
      <w:r>
        <w:rPr>
          <w:rFonts w:ascii="宋体" w:hAnsi="Times New Roman" w:eastAsia="宋体" w:cs="宋体"/>
          <w:kern w:val="0"/>
          <w:sz w:val="32"/>
          <w:szCs w:val="32"/>
        </w:rPr>
        <w:t xml:space="preserve"> </w:t>
      </w:r>
      <w:r>
        <w:rPr>
          <w:rFonts w:hint="eastAsia" w:ascii="宋体" w:hAnsi="Times New Roman" w:eastAsia="宋体" w:cs="宋体"/>
          <w:kern w:val="0"/>
          <w:sz w:val="32"/>
          <w:szCs w:val="32"/>
        </w:rPr>
        <w:t>探索政务服务方式创新；负贵对政务服务事项进行流程再造、环节优化、压缩时限，并对办理情况进行跟踪督办、指导、协调；组织、协调、承办全县重点项目帮办代办服务工作，指导园区开展重点项目帮办代办服务工作；负责对政务服务事项相关的中介服务活动的监督管理工作。</w:t>
      </w:r>
    </w:p>
    <w:p w14:paraId="3604AA34">
      <w:pPr>
        <w:keepNext w:val="0"/>
        <w:keepLines w:val="0"/>
        <w:pageBreakBefore w:val="0"/>
        <w:widowControl w:val="0"/>
        <w:shd w:val="clear" w:color="auto" w:fill="FFFFFF"/>
        <w:kinsoku/>
        <w:wordWrap/>
        <w:overflowPunct/>
        <w:topLinePunct w:val="0"/>
        <w:autoSpaceDE w:val="0"/>
        <w:autoSpaceDN w:val="0"/>
        <w:bidi w:val="0"/>
        <w:adjustRightInd w:val="0"/>
        <w:snapToGrid/>
        <w:ind w:firstLine="640"/>
        <w:jc w:val="left"/>
        <w:textAlignment w:val="auto"/>
        <w:rPr>
          <w:rFonts w:ascii="宋体" w:hAnsi="Times New Roman" w:eastAsia="宋体" w:cs="宋体"/>
          <w:kern w:val="0"/>
          <w:sz w:val="32"/>
          <w:szCs w:val="32"/>
        </w:rPr>
      </w:pPr>
      <w:r>
        <w:rPr>
          <w:rFonts w:hint="eastAsia" w:ascii="宋体" w:hAnsi="Times New Roman" w:eastAsia="宋体" w:cs="宋体"/>
          <w:kern w:val="0"/>
          <w:sz w:val="32"/>
          <w:szCs w:val="32"/>
        </w:rPr>
        <w:t>（三）负责政务服务大厅的管理，制定科学的管理制度和</w:t>
      </w:r>
    </w:p>
    <w:p w14:paraId="5FA3D8C7">
      <w:pPr>
        <w:keepNext w:val="0"/>
        <w:keepLines w:val="0"/>
        <w:pageBreakBefore w:val="0"/>
        <w:widowControl w:val="0"/>
        <w:shd w:val="clear" w:color="auto" w:fill="FFFFFF"/>
        <w:kinsoku/>
        <w:wordWrap/>
        <w:overflowPunct/>
        <w:topLinePunct w:val="0"/>
        <w:autoSpaceDE w:val="0"/>
        <w:autoSpaceDN w:val="0"/>
        <w:bidi w:val="0"/>
        <w:adjustRightInd w:val="0"/>
        <w:snapToGrid/>
        <w:jc w:val="left"/>
        <w:textAlignment w:val="auto"/>
        <w:rPr>
          <w:rFonts w:ascii="宋体" w:hAnsi="Times New Roman" w:eastAsia="宋体" w:cs="宋体"/>
          <w:kern w:val="0"/>
          <w:sz w:val="32"/>
          <w:szCs w:val="32"/>
        </w:rPr>
      </w:pPr>
      <w:r>
        <w:rPr>
          <w:rFonts w:hint="eastAsia" w:ascii="宋体" w:hAnsi="Times New Roman" w:eastAsia="宋体" w:cs="宋体"/>
          <w:kern w:val="0"/>
          <w:sz w:val="32"/>
          <w:szCs w:val="32"/>
        </w:rPr>
        <w:t>办法并组织实施，对进入政务服务大厅各部门单位的行政审批、政务服务行为进行监督检查；负责政务服务大厅工作人员</w:t>
      </w:r>
      <w:r>
        <w:rPr>
          <w:rFonts w:ascii="宋体" w:hAnsi="Times New Roman" w:eastAsia="宋体" w:cs="宋体"/>
          <w:kern w:val="0"/>
          <w:sz w:val="32"/>
          <w:szCs w:val="32"/>
        </w:rPr>
        <w:t xml:space="preserve"> </w:t>
      </w:r>
      <w:r>
        <w:rPr>
          <w:rFonts w:hint="eastAsia" w:ascii="宋体" w:hAnsi="Times New Roman" w:eastAsia="宋体" w:cs="宋体"/>
          <w:kern w:val="0"/>
          <w:sz w:val="32"/>
          <w:szCs w:val="32"/>
        </w:rPr>
        <w:t>日常管理和检查考核；拓宽社会和群众监督渠道，接受社会监</w:t>
      </w:r>
      <w:r>
        <w:rPr>
          <w:rFonts w:ascii="宋体" w:hAnsi="Times New Roman" w:eastAsia="宋体" w:cs="宋体"/>
          <w:kern w:val="0"/>
          <w:sz w:val="32"/>
          <w:szCs w:val="32"/>
        </w:rPr>
        <w:t xml:space="preserve"> </w:t>
      </w:r>
      <w:r>
        <w:rPr>
          <w:rFonts w:hint="eastAsia" w:ascii="宋体" w:hAnsi="Times New Roman" w:eastAsia="宋体" w:cs="宋体"/>
          <w:kern w:val="0"/>
          <w:sz w:val="32"/>
          <w:szCs w:val="32"/>
        </w:rPr>
        <w:t>督和评议。</w:t>
      </w:r>
    </w:p>
    <w:p w14:paraId="591FBBC4">
      <w:pPr>
        <w:keepNext w:val="0"/>
        <w:keepLines w:val="0"/>
        <w:pageBreakBefore w:val="0"/>
        <w:widowControl w:val="0"/>
        <w:shd w:val="clear" w:color="auto" w:fill="FFFFFF"/>
        <w:kinsoku/>
        <w:wordWrap/>
        <w:overflowPunct/>
        <w:topLinePunct w:val="0"/>
        <w:autoSpaceDE w:val="0"/>
        <w:autoSpaceDN w:val="0"/>
        <w:bidi w:val="0"/>
        <w:adjustRightInd w:val="0"/>
        <w:snapToGrid/>
        <w:ind w:firstLine="640" w:firstLineChars="200"/>
        <w:jc w:val="left"/>
        <w:textAlignment w:val="auto"/>
        <w:rPr>
          <w:rFonts w:ascii="宋体" w:hAnsi="Times New Roman" w:eastAsia="宋体" w:cs="宋体"/>
          <w:kern w:val="0"/>
          <w:sz w:val="32"/>
          <w:szCs w:val="32"/>
        </w:rPr>
      </w:pPr>
      <w:r>
        <w:rPr>
          <w:rFonts w:hint="eastAsia" w:ascii="宋体" w:hAnsi="Times New Roman" w:eastAsia="宋体" w:cs="宋体"/>
          <w:kern w:val="0"/>
          <w:sz w:val="32"/>
          <w:szCs w:val="32"/>
        </w:rPr>
        <w:t>（四）负责制订全县基层政务服务标准，并组织指导基</w:t>
      </w:r>
      <w:r>
        <w:rPr>
          <w:rFonts w:ascii="宋体" w:hAnsi="Times New Roman" w:eastAsia="宋体" w:cs="宋体"/>
          <w:kern w:val="0"/>
          <w:sz w:val="32"/>
          <w:szCs w:val="32"/>
        </w:rPr>
        <w:t xml:space="preserve"> </w:t>
      </w:r>
      <w:r>
        <w:rPr>
          <w:rFonts w:hint="eastAsia" w:ascii="宋体" w:hAnsi="Times New Roman" w:eastAsia="宋体" w:cs="宋体"/>
          <w:kern w:val="0"/>
          <w:sz w:val="32"/>
          <w:szCs w:val="32"/>
        </w:rPr>
        <w:t>层综合便民服务机构开展政务服务工作，落实服务下沉＂村镇办“工作，实现“县、乡、村”一体化服务；负责对全县各级政务（便民）服务大厅的政务服务工作进行指导和监督。</w:t>
      </w:r>
    </w:p>
    <w:p w14:paraId="1193E969">
      <w:pPr>
        <w:keepNext w:val="0"/>
        <w:keepLines w:val="0"/>
        <w:pageBreakBefore w:val="0"/>
        <w:widowControl w:val="0"/>
        <w:shd w:val="clear" w:color="auto" w:fill="FFFFFF"/>
        <w:kinsoku/>
        <w:wordWrap/>
        <w:overflowPunct/>
        <w:topLinePunct w:val="0"/>
        <w:autoSpaceDE w:val="0"/>
        <w:autoSpaceDN w:val="0"/>
        <w:bidi w:val="0"/>
        <w:adjustRightInd w:val="0"/>
        <w:snapToGrid/>
        <w:ind w:firstLine="640" w:firstLineChars="200"/>
        <w:jc w:val="left"/>
        <w:textAlignment w:val="auto"/>
        <w:rPr>
          <w:rFonts w:ascii="宋体" w:hAnsi="Times New Roman" w:eastAsia="宋体" w:cs="宋体"/>
          <w:kern w:val="0"/>
          <w:sz w:val="32"/>
          <w:szCs w:val="32"/>
        </w:rPr>
      </w:pPr>
      <w:r>
        <w:rPr>
          <w:rFonts w:hint="eastAsia" w:ascii="宋体" w:hAnsi="Times New Roman" w:eastAsia="宋体" w:cs="宋体"/>
          <w:kern w:val="0"/>
          <w:sz w:val="32"/>
          <w:szCs w:val="32"/>
        </w:rPr>
        <w:t>（五）负责建立全县统一的政务服务事项投诉举报和咨询平台，承担对政务服务事项投诉举报的承办、转办、督办工作；组织开展政务服务满意度调查工作。</w:t>
      </w:r>
    </w:p>
    <w:p w14:paraId="0C16962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（六）完成县行政审批服务局交办的其他任务</w:t>
      </w:r>
      <w:r>
        <w:rPr>
          <w:rFonts w:hint="eastAsia" w:ascii="宋体" w:hAnsi="Times New Roman" w:eastAsia="宋体" w:cs="宋体"/>
          <w:color w:val="auto"/>
          <w:sz w:val="32"/>
          <w:szCs w:val="32"/>
          <w:highlight w:val="white"/>
        </w:rPr>
        <w:t>。</w:t>
      </w:r>
    </w:p>
    <w:p w14:paraId="5B152E2B">
      <w:pPr>
        <w:keepNext w:val="0"/>
        <w:keepLines w:val="0"/>
        <w:pageBreakBefore w:val="0"/>
        <w:widowControl w:val="0"/>
        <w:kinsoku/>
        <w:wordWrap/>
        <w:overflowPunct/>
        <w:topLinePunct w:val="0"/>
        <w:bidi w:val="0"/>
        <w:snapToGrid/>
        <w:spacing w:line="600" w:lineRule="exact"/>
        <w:textAlignment w:val="auto"/>
        <w:rPr>
          <w:rFonts w:ascii="黑体" w:hAnsi="黑体" w:eastAsia="黑体" w:cs="黑体"/>
          <w:bCs/>
          <w:kern w:val="0"/>
          <w:sz w:val="32"/>
          <w:szCs w:val="32"/>
        </w:rPr>
      </w:pPr>
    </w:p>
    <w:p w14:paraId="3353009D">
      <w:pPr>
        <w:keepNext w:val="0"/>
        <w:keepLines w:val="0"/>
        <w:pageBreakBefore w:val="0"/>
        <w:widowControl w:val="0"/>
        <w:kinsoku/>
        <w:wordWrap/>
        <w:overflowPunct/>
        <w:topLinePunct w:val="0"/>
        <w:bidi w:val="0"/>
        <w:snapToGrid/>
        <w:spacing w:line="600" w:lineRule="exact"/>
        <w:textAlignment w:val="auto"/>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BFB8A24">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3E9494A">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华容县政务服务中心单位内设机构包括：</w:t>
      </w:r>
      <w:r>
        <w:rPr>
          <w:rFonts w:hint="eastAsia" w:ascii="宋体" w:hAnsi="Times New Roman" w:eastAsia="宋体" w:cs="宋体"/>
          <w:sz w:val="32"/>
          <w:szCs w:val="32"/>
          <w:lang w:val="zh-CN"/>
        </w:rPr>
        <w:t>办公室、业务管理股、帮办代办服务股、监督管理股</w:t>
      </w:r>
      <w:r>
        <w:rPr>
          <w:rFonts w:hint="eastAsia" w:ascii="宋体" w:hAnsi="Times New Roman" w:eastAsia="宋体" w:cs="宋体"/>
          <w:sz w:val="32"/>
          <w:szCs w:val="32"/>
          <w:highlight w:val="white"/>
        </w:rPr>
        <w:t>。</w:t>
      </w:r>
    </w:p>
    <w:p w14:paraId="79F56E48">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711A6481">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华容县政务服务中心单位2023年部门决算汇总公开单位构成包括：局机关本级决算（根据财政预算管理制度，所属二级机构为一级预算单位，部门决算报表分别单独公开）,不包含下属单位。</w:t>
      </w:r>
    </w:p>
    <w:p w14:paraId="73620000">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40FE7D43">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44FFE950">
      <w:pPr>
        <w:pStyle w:val="14"/>
        <w:keepNext w:val="0"/>
        <w:keepLines w:val="0"/>
        <w:pageBreakBefore w:val="0"/>
        <w:widowControl w:val="0"/>
        <w:kinsoku/>
        <w:wordWrap/>
        <w:overflowPunct/>
        <w:topLinePunct w:val="0"/>
        <w:bidi w:val="0"/>
        <w:snapToGrid/>
        <w:jc w:val="center"/>
        <w:textAlignment w:val="auto"/>
        <w:rPr>
          <w:rFonts w:hAnsi="黑体"/>
          <w:bCs/>
          <w:color w:val="auto"/>
          <w:kern w:val="2"/>
          <w:sz w:val="32"/>
          <w:szCs w:val="32"/>
        </w:rPr>
      </w:pPr>
      <w:r>
        <w:rPr>
          <w:rFonts w:hint="eastAsia" w:hAnsi="黑体"/>
          <w:bCs/>
          <w:color w:val="auto"/>
          <w:kern w:val="2"/>
          <w:sz w:val="32"/>
          <w:szCs w:val="32"/>
        </w:rPr>
        <w:t>详见附件表格</w:t>
      </w:r>
    </w:p>
    <w:p w14:paraId="73E8CE4D">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159001AB">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46763C1C">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3A315D4C">
      <w:pPr>
        <w:keepNext w:val="0"/>
        <w:keepLines w:val="0"/>
        <w:pageBreakBefore w:val="0"/>
        <w:widowControl w:val="0"/>
        <w:kinsoku/>
        <w:wordWrap/>
        <w:overflowPunct/>
        <w:topLinePunct w:val="0"/>
        <w:bidi w:val="0"/>
        <w:snapToGrid/>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536405B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598.77</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年相比，收、支总计各减少</w:t>
      </w:r>
      <w:r>
        <w:rPr>
          <w:rFonts w:ascii="宋体" w:hAnsi="Times New Roman" w:eastAsia="宋体" w:cs="宋体"/>
          <w:sz w:val="32"/>
          <w:szCs w:val="32"/>
          <w:highlight w:val="white"/>
          <w:lang w:val="zh-CN"/>
        </w:rPr>
        <w:t>392.44</w:t>
      </w:r>
      <w:r>
        <w:rPr>
          <w:rFonts w:hint="eastAsia" w:ascii="宋体" w:hAnsi="Times New Roman" w:eastAsia="宋体" w:cs="宋体"/>
          <w:sz w:val="32"/>
          <w:szCs w:val="32"/>
          <w:highlight w:val="white"/>
          <w:lang w:val="zh-CN"/>
        </w:rPr>
        <w:t>万元，下降</w:t>
      </w:r>
      <w:r>
        <w:rPr>
          <w:rFonts w:ascii="宋体" w:hAnsi="Times New Roman" w:eastAsia="宋体" w:cs="宋体"/>
          <w:sz w:val="32"/>
          <w:szCs w:val="32"/>
          <w:highlight w:val="white"/>
          <w:lang w:val="zh-CN"/>
        </w:rPr>
        <w:t>39.59%</w:t>
      </w:r>
      <w:r>
        <w:rPr>
          <w:rFonts w:hint="eastAsia" w:ascii="宋体" w:hAnsi="Times New Roman" w:eastAsia="宋体" w:cs="宋体"/>
          <w:sz w:val="32"/>
          <w:szCs w:val="32"/>
          <w:highlight w:val="white"/>
          <w:lang w:val="zh-CN"/>
        </w:rPr>
        <w:t>。主要原因是机构改革，业务工作任务调整，项目支出减少，财政拨款收入减少</w:t>
      </w:r>
      <w:r>
        <w:rPr>
          <w:rFonts w:hint="eastAsia" w:ascii="宋体" w:hAnsi="Times New Roman" w:eastAsia="宋体" w:cs="宋体"/>
          <w:sz w:val="32"/>
          <w:szCs w:val="32"/>
          <w:highlight w:val="white"/>
        </w:rPr>
        <w:t>。</w:t>
      </w:r>
    </w:p>
    <w:p w14:paraId="318963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rPr>
      </w:pPr>
      <w:r>
        <w:rPr>
          <w:rFonts w:hint="eastAsia" w:hAnsi="黑体"/>
          <w:bCs/>
          <w:color w:val="auto"/>
          <w:sz w:val="32"/>
          <w:szCs w:val="32"/>
        </w:rPr>
        <w:t>二、收入决算情况说明</w:t>
      </w:r>
    </w:p>
    <w:p w14:paraId="19F6C93C">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598.77</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598.77</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0F049301">
      <w:pPr>
        <w:pStyle w:val="14"/>
        <w:keepNext w:val="0"/>
        <w:keepLines w:val="0"/>
        <w:pageBreakBefore w:val="0"/>
        <w:widowControl w:val="0"/>
        <w:kinsoku/>
        <w:wordWrap/>
        <w:overflowPunct/>
        <w:topLinePunct w:val="0"/>
        <w:bidi w:val="0"/>
        <w:snapToGrid/>
        <w:spacing w:line="600" w:lineRule="exact"/>
        <w:ind w:left="420" w:leftChars="200" w:firstLine="160" w:firstLineChars="50"/>
        <w:textAlignment w:val="auto"/>
        <w:rPr>
          <w:rFonts w:hAnsi="黑体"/>
          <w:bCs/>
          <w:color w:val="auto"/>
          <w:sz w:val="32"/>
          <w:szCs w:val="32"/>
        </w:rPr>
      </w:pPr>
      <w:r>
        <w:rPr>
          <w:rFonts w:hint="eastAsia" w:hAnsi="黑体"/>
          <w:bCs/>
          <w:color w:val="auto"/>
          <w:sz w:val="32"/>
          <w:szCs w:val="32"/>
        </w:rPr>
        <w:t>三、支出决算情况说明</w:t>
      </w:r>
    </w:p>
    <w:p w14:paraId="3522A4A0">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598.77</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515.67</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86.12%</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83.1</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13.88%</w:t>
      </w:r>
      <w:r>
        <w:rPr>
          <w:rFonts w:hint="eastAsia" w:ascii="宋体" w:hAnsi="Times New Roman" w:eastAsia="宋体" w:cs="宋体"/>
          <w:sz w:val="32"/>
          <w:szCs w:val="32"/>
          <w:highlight w:val="white"/>
        </w:rPr>
        <w:t>。</w:t>
      </w:r>
    </w:p>
    <w:p w14:paraId="788063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rPr>
      </w:pPr>
      <w:r>
        <w:rPr>
          <w:rFonts w:hint="eastAsia" w:hAnsi="黑体"/>
          <w:bCs/>
          <w:color w:val="auto"/>
          <w:sz w:val="32"/>
          <w:szCs w:val="32"/>
        </w:rPr>
        <w:t>四、财政拨款收入支出决算总体情况说明</w:t>
      </w:r>
    </w:p>
    <w:p w14:paraId="10533EF6">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598.77</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财政拨款收、支总计各减少</w:t>
      </w:r>
      <w:r>
        <w:rPr>
          <w:rFonts w:ascii="宋体" w:hAnsi="Times New Roman" w:eastAsia="宋体" w:cs="宋体"/>
          <w:sz w:val="32"/>
          <w:szCs w:val="32"/>
          <w:highlight w:val="white"/>
        </w:rPr>
        <w:t>392.44</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39.59%</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主要原因是机构改革，业务工作任务调整，项目支出减少，财政拨款收入减少</w:t>
      </w:r>
      <w:r>
        <w:rPr>
          <w:rFonts w:hint="eastAsia" w:ascii="宋体" w:hAnsi="Times New Roman" w:eastAsia="宋体" w:cs="宋体"/>
          <w:sz w:val="32"/>
          <w:szCs w:val="32"/>
          <w:highlight w:val="white"/>
        </w:rPr>
        <w:t>。</w:t>
      </w:r>
    </w:p>
    <w:p w14:paraId="100CE3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rPr>
      </w:pPr>
      <w:r>
        <w:rPr>
          <w:rFonts w:hint="eastAsia" w:hAnsi="黑体"/>
          <w:bCs/>
          <w:color w:val="auto"/>
          <w:sz w:val="32"/>
          <w:szCs w:val="32"/>
        </w:rPr>
        <w:t>五、一般公共预算财政拨款支出决算情况说明</w:t>
      </w:r>
    </w:p>
    <w:p w14:paraId="478D25E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7DB9FEF0">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598.77</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392.44</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39.59%,</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机构改革，业务工作任务调整，项目支出减少，财政拨款收入减少。</w:t>
      </w:r>
    </w:p>
    <w:p w14:paraId="4052F4F5">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7B6B81B8">
      <w:pPr>
        <w:keepNext w:val="0"/>
        <w:keepLines w:val="0"/>
        <w:pageBreakBefore w:val="0"/>
        <w:widowControl w:val="0"/>
        <w:kinsoku/>
        <w:wordWrap/>
        <w:overflowPunct/>
        <w:topLinePunct w:val="0"/>
        <w:autoSpaceDE w:val="0"/>
        <w:autoSpaceDN w:val="0"/>
        <w:bidi w:val="0"/>
        <w:adjustRightInd w:val="0"/>
        <w:snapToGrid/>
        <w:ind w:firstLine="641"/>
        <w:textAlignment w:val="auto"/>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598.77</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596.39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99.6%</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2.38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0.4%</w:t>
      </w:r>
      <w:r>
        <w:rPr>
          <w:rFonts w:hint="eastAsia" w:ascii="宋体" w:hAnsi="Times New Roman" w:eastAsia="宋体" w:cs="宋体"/>
          <w:kern w:val="0"/>
          <w:sz w:val="32"/>
          <w:szCs w:val="32"/>
          <w:highlight w:val="white"/>
        </w:rPr>
        <w:t>。</w:t>
      </w:r>
    </w:p>
    <w:p w14:paraId="57DAE7A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649206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年度财政拨款支出年初预算为</w:t>
      </w:r>
      <w:r>
        <w:rPr>
          <w:rFonts w:ascii="宋体" w:hAnsi="Times New Roman" w:eastAsia="宋体" w:cs="宋体"/>
          <w:color w:val="auto"/>
          <w:sz w:val="32"/>
          <w:szCs w:val="32"/>
          <w:highlight w:val="white"/>
        </w:rPr>
        <w:t>136.12</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598.77</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439.88%</w:t>
      </w:r>
      <w:r>
        <w:rPr>
          <w:rFonts w:hint="eastAsia" w:ascii="宋体" w:hAnsi="Times New Roman" w:eastAsia="宋体" w:cs="宋体"/>
          <w:color w:val="auto"/>
          <w:sz w:val="32"/>
          <w:szCs w:val="32"/>
          <w:highlight w:val="white"/>
        </w:rPr>
        <w:t>。其中：</w:t>
      </w:r>
    </w:p>
    <w:p w14:paraId="0E5110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一般公共服务支出（类）政府办公厅（室）及相关机构事务（款）政务公开审批（项）。年初预算为</w:t>
      </w:r>
      <w:r>
        <w:rPr>
          <w:rFonts w:ascii="宋体" w:hAnsi="Times New Roman" w:eastAsia="宋体" w:cs="宋体"/>
          <w:color w:val="auto"/>
          <w:sz w:val="32"/>
          <w:szCs w:val="32"/>
          <w:highlight w:val="white"/>
        </w:rPr>
        <w:t>136.12</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513.29</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377.09%</w:t>
      </w:r>
      <w:r>
        <w:rPr>
          <w:rFonts w:hint="eastAsia" w:ascii="宋体" w:hAnsi="Times New Roman" w:eastAsia="宋体" w:cs="宋体"/>
          <w:color w:val="auto"/>
          <w:sz w:val="32"/>
          <w:szCs w:val="32"/>
          <w:highlight w:val="white"/>
        </w:rPr>
        <w:t>。决算数大于预算数的主要原因是业务工作任务增加，财政追拨政务公开审批经费。</w:t>
      </w:r>
      <w:r>
        <w:rPr>
          <w:rFonts w:ascii="宋体" w:hAnsi="Times New Roman" w:eastAsia="宋体" w:cs="宋体"/>
          <w:color w:val="auto"/>
          <w:sz w:val="32"/>
          <w:szCs w:val="32"/>
          <w:highlight w:val="white"/>
        </w:rPr>
        <w:t xml:space="preserve">  </w:t>
      </w:r>
    </w:p>
    <w:p w14:paraId="7932D79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一般公共服务支出（类）其他一般公共服务支出（款）其他一般公共服务支出（项）。年初预算为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83.1</w:t>
      </w:r>
      <w:r>
        <w:rPr>
          <w:rFonts w:hint="eastAsia" w:ascii="宋体" w:hAnsi="Times New Roman" w:eastAsia="宋体" w:cs="宋体"/>
          <w:color w:val="auto"/>
          <w:sz w:val="32"/>
          <w:szCs w:val="32"/>
          <w:highlight w:val="white"/>
        </w:rPr>
        <w:t>万元，由于年初预算为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，无法计算百分比。决算数大于预算数的主要原因是业务工作任务增加，财政追拨其他一般公共服务支出经费。</w:t>
      </w:r>
      <w:r>
        <w:rPr>
          <w:rFonts w:ascii="宋体" w:hAnsi="Times New Roman" w:eastAsia="宋体" w:cs="宋体"/>
          <w:color w:val="auto"/>
          <w:sz w:val="32"/>
          <w:szCs w:val="32"/>
          <w:highlight w:val="white"/>
        </w:rPr>
        <w:t xml:space="preserve">  </w:t>
      </w:r>
    </w:p>
    <w:p w14:paraId="520A17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Calibri" w:eastAsia="宋体" w:cs="宋体"/>
          <w:color w:val="auto"/>
          <w:sz w:val="32"/>
          <w:szCs w:val="32"/>
        </w:rPr>
      </w:pPr>
      <w:r>
        <w:rPr>
          <w:rFonts w:hint="eastAsia" w:ascii="宋体" w:hAnsi="Times New Roman" w:eastAsia="宋体" w:cs="宋体"/>
          <w:color w:val="auto"/>
          <w:sz w:val="32"/>
          <w:szCs w:val="32"/>
          <w:highlight w:val="white"/>
        </w:rPr>
        <w:t>社会保障和就业支出（类）就业补助（款）公益性岗位补贴（项）。年初预算为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2.38</w:t>
      </w:r>
      <w:r>
        <w:rPr>
          <w:rFonts w:hint="eastAsia" w:ascii="宋体" w:hAnsi="Times New Roman" w:eastAsia="宋体" w:cs="宋体"/>
          <w:color w:val="auto"/>
          <w:sz w:val="32"/>
          <w:szCs w:val="32"/>
          <w:highlight w:val="white"/>
        </w:rPr>
        <w:t>万元，由于年初预算为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，无法计算百分比。决算数大于预算数的主要原因是业务工作任务增加，财政追拨公益性岗位补贴经费。</w:t>
      </w:r>
      <w:r>
        <w:rPr>
          <w:rFonts w:ascii="宋体" w:hAnsi="Calibri" w:eastAsia="宋体" w:cs="宋体"/>
          <w:color w:val="auto"/>
          <w:sz w:val="32"/>
          <w:szCs w:val="32"/>
        </w:rPr>
        <w:t xml:space="preserve">  </w:t>
      </w:r>
    </w:p>
    <w:p w14:paraId="091DAD5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rPr>
      </w:pPr>
      <w:r>
        <w:rPr>
          <w:rFonts w:hint="eastAsia" w:hAnsi="黑体"/>
          <w:bCs/>
          <w:color w:val="auto"/>
          <w:sz w:val="32"/>
          <w:szCs w:val="32"/>
        </w:rPr>
        <w:t>六、一般公共预算财政拨款基本支出决算情况说明</w:t>
      </w:r>
    </w:p>
    <w:p w14:paraId="182853C9">
      <w:pPr>
        <w:keepNext w:val="0"/>
        <w:keepLines w:val="0"/>
        <w:pageBreakBefore w:val="0"/>
        <w:widowControl w:val="0"/>
        <w:kinsoku/>
        <w:wordWrap/>
        <w:overflowPunct/>
        <w:topLinePunct w:val="0"/>
        <w:autoSpaceDE w:val="0"/>
        <w:autoSpaceDN w:val="0"/>
        <w:bidi w:val="0"/>
        <w:adjustRightInd w:val="0"/>
        <w:snapToGrid/>
        <w:ind w:firstLine="640"/>
        <w:jc w:val="left"/>
        <w:textAlignment w:val="auto"/>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515.67</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5CCD5408">
      <w:pPr>
        <w:keepNext w:val="0"/>
        <w:keepLines w:val="0"/>
        <w:pageBreakBefore w:val="0"/>
        <w:widowControl w:val="0"/>
        <w:kinsoku/>
        <w:wordWrap/>
        <w:overflowPunct/>
        <w:topLinePunct w:val="0"/>
        <w:autoSpaceDE w:val="0"/>
        <w:autoSpaceDN w:val="0"/>
        <w:bidi w:val="0"/>
        <w:adjustRightInd w:val="0"/>
        <w:snapToGrid/>
        <w:ind w:firstLine="643"/>
        <w:jc w:val="left"/>
        <w:textAlignment w:val="auto"/>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121</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23.46%</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22A7C7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394.67</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76.54%</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810D2A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213CE8A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27FD8F0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2023年度“三公”经费财政拨款支出预算为0.6万元，支出决算为0.57万元,完成预算的95%，决算数小于预算数的主要原因是认真贯彻落实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精神和厉行节约要求，从严控制“三公”经费开支，全年实际支出比预算有所节约。与上年相比减少0.13万元，下降18.91%,减少主要原因是认真贯彻落实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精神和厉行节约要求，从严控制“三公”经费开支，全年实际支出比预算有所节约。其中：</w:t>
      </w:r>
    </w:p>
    <w:p w14:paraId="7920E7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因公出国（境）费支出预算为0万元，支出决算为0万元，由于预算为0，无法计算百分比，与上年相比减少0万元，减少0%。   </w:t>
      </w:r>
    </w:p>
    <w:p w14:paraId="44F4B63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Times New Roman" w:eastAsia="宋体" w:cs="宋体"/>
          <w:color w:val="auto"/>
          <w:sz w:val="32"/>
          <w:szCs w:val="32"/>
        </w:rPr>
      </w:pPr>
      <w:r>
        <w:rPr>
          <w:rFonts w:hint="eastAsia" w:ascii="宋体" w:hAnsi="Times New Roman" w:eastAsia="宋体" w:cs="宋体"/>
          <w:color w:val="auto"/>
          <w:sz w:val="32"/>
          <w:szCs w:val="32"/>
        </w:rPr>
        <w:t>公务接待费支出预算为0.6万元，支出决算为0.57万元,完成预算的95%,决算数小于预算数的主要原因是认真贯彻落实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精神和厉行节约要求，从严控制“三公”经费开支，全年实际支出比预算有所节约。与上年相比减少0.13万元，下降18.91%,减少主要原因是认真贯彻落实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w:t>
      </w:r>
    </w:p>
    <w:p w14:paraId="6C9E8D5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公务用车购置费支出预算为0万元，支出决算为0万元，由于预算为0，无法计算百分比，与上年相比减少0万元，减少0%。   </w:t>
      </w:r>
    </w:p>
    <w:p w14:paraId="2C2DD97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6D7AA44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14BE4755">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0.57</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100%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2368FE2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0B832FD8">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、公务接待费支出决算为</w:t>
      </w:r>
      <w:r>
        <w:rPr>
          <w:rFonts w:ascii="宋体" w:hAnsi="Times New Roman" w:eastAsia="宋体" w:cs="宋体"/>
          <w:kern w:val="0"/>
          <w:sz w:val="32"/>
          <w:szCs w:val="32"/>
          <w:lang w:val="zh-CN"/>
        </w:rPr>
        <w:t>0.57</w:t>
      </w:r>
      <w:r>
        <w:rPr>
          <w:rFonts w:hint="eastAsia" w:ascii="宋体" w:hAnsi="Times New Roman" w:eastAsia="宋体" w:cs="宋体"/>
          <w:kern w:val="0"/>
          <w:sz w:val="32"/>
          <w:szCs w:val="32"/>
          <w:lang w:val="zh-CN"/>
        </w:rPr>
        <w:t>万元，其中：其他国内公务接待支出</w:t>
      </w:r>
      <w:r>
        <w:rPr>
          <w:rFonts w:ascii="宋体" w:hAnsi="Times New Roman" w:eastAsia="宋体" w:cs="宋体"/>
          <w:kern w:val="0"/>
          <w:sz w:val="32"/>
          <w:szCs w:val="32"/>
          <w:lang w:val="zh-CN"/>
        </w:rPr>
        <w:t>0.57</w:t>
      </w:r>
      <w:r>
        <w:rPr>
          <w:rFonts w:hint="eastAsia" w:ascii="宋体" w:hAnsi="Times New Roman" w:eastAsia="宋体" w:cs="宋体"/>
          <w:kern w:val="0"/>
          <w:sz w:val="32"/>
          <w:szCs w:val="32"/>
          <w:lang w:val="zh-CN"/>
        </w:rPr>
        <w:t>万元</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全年共接待来访团组</w:t>
      </w:r>
      <w:r>
        <w:rPr>
          <w:rFonts w:ascii="宋体" w:hAnsi="Times New Roman" w:eastAsia="宋体" w:cs="宋体"/>
          <w:kern w:val="0"/>
          <w:sz w:val="32"/>
          <w:szCs w:val="32"/>
          <w:lang w:val="zh-CN"/>
        </w:rPr>
        <w:t>6</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43</w:t>
      </w:r>
      <w:r>
        <w:rPr>
          <w:rFonts w:hint="eastAsia" w:ascii="宋体" w:hAnsi="Times New Roman" w:eastAsia="宋体" w:cs="宋体"/>
          <w:kern w:val="0"/>
          <w:sz w:val="32"/>
          <w:szCs w:val="32"/>
          <w:lang w:val="zh-CN"/>
        </w:rPr>
        <w:t>人次（不包括陪同人员）。主要用于与有关单位交流工作情况及接受相关部门检查指导工作发生的接待支出。</w:t>
      </w:r>
    </w:p>
    <w:p w14:paraId="445C4C6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667DD4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rPr>
      </w:pPr>
      <w:r>
        <w:rPr>
          <w:rFonts w:hint="eastAsia" w:hAnsi="黑体"/>
          <w:bCs/>
          <w:color w:val="auto"/>
          <w:sz w:val="32"/>
          <w:szCs w:val="32"/>
        </w:rPr>
        <w:t>八、政府性基金预算收入支出决算情况</w:t>
      </w:r>
    </w:p>
    <w:p w14:paraId="644C027A">
      <w:pPr>
        <w:pStyle w:val="14"/>
        <w:keepNext w:val="0"/>
        <w:keepLines w:val="0"/>
        <w:pageBreakBefore w:val="0"/>
        <w:widowControl w:val="0"/>
        <w:kinsoku/>
        <w:wordWrap/>
        <w:overflowPunct/>
        <w:topLinePunct w:val="0"/>
        <w:bidi w:val="0"/>
        <w:snapToGrid/>
        <w:spacing w:line="600" w:lineRule="exact"/>
        <w:ind w:firstLine="630"/>
        <w:textAlignment w:val="auto"/>
        <w:rPr>
          <w:rFonts w:ascii="宋体" w:hAnsi="Times New Roman" w:eastAsia="宋体" w:cs="宋体"/>
          <w:color w:val="auto"/>
          <w:sz w:val="32"/>
          <w:szCs w:val="32"/>
          <w:lang w:val="zh-CN"/>
        </w:rPr>
      </w:pPr>
      <w:r>
        <w:rPr>
          <w:rFonts w:ascii="宋体" w:hAnsi="Times New Roman" w:eastAsia="宋体" w:cs="宋体"/>
          <w:color w:val="auto"/>
          <w:sz w:val="32"/>
          <w:szCs w:val="32"/>
          <w:highlight w:val="white"/>
          <w:lang w:val="zh-CN"/>
        </w:rPr>
        <w:t>2023</w:t>
      </w:r>
      <w:r>
        <w:rPr>
          <w:rFonts w:hint="eastAsia" w:ascii="宋体" w:hAnsi="Times New Roman" w:eastAsia="宋体" w:cs="宋体"/>
          <w:color w:val="auto"/>
          <w:sz w:val="32"/>
          <w:szCs w:val="32"/>
          <w:highlight w:val="white"/>
          <w:lang w:val="zh-CN"/>
        </w:rPr>
        <w:t>年本单位没有使用政府性基金预算财政拨款安排的收支。</w:t>
      </w:r>
    </w:p>
    <w:p w14:paraId="580B88A6">
      <w:pPr>
        <w:pStyle w:val="14"/>
        <w:keepNext w:val="0"/>
        <w:keepLines w:val="0"/>
        <w:pageBreakBefore w:val="0"/>
        <w:widowControl w:val="0"/>
        <w:kinsoku/>
        <w:wordWrap/>
        <w:overflowPunct/>
        <w:topLinePunct w:val="0"/>
        <w:bidi w:val="0"/>
        <w:snapToGrid/>
        <w:spacing w:line="600" w:lineRule="exact"/>
        <w:ind w:firstLine="63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B23508A">
      <w:pPr>
        <w:keepNext w:val="0"/>
        <w:keepLines w:val="0"/>
        <w:pageBreakBefore w:val="0"/>
        <w:widowControl w:val="0"/>
        <w:kinsoku/>
        <w:wordWrap/>
        <w:overflowPunct/>
        <w:topLinePunct w:val="0"/>
        <w:autoSpaceDE w:val="0"/>
        <w:autoSpaceDN w:val="0"/>
        <w:bidi w:val="0"/>
        <w:adjustRightInd w:val="0"/>
        <w:snapToGrid/>
        <w:ind w:firstLine="640"/>
        <w:textAlignment w:val="auto"/>
        <w:rPr>
          <w:rFonts w:hint="eastAsia" w:ascii="宋体" w:hAnsi="Times New Roman" w:eastAsia="宋体" w:cs="宋体"/>
          <w:kern w:val="0"/>
          <w:sz w:val="32"/>
          <w:szCs w:val="32"/>
          <w:lang w:val="zh-CN"/>
        </w:rPr>
      </w:pPr>
      <w:r>
        <w:rPr>
          <w:rFonts w:hint="eastAsia" w:ascii="宋体" w:hAnsi="Times New Roman" w:eastAsia="宋体" w:cs="宋体"/>
          <w:sz w:val="32"/>
          <w:szCs w:val="32"/>
          <w:highlight w:val="white"/>
        </w:rPr>
        <w:t>本单位不属于行政单位和参照公务员法管理事业单位，无机关运行经费支出</w:t>
      </w:r>
      <w:r>
        <w:rPr>
          <w:rFonts w:hint="eastAsia" w:ascii="宋体" w:hAnsi="Times New Roman" w:eastAsia="宋体" w:cs="宋体"/>
          <w:kern w:val="0"/>
          <w:sz w:val="32"/>
          <w:szCs w:val="32"/>
          <w:lang w:val="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十、国有资本经营预算财政拨款支出决算情况</w:t>
      </w:r>
    </w:p>
    <w:p w14:paraId="75B34697">
      <w:pPr>
        <w:pStyle w:val="2"/>
        <w:rPr>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75FB33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066E8A7E">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万元；开支培训费</w:t>
      </w:r>
      <w:r>
        <w:rPr>
          <w:rFonts w:ascii="宋体" w:hAnsi="Times New Roman" w:eastAsia="宋体" w:cs="宋体"/>
          <w:kern w:val="0"/>
          <w:sz w:val="32"/>
          <w:szCs w:val="32"/>
          <w:highlight w:val="white"/>
        </w:rPr>
        <w:t>0.4</w:t>
      </w:r>
      <w:r>
        <w:rPr>
          <w:rFonts w:hint="eastAsia" w:ascii="宋体" w:hAnsi="Times New Roman" w:eastAsia="宋体" w:cs="宋体"/>
          <w:kern w:val="0"/>
          <w:sz w:val="32"/>
          <w:szCs w:val="32"/>
          <w:highlight w:val="white"/>
        </w:rPr>
        <w:t>万元，用于开展知识技能培训，人数</w:t>
      </w:r>
      <w:r>
        <w:rPr>
          <w:rFonts w:ascii="宋体" w:hAnsi="Times New Roman" w:eastAsia="宋体" w:cs="宋体"/>
          <w:kern w:val="0"/>
          <w:sz w:val="32"/>
          <w:szCs w:val="32"/>
          <w:highlight w:val="white"/>
        </w:rPr>
        <w:t>20</w:t>
      </w:r>
      <w:r>
        <w:rPr>
          <w:rFonts w:hint="eastAsia" w:ascii="宋体" w:hAnsi="Times New Roman" w:eastAsia="宋体" w:cs="宋体"/>
          <w:kern w:val="0"/>
          <w:sz w:val="32"/>
          <w:szCs w:val="32"/>
          <w:highlight w:val="white"/>
        </w:rPr>
        <w:t>人，内容为继续教育、行政审批等知识技能培训；</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6A7FAB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0C6710DE">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ascii="宋体" w:hAnsi="Times New Roman" w:eastAsia="宋体" w:cs="宋体"/>
          <w:color w:val="auto"/>
          <w:sz w:val="32"/>
          <w:szCs w:val="32"/>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年度政府采购支出总额</w:t>
      </w:r>
      <w:r>
        <w:rPr>
          <w:rFonts w:ascii="宋体" w:hAnsi="Times New Roman" w:eastAsia="宋体" w:cs="宋体"/>
          <w:color w:val="auto"/>
          <w:sz w:val="32"/>
          <w:szCs w:val="32"/>
          <w:highlight w:val="white"/>
        </w:rPr>
        <w:t>124.9</w:t>
      </w:r>
      <w:r>
        <w:rPr>
          <w:rFonts w:hint="eastAsia" w:ascii="宋体" w:hAnsi="Times New Roman" w:eastAsia="宋体" w:cs="宋体"/>
          <w:color w:val="auto"/>
          <w:sz w:val="32"/>
          <w:szCs w:val="32"/>
          <w:highlight w:val="white"/>
        </w:rPr>
        <w:t>万元，其中：政府采购货物支出</w:t>
      </w:r>
      <w:r>
        <w:rPr>
          <w:rFonts w:ascii="宋体" w:hAnsi="Times New Roman" w:eastAsia="宋体" w:cs="宋体"/>
          <w:color w:val="auto"/>
          <w:sz w:val="32"/>
          <w:szCs w:val="32"/>
          <w:highlight w:val="white"/>
        </w:rPr>
        <w:t>35.34</w:t>
      </w:r>
      <w:r>
        <w:rPr>
          <w:rFonts w:hint="eastAsia" w:ascii="宋体" w:hAnsi="Times New Roman" w:eastAsia="宋体" w:cs="宋体"/>
          <w:color w:val="auto"/>
          <w:sz w:val="32"/>
          <w:szCs w:val="32"/>
          <w:highlight w:val="white"/>
        </w:rPr>
        <w:t>万元；政府采购工程支出</w:t>
      </w:r>
      <w:r>
        <w:rPr>
          <w:rFonts w:ascii="宋体" w:hAnsi="Times New Roman" w:eastAsia="宋体" w:cs="宋体"/>
          <w:color w:val="auto"/>
          <w:sz w:val="32"/>
          <w:szCs w:val="32"/>
          <w:highlight w:val="white"/>
        </w:rPr>
        <w:t>11.26</w:t>
      </w:r>
      <w:r>
        <w:rPr>
          <w:rFonts w:hint="eastAsia" w:ascii="宋体" w:hAnsi="Times New Roman" w:eastAsia="宋体" w:cs="宋体"/>
          <w:color w:val="auto"/>
          <w:sz w:val="32"/>
          <w:szCs w:val="32"/>
          <w:highlight w:val="white"/>
        </w:rPr>
        <w:t>万元；政府采购服务支出</w:t>
      </w:r>
      <w:r>
        <w:rPr>
          <w:rFonts w:ascii="宋体" w:hAnsi="Times New Roman" w:eastAsia="宋体" w:cs="宋体"/>
          <w:color w:val="auto"/>
          <w:sz w:val="32"/>
          <w:szCs w:val="32"/>
          <w:highlight w:val="white"/>
        </w:rPr>
        <w:t>78.3</w:t>
      </w:r>
      <w:r>
        <w:rPr>
          <w:rFonts w:hint="eastAsia" w:ascii="宋体" w:hAnsi="Times New Roman" w:eastAsia="宋体" w:cs="宋体"/>
          <w:color w:val="auto"/>
          <w:sz w:val="32"/>
          <w:szCs w:val="32"/>
          <w:highlight w:val="white"/>
        </w:rPr>
        <w:t>万元。授予中小企业合同金额</w:t>
      </w:r>
      <w:r>
        <w:rPr>
          <w:rFonts w:ascii="宋体" w:hAnsi="Times New Roman" w:eastAsia="宋体" w:cs="宋体"/>
          <w:color w:val="auto"/>
          <w:sz w:val="32"/>
          <w:szCs w:val="32"/>
          <w:highlight w:val="white"/>
        </w:rPr>
        <w:t>108.2</w:t>
      </w:r>
      <w:r>
        <w:rPr>
          <w:rFonts w:hint="eastAsia" w:ascii="宋体" w:hAnsi="Times New Roman" w:eastAsia="宋体" w:cs="宋体"/>
          <w:color w:val="auto"/>
          <w:sz w:val="32"/>
          <w:szCs w:val="32"/>
          <w:highlight w:val="white"/>
        </w:rPr>
        <w:t>万元，占政府采购支出总额的</w:t>
      </w:r>
      <w:r>
        <w:rPr>
          <w:rFonts w:ascii="宋体" w:hAnsi="Times New Roman" w:eastAsia="宋体" w:cs="宋体"/>
          <w:color w:val="auto"/>
          <w:sz w:val="32"/>
          <w:szCs w:val="32"/>
          <w:highlight w:val="white"/>
        </w:rPr>
        <w:t>86.63%</w:t>
      </w:r>
      <w:r>
        <w:rPr>
          <w:rFonts w:hint="eastAsia" w:ascii="宋体" w:hAnsi="Times New Roman" w:eastAsia="宋体" w:cs="宋体"/>
          <w:color w:val="auto"/>
          <w:sz w:val="32"/>
          <w:szCs w:val="32"/>
          <w:highlight w:val="white"/>
        </w:rPr>
        <w:t>。其中：授予小微企业合同金额</w:t>
      </w:r>
      <w:r>
        <w:rPr>
          <w:rFonts w:ascii="宋体" w:hAnsi="Times New Roman" w:eastAsia="宋体" w:cs="宋体"/>
          <w:color w:val="auto"/>
          <w:sz w:val="32"/>
          <w:szCs w:val="32"/>
          <w:highlight w:val="white"/>
        </w:rPr>
        <w:t>105.25</w:t>
      </w:r>
      <w:r>
        <w:rPr>
          <w:rFonts w:hint="eastAsia" w:ascii="宋体" w:hAnsi="Times New Roman" w:eastAsia="宋体" w:cs="宋体"/>
          <w:color w:val="auto"/>
          <w:sz w:val="32"/>
          <w:szCs w:val="32"/>
          <w:highlight w:val="white"/>
        </w:rPr>
        <w:t>万元，占授予中小企业合同金额的</w:t>
      </w:r>
      <w:r>
        <w:rPr>
          <w:rFonts w:ascii="宋体" w:hAnsi="Times New Roman" w:eastAsia="宋体" w:cs="宋体"/>
          <w:color w:val="auto"/>
          <w:sz w:val="32"/>
          <w:szCs w:val="32"/>
          <w:highlight w:val="white"/>
        </w:rPr>
        <w:t>97.27%</w:t>
      </w:r>
      <w:r>
        <w:rPr>
          <w:rFonts w:hint="eastAsia" w:ascii="宋体" w:hAnsi="Times New Roman" w:eastAsia="宋体" w:cs="宋体"/>
          <w:color w:val="auto"/>
          <w:sz w:val="32"/>
          <w:szCs w:val="32"/>
          <w:highlight w:val="white"/>
        </w:rPr>
        <w:t>。货物采购授予中小企业合同金额占货物支出金额的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。工程采购授予中小企业合同金额占工程支出金额的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。服务采购授予中小企业合同金额占服务支出金额的</w:t>
      </w:r>
      <w:r>
        <w:rPr>
          <w:rFonts w:ascii="宋体" w:hAnsi="Times New Roman" w:eastAsia="宋体" w:cs="宋体"/>
          <w:color w:val="auto"/>
          <w:sz w:val="32"/>
          <w:szCs w:val="32"/>
          <w:highlight w:val="white"/>
        </w:rPr>
        <w:t>78.67%</w:t>
      </w:r>
      <w:r>
        <w:rPr>
          <w:rFonts w:hint="eastAsia" w:ascii="宋体" w:hAnsi="Times New Roman" w:eastAsia="宋体" w:cs="宋体"/>
          <w:color w:val="auto"/>
          <w:sz w:val="32"/>
          <w:szCs w:val="32"/>
          <w:highlight w:val="white"/>
        </w:rPr>
        <w:t>。</w:t>
      </w:r>
    </w:p>
    <w:p w14:paraId="5EA2A536">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1E4C36AB">
      <w:pPr>
        <w:keepNext w:val="0"/>
        <w:keepLines w:val="0"/>
        <w:pageBreakBefore w:val="0"/>
        <w:widowControl w:val="0"/>
        <w:kinsoku/>
        <w:wordWrap/>
        <w:overflowPunct/>
        <w:topLinePunct w:val="0"/>
        <w:autoSpaceDE w:val="0"/>
        <w:autoSpaceDN w:val="0"/>
        <w:bidi w:val="0"/>
        <w:adjustRightInd w:val="0"/>
        <w:snapToGrid/>
        <w:ind w:firstLine="641"/>
        <w:textAlignment w:val="auto"/>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0C19D1D8">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09CADB86">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21F9CEA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1F7C63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部门开展整体支出绩效评价，涉及一般公共预算支出598.77万元，政府性基金预算支出0万元，国有资本经营预算支出0万元, 合计598.77万元，其中：基本支出515.67万元，占86.12%；项目支出83.1万元，占13.88%。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761EBFB8">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491535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775B98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5ECF6F60">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42DEF7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一是进一步加强厉行节约机制，提高单位三保支出的保障能力。</w:t>
      </w:r>
    </w:p>
    <w:p w14:paraId="2581993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二是预算编制与实际支出项目有的存在差异，有待进一步优化预算，提高预算编制的准确性。</w:t>
      </w:r>
    </w:p>
    <w:p w14:paraId="0298BCBB">
      <w:pPr>
        <w:pStyle w:val="14"/>
        <w:keepNext w:val="0"/>
        <w:keepLines w:val="0"/>
        <w:pageBreakBefore w:val="0"/>
        <w:widowControl w:val="0"/>
        <w:kinsoku/>
        <w:wordWrap/>
        <w:overflowPunct/>
        <w:topLinePunct w:val="0"/>
        <w:bidi w:val="0"/>
        <w:snapToGrid/>
        <w:jc w:val="both"/>
        <w:textAlignment w:val="auto"/>
        <w:rPr>
          <w:color w:val="auto"/>
          <w:sz w:val="72"/>
          <w:szCs w:val="72"/>
        </w:rPr>
      </w:pPr>
    </w:p>
    <w:p w14:paraId="5B834AC3">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294217DC">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34FB38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财政拨款收入：指本级财政当年拨付的资金。</w:t>
      </w:r>
    </w:p>
    <w:p w14:paraId="59EE68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F445FC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基本支出：指保障机构正常运转、完成支日常工作任务而发生的人员支出和公用支出。</w:t>
      </w:r>
    </w:p>
    <w:p w14:paraId="118E6F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工资福利支出：反映单位开支的在职职工和编制外长期聘用人员的各类劳动报酬，以及为上述人员缴纳的各项社会保险费等。</w:t>
      </w:r>
    </w:p>
    <w:p w14:paraId="191519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见习期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326C88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津贴补贴：反映经国家批准建立的机关事业单位艰苦边远地区津贴、机关工作人员地区附加津贴、机关工作人员岗位津贴、事业单位工作人员特殊岗位津贴补贴等。</w:t>
      </w:r>
    </w:p>
    <w:p w14:paraId="0A7DC8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奖金：反映机关工作人员年终一次性奖金。</w:t>
      </w:r>
    </w:p>
    <w:p w14:paraId="6C0E8E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机关事业单位基本养老保险缴费：反映机关事业单位缴纳的基本养老保险费。由单位代扣的工作人员基本养老保险缴费，不在此科目反映。</w:t>
      </w:r>
    </w:p>
    <w:p w14:paraId="104A25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职工基本医疗保险缴费：反映单位为职工缴纳的基本医疗保险费。</w:t>
      </w:r>
    </w:p>
    <w:p w14:paraId="347ABCE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其他社会保障缴费：反映单位为职工缴纳的基本医疗、失业、工伤、生育等社会保险费，残疾人就业保障金，军队（含武警）为军人缴纳的伤亡、退役医疗等社会保险费。</w:t>
      </w:r>
    </w:p>
    <w:p w14:paraId="744416B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住房公积金：反映行政事业单位按人力资源和社会保障部、财政部规定的基本工资和津贴补贴以及规定比例为职工缴纳的住房公积金。</w:t>
      </w:r>
    </w:p>
    <w:p w14:paraId="446036B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商品和服务支出：反映单位购买商品和服务的支出（不包括用于购置固定资产的支出、战略性和应急储备支出）。</w:t>
      </w:r>
    </w:p>
    <w:p w14:paraId="5DE7F12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办公费：反映单位购买按财务会计制度规定不符合固定资产确认标准的日常办公用品、书报杂志等支出。</w:t>
      </w:r>
    </w:p>
    <w:p w14:paraId="6E6F1C0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印刷费：反映单位的印刷费支出。</w:t>
      </w:r>
    </w:p>
    <w:p w14:paraId="66E9CCD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水费：反映单位支付的水费、污水处理费等支出。</w:t>
      </w:r>
    </w:p>
    <w:p w14:paraId="565E1C1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电费：反映单位的电费支出。</w:t>
      </w:r>
    </w:p>
    <w:p w14:paraId="0D8B4E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邮电费：反映单位开支的信函、包裹、货物等物品的邮寄费及电话费、电报费、传真费、网络通讯费等。</w:t>
      </w:r>
    </w:p>
    <w:p w14:paraId="5956F7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差旅费：反映单位工作人员出差发生的城市间交通费、住宿费、伙食补贴费和市内交通费。</w:t>
      </w:r>
    </w:p>
    <w:p w14:paraId="264223A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维修</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护</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费：反映单位日常开支的固定资产（不包括车船等交通工具）修理和维护费用，网络信息系统运行与维护费用，以及按规定提取的修购基金。</w:t>
      </w:r>
    </w:p>
    <w:p w14:paraId="2EADFEA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培训费：反映除因公出国（境）培训费以外的各类培训支出。</w:t>
      </w:r>
    </w:p>
    <w:p w14:paraId="503AA2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劳务费：反映支付给单位和个人的劳务费用，如临时聘用人员、钟点工工资，稿费、翻译费，评审费等。</w:t>
      </w:r>
    </w:p>
    <w:p w14:paraId="5EA74B4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委托业务费：反映因委托外单位办理业务而支付的委托业务费。</w:t>
      </w:r>
    </w:p>
    <w:p w14:paraId="2892271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工会经费：反映单位按规定提取的工会经费。</w:t>
      </w:r>
    </w:p>
    <w:p w14:paraId="564E3C1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福利费：反映单位按规定提取的福利费。</w:t>
      </w:r>
    </w:p>
    <w:p w14:paraId="55C477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其他交通费用：反映单位除公务用车运行维护费以外的其他交通费用。如公务交通补贴，租车费用、出租车费用，飞机、船舶等的燃料费、维修费、保险费等。</w:t>
      </w:r>
    </w:p>
    <w:p w14:paraId="45B17FF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其他商品和服务支出：反映上述科目未包括的日常公用支出。如行政赔偿费和诉讼费、国内组织的会员费、来访费、广告宣传、其他劳务费及离休人员特需费、公用经费等。</w:t>
      </w:r>
    </w:p>
    <w:p w14:paraId="77C2413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对个人和家庭的补助：反映政府用于对个人和家庭的补助支出。</w:t>
      </w:r>
    </w:p>
    <w:p w14:paraId="446C43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奖励金：反映政府各部门的奖励支出，如对个体私营经济的奖励、计划生育目标责任奖励、独生子女父母奖励等。</w:t>
      </w:r>
    </w:p>
    <w:p w14:paraId="32B7F78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办公设备购置：反映用于购置并按财务会计制度规定纳入固定资产核算范围的办公家具和办公设备的支出，以及按规定提取的修购基金。</w:t>
      </w:r>
    </w:p>
    <w:p w14:paraId="5A7C8F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506B5EE4">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p>
    <w:p w14:paraId="5BDC9632">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1FF8F5E8">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09D6212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年度华容县政务服务中心部门决算公开表格</w:t>
      </w:r>
    </w:p>
    <w:p w14:paraId="1AFD24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年度华容县政务服务中心整体支出绩效自评报告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3273"/>
    <w:rsid w:val="003130C4"/>
    <w:rsid w:val="00316C4B"/>
    <w:rsid w:val="0032192B"/>
    <w:rsid w:val="003479BD"/>
    <w:rsid w:val="0037197D"/>
    <w:rsid w:val="003768D5"/>
    <w:rsid w:val="003926B9"/>
    <w:rsid w:val="003A49C5"/>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A48AD"/>
    <w:rsid w:val="007C4539"/>
    <w:rsid w:val="007F3657"/>
    <w:rsid w:val="00812ED5"/>
    <w:rsid w:val="008277D9"/>
    <w:rsid w:val="0084478C"/>
    <w:rsid w:val="0086638C"/>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09432E"/>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6078</Words>
  <Characters>6467</Characters>
  <Lines>47</Lines>
  <Paragraphs>13</Paragraphs>
  <TotalTime>0</TotalTime>
  <ScaleCrop>false</ScaleCrop>
  <LinksUpToDate>false</LinksUpToDate>
  <CharactersWithSpaces>6494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2025-11-11T12:53:49Z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