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E175F">
      <w:pPr>
        <w:pStyle w:val="13"/>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202</w:t>
      </w:r>
      <w:r>
        <w:rPr>
          <w:rFonts w:hint="eastAsia" w:asciiTheme="majorEastAsia" w:hAnsiTheme="majorEastAsia" w:eastAsiaTheme="majorEastAsia" w:cstheme="majorEastAsia"/>
          <w:b/>
          <w:bCs/>
          <w:sz w:val="44"/>
          <w:szCs w:val="44"/>
          <w:lang w:val="en-US" w:eastAsia="zh-CN"/>
        </w:rPr>
        <w:t>3</w:t>
      </w:r>
      <w:r>
        <w:rPr>
          <w:rFonts w:hint="eastAsia" w:asciiTheme="majorEastAsia" w:hAnsiTheme="majorEastAsia" w:eastAsiaTheme="majorEastAsia" w:cstheme="majorEastAsia"/>
          <w:b/>
          <w:bCs/>
          <w:sz w:val="44"/>
          <w:szCs w:val="44"/>
        </w:rPr>
        <w:t>年度</w:t>
      </w:r>
    </w:p>
    <w:p w14:paraId="5B884B7C">
      <w:pPr>
        <w:pStyle w:val="13"/>
        <w:jc w:val="center"/>
        <w:rPr>
          <w:rFonts w:hint="eastAsia" w:ascii="方正小标宋_GBK" w:hAnsi="方正小标宋_GBK" w:eastAsia="方正小标宋_GBK" w:cs="方正小标宋_GBK"/>
          <w:sz w:val="84"/>
          <w:szCs w:val="84"/>
        </w:rPr>
      </w:pPr>
      <w:r>
        <w:rPr>
          <w:rFonts w:hint="eastAsia" w:asciiTheme="majorEastAsia" w:hAnsiTheme="majorEastAsia" w:eastAsiaTheme="majorEastAsia" w:cstheme="majorEastAsia"/>
          <w:b/>
          <w:bCs/>
          <w:sz w:val="44"/>
          <w:szCs w:val="44"/>
          <w:lang w:eastAsia="zh-CN"/>
        </w:rPr>
        <w:t>华容县审计局</w:t>
      </w:r>
      <w:r>
        <w:rPr>
          <w:rFonts w:hint="eastAsia" w:asciiTheme="majorEastAsia" w:hAnsiTheme="majorEastAsia" w:eastAsiaTheme="majorEastAsia" w:cstheme="majorEastAsia"/>
          <w:b/>
          <w:bCs/>
          <w:sz w:val="44"/>
          <w:szCs w:val="44"/>
        </w:rPr>
        <w:t>部门决算</w:t>
      </w:r>
    </w:p>
    <w:p w14:paraId="6BD7C5EA">
      <w:pPr>
        <w:pStyle w:val="13"/>
        <w:spacing w:line="500" w:lineRule="exact"/>
        <w:jc w:val="both"/>
        <w:rPr>
          <w:b/>
          <w:sz w:val="36"/>
          <w:szCs w:val="28"/>
        </w:rPr>
      </w:pPr>
    </w:p>
    <w:p w14:paraId="230DB48B">
      <w:pPr>
        <w:pStyle w:val="13"/>
        <w:spacing w:line="500" w:lineRule="exact"/>
        <w:jc w:val="center"/>
        <w:rPr>
          <w:rFonts w:hint="eastAsia"/>
          <w:b w:val="0"/>
          <w:bCs/>
          <w:sz w:val="36"/>
          <w:szCs w:val="28"/>
        </w:rPr>
      </w:pPr>
      <w:r>
        <w:rPr>
          <w:rFonts w:hint="eastAsia"/>
          <w:b w:val="0"/>
          <w:bCs/>
          <w:sz w:val="36"/>
          <w:szCs w:val="28"/>
        </w:rPr>
        <w:t>目</w:t>
      </w:r>
      <w:r>
        <w:rPr>
          <w:rFonts w:hint="eastAsia"/>
          <w:b w:val="0"/>
          <w:bCs/>
          <w:sz w:val="36"/>
          <w:szCs w:val="28"/>
          <w:lang w:val="en-US" w:eastAsia="zh-CN"/>
        </w:rPr>
        <w:t xml:space="preserve">  </w:t>
      </w:r>
      <w:r>
        <w:rPr>
          <w:rFonts w:hint="eastAsia"/>
          <w:b w:val="0"/>
          <w:bCs/>
          <w:sz w:val="36"/>
          <w:szCs w:val="28"/>
        </w:rPr>
        <w:t>录</w:t>
      </w:r>
    </w:p>
    <w:p w14:paraId="68E7F137">
      <w:pPr>
        <w:pStyle w:val="13"/>
        <w:spacing w:line="500" w:lineRule="exact"/>
        <w:jc w:val="center"/>
        <w:rPr>
          <w:rFonts w:hint="eastAsia"/>
          <w:b w:val="0"/>
          <w:bCs/>
          <w:sz w:val="36"/>
          <w:szCs w:val="28"/>
        </w:rPr>
      </w:pPr>
    </w:p>
    <w:p w14:paraId="73CBC439">
      <w:pPr>
        <w:pStyle w:val="13"/>
        <w:pageBreakBefore w:val="0"/>
        <w:kinsoku/>
        <w:wordWrap/>
        <w:overflowPunct/>
        <w:topLinePunct w:val="0"/>
        <w:bidi w:val="0"/>
        <w:spacing w:line="600" w:lineRule="exact"/>
        <w:ind w:firstLine="640"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第一部分</w:t>
      </w:r>
      <w:r>
        <w:rPr>
          <w:rFonts w:hint="eastAsia" w:ascii="仿宋" w:hAnsi="仿宋" w:eastAsia="仿宋" w:cs="仿宋"/>
          <w:b/>
          <w:bCs w:val="0"/>
          <w:sz w:val="32"/>
          <w:szCs w:val="32"/>
          <w:lang w:val="en-US" w:eastAsia="zh-CN"/>
        </w:rPr>
        <w:t xml:space="preserve"> 华容县审计局</w:t>
      </w:r>
      <w:r>
        <w:rPr>
          <w:rFonts w:hint="eastAsia" w:ascii="仿宋" w:hAnsi="仿宋" w:eastAsia="仿宋" w:cs="仿宋"/>
          <w:b/>
          <w:bCs w:val="0"/>
          <w:sz w:val="32"/>
          <w:szCs w:val="32"/>
        </w:rPr>
        <w:t>概况</w:t>
      </w:r>
    </w:p>
    <w:p w14:paraId="6415C855">
      <w:pPr>
        <w:pStyle w:val="13"/>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一、部门职责</w:t>
      </w:r>
    </w:p>
    <w:p w14:paraId="75127B0E">
      <w:pPr>
        <w:pStyle w:val="13"/>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二、机构设置</w:t>
      </w:r>
    </w:p>
    <w:p w14:paraId="2B3F9852">
      <w:pPr>
        <w:pStyle w:val="13"/>
        <w:pageBreakBefore w:val="0"/>
        <w:kinsoku/>
        <w:wordWrap/>
        <w:overflowPunct/>
        <w:topLinePunct w:val="0"/>
        <w:bidi w:val="0"/>
        <w:spacing w:line="600" w:lineRule="exact"/>
        <w:ind w:firstLine="640"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第二部分</w:t>
      </w:r>
      <w:r>
        <w:rPr>
          <w:rFonts w:hint="eastAsia" w:ascii="仿宋" w:hAnsi="仿宋" w:eastAsia="仿宋" w:cs="仿宋"/>
          <w:b/>
          <w:bCs w:val="0"/>
          <w:sz w:val="32"/>
          <w:szCs w:val="32"/>
          <w:lang w:val="en-US" w:eastAsia="zh-CN"/>
        </w:rPr>
        <w:t xml:space="preserve"> </w:t>
      </w:r>
      <w:r>
        <w:rPr>
          <w:rFonts w:hint="eastAsia" w:ascii="仿宋" w:hAnsi="仿宋" w:eastAsia="仿宋" w:cs="仿宋"/>
          <w:b/>
          <w:bCs w:val="0"/>
          <w:sz w:val="32"/>
          <w:szCs w:val="32"/>
        </w:rPr>
        <w:t>部门决算表</w:t>
      </w:r>
    </w:p>
    <w:p w14:paraId="7EB79FDB">
      <w:pPr>
        <w:pStyle w:val="13"/>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一、收入支出决算总表</w:t>
      </w:r>
    </w:p>
    <w:p w14:paraId="40957274">
      <w:pPr>
        <w:pStyle w:val="13"/>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二、收入决算表</w:t>
      </w:r>
    </w:p>
    <w:p w14:paraId="36B10584">
      <w:pPr>
        <w:pStyle w:val="13"/>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三、支出决算表</w:t>
      </w:r>
    </w:p>
    <w:p w14:paraId="60C4E90E">
      <w:pPr>
        <w:pStyle w:val="13"/>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四、财政拨款收入支出决算总表</w:t>
      </w:r>
    </w:p>
    <w:p w14:paraId="698E3B39">
      <w:pPr>
        <w:pStyle w:val="13"/>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五、一般公共预算财政拨款支出决算表</w:t>
      </w:r>
    </w:p>
    <w:p w14:paraId="0A39316E">
      <w:pPr>
        <w:pStyle w:val="13"/>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六、一般公共预算财政拨款基本支出决算明细表</w:t>
      </w:r>
    </w:p>
    <w:p w14:paraId="69E7A007">
      <w:pPr>
        <w:pStyle w:val="13"/>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七、政府性基金预算财政拨款收入支出决算表</w:t>
      </w:r>
    </w:p>
    <w:p w14:paraId="51D7E809">
      <w:pPr>
        <w:pStyle w:val="13"/>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八、国有资本经营预算财政拨款支出决算表</w:t>
      </w:r>
    </w:p>
    <w:p w14:paraId="7A0E79F6">
      <w:pPr>
        <w:pStyle w:val="13"/>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九、财政拨款“三公”经费支出决算表</w:t>
      </w:r>
    </w:p>
    <w:p w14:paraId="53A03D43">
      <w:pPr>
        <w:pageBreakBefore w:val="0"/>
        <w:widowControl w:val="0"/>
        <w:kinsoku/>
        <w:wordWrap/>
        <w:overflowPunct/>
        <w:topLinePunct w:val="0"/>
        <w:autoSpaceDE w:val="0"/>
        <w:autoSpaceDN w:val="0"/>
        <w:bidi w:val="0"/>
        <w:adjustRightInd w:val="0"/>
        <w:spacing w:line="600" w:lineRule="exact"/>
        <w:ind w:firstLine="640" w:firstLineChars="200"/>
        <w:textAlignment w:val="auto"/>
        <w:rPr>
          <w:rFonts w:hint="eastAsia" w:ascii="仿宋" w:hAnsi="仿宋" w:eastAsia="仿宋" w:cs="仿宋"/>
          <w:b/>
          <w:bCs w:val="0"/>
          <w:color w:val="000000"/>
          <w:kern w:val="0"/>
          <w:sz w:val="32"/>
          <w:szCs w:val="32"/>
          <w:lang w:val="en-US" w:eastAsia="zh-CN" w:bidi="ar-SA"/>
        </w:rPr>
      </w:pPr>
      <w:r>
        <w:rPr>
          <w:rFonts w:hint="eastAsia" w:ascii="仿宋" w:hAnsi="仿宋" w:eastAsia="仿宋" w:cs="仿宋"/>
          <w:b/>
          <w:bCs w:val="0"/>
          <w:color w:val="000000"/>
          <w:kern w:val="0"/>
          <w:sz w:val="32"/>
          <w:szCs w:val="32"/>
          <w:lang w:val="en-US" w:eastAsia="zh-CN" w:bidi="ar-SA"/>
        </w:rPr>
        <w:t>第三部分2023年度部门决算情况说明</w:t>
      </w:r>
    </w:p>
    <w:p w14:paraId="310EC05D">
      <w:pPr>
        <w:pageBreakBefore w:val="0"/>
        <w:widowControl w:val="0"/>
        <w:kinsoku/>
        <w:wordWrap/>
        <w:overflowPunct/>
        <w:topLinePunct w:val="0"/>
        <w:autoSpaceDE w:val="0"/>
        <w:autoSpaceDN w:val="0"/>
        <w:bidi w:val="0"/>
        <w:adjustRightInd w:val="0"/>
        <w:spacing w:line="60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一、收入支出决算总体情况说明</w:t>
      </w:r>
    </w:p>
    <w:p w14:paraId="7FC8FBFA">
      <w:pPr>
        <w:pageBreakBefore w:val="0"/>
        <w:widowControl w:val="0"/>
        <w:kinsoku/>
        <w:wordWrap/>
        <w:overflowPunct/>
        <w:topLinePunct w:val="0"/>
        <w:autoSpaceDE w:val="0"/>
        <w:autoSpaceDN w:val="0"/>
        <w:bidi w:val="0"/>
        <w:adjustRightInd w:val="0"/>
        <w:spacing w:line="60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二、收入决算情况说明</w:t>
      </w:r>
    </w:p>
    <w:p w14:paraId="06C9292B">
      <w:pPr>
        <w:pageBreakBefore w:val="0"/>
        <w:widowControl w:val="0"/>
        <w:kinsoku/>
        <w:wordWrap/>
        <w:overflowPunct/>
        <w:topLinePunct w:val="0"/>
        <w:autoSpaceDE w:val="0"/>
        <w:autoSpaceDN w:val="0"/>
        <w:bidi w:val="0"/>
        <w:adjustRightInd w:val="0"/>
        <w:spacing w:line="60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三、支出决算情况说明</w:t>
      </w:r>
    </w:p>
    <w:p w14:paraId="49E51C2F">
      <w:pPr>
        <w:pageBreakBefore w:val="0"/>
        <w:widowControl w:val="0"/>
        <w:kinsoku/>
        <w:wordWrap/>
        <w:overflowPunct/>
        <w:topLinePunct w:val="0"/>
        <w:autoSpaceDE w:val="0"/>
        <w:autoSpaceDN w:val="0"/>
        <w:bidi w:val="0"/>
        <w:adjustRightInd w:val="0"/>
        <w:spacing w:line="60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四、财政拨款收入支出决算总体情况说明</w:t>
      </w:r>
    </w:p>
    <w:p w14:paraId="1CB60786">
      <w:pPr>
        <w:pageBreakBefore w:val="0"/>
        <w:widowControl w:val="0"/>
        <w:kinsoku/>
        <w:wordWrap/>
        <w:overflowPunct/>
        <w:topLinePunct w:val="0"/>
        <w:autoSpaceDE w:val="0"/>
        <w:autoSpaceDN w:val="0"/>
        <w:bidi w:val="0"/>
        <w:adjustRightInd w:val="0"/>
        <w:spacing w:line="60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五、一般公共预算财政拨款支出决算情况说明</w:t>
      </w:r>
    </w:p>
    <w:p w14:paraId="4D1BD41C">
      <w:pPr>
        <w:pageBreakBefore w:val="0"/>
        <w:widowControl w:val="0"/>
        <w:kinsoku/>
        <w:wordWrap/>
        <w:overflowPunct/>
        <w:topLinePunct w:val="0"/>
        <w:autoSpaceDE w:val="0"/>
        <w:autoSpaceDN w:val="0"/>
        <w:bidi w:val="0"/>
        <w:adjustRightInd w:val="0"/>
        <w:spacing w:line="60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六、一般公共预算财政拨款基本支出决算情况说明</w:t>
      </w:r>
    </w:p>
    <w:p w14:paraId="3BE385E3">
      <w:pPr>
        <w:pageBreakBefore w:val="0"/>
        <w:widowControl w:val="0"/>
        <w:kinsoku/>
        <w:wordWrap/>
        <w:overflowPunct/>
        <w:topLinePunct w:val="0"/>
        <w:autoSpaceDE w:val="0"/>
        <w:autoSpaceDN w:val="0"/>
        <w:bidi w:val="0"/>
        <w:adjustRightInd w:val="0"/>
        <w:spacing w:line="60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七、财政拨款三公经费支出决算情况说明</w:t>
      </w:r>
    </w:p>
    <w:p w14:paraId="370C3A80">
      <w:pPr>
        <w:pageBreakBefore w:val="0"/>
        <w:widowControl w:val="0"/>
        <w:kinsoku/>
        <w:wordWrap/>
        <w:overflowPunct/>
        <w:topLinePunct w:val="0"/>
        <w:autoSpaceDE w:val="0"/>
        <w:autoSpaceDN w:val="0"/>
        <w:bidi w:val="0"/>
        <w:adjustRightInd w:val="0"/>
        <w:spacing w:line="60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八、政府性基金预算收入支出决算情况</w:t>
      </w:r>
    </w:p>
    <w:p w14:paraId="6C7726A7">
      <w:pPr>
        <w:pageBreakBefore w:val="0"/>
        <w:widowControl w:val="0"/>
        <w:kinsoku/>
        <w:wordWrap/>
        <w:overflowPunct/>
        <w:topLinePunct w:val="0"/>
        <w:autoSpaceDE w:val="0"/>
        <w:autoSpaceDN w:val="0"/>
        <w:bidi w:val="0"/>
        <w:adjustRightInd w:val="0"/>
        <w:spacing w:line="60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九、国有资本经营预算财政拨款支出决算情况</w:t>
      </w:r>
    </w:p>
    <w:p w14:paraId="63AEED9C">
      <w:pPr>
        <w:pageBreakBefore w:val="0"/>
        <w:widowControl w:val="0"/>
        <w:kinsoku/>
        <w:wordWrap/>
        <w:overflowPunct/>
        <w:topLinePunct w:val="0"/>
        <w:autoSpaceDE w:val="0"/>
        <w:autoSpaceDN w:val="0"/>
        <w:bidi w:val="0"/>
        <w:adjustRightInd w:val="0"/>
        <w:spacing w:line="60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十、关于机关运行经费支出说明</w:t>
      </w:r>
    </w:p>
    <w:p w14:paraId="70F3048B">
      <w:pPr>
        <w:pageBreakBefore w:val="0"/>
        <w:widowControl w:val="0"/>
        <w:kinsoku/>
        <w:wordWrap/>
        <w:overflowPunct/>
        <w:topLinePunct w:val="0"/>
        <w:autoSpaceDE w:val="0"/>
        <w:autoSpaceDN w:val="0"/>
        <w:bidi w:val="0"/>
        <w:adjustRightInd w:val="0"/>
        <w:spacing w:line="60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十一、一般性支出情况说明</w:t>
      </w:r>
    </w:p>
    <w:p w14:paraId="09E66732">
      <w:pPr>
        <w:pageBreakBefore w:val="0"/>
        <w:widowControl w:val="0"/>
        <w:kinsoku/>
        <w:wordWrap/>
        <w:overflowPunct/>
        <w:topLinePunct w:val="0"/>
        <w:autoSpaceDE w:val="0"/>
        <w:autoSpaceDN w:val="0"/>
        <w:bidi w:val="0"/>
        <w:adjustRightInd w:val="0"/>
        <w:spacing w:line="60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十二、关于政府采购支出说明</w:t>
      </w:r>
    </w:p>
    <w:p w14:paraId="197499CF">
      <w:pPr>
        <w:pageBreakBefore w:val="0"/>
        <w:widowControl w:val="0"/>
        <w:kinsoku/>
        <w:wordWrap/>
        <w:overflowPunct/>
        <w:topLinePunct w:val="0"/>
        <w:autoSpaceDE w:val="0"/>
        <w:autoSpaceDN w:val="0"/>
        <w:bidi w:val="0"/>
        <w:adjustRightInd w:val="0"/>
        <w:spacing w:line="60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十三、关于国有资产占用情况说明</w:t>
      </w:r>
    </w:p>
    <w:p w14:paraId="0102C13B">
      <w:pPr>
        <w:pageBreakBefore w:val="0"/>
        <w:widowControl w:val="0"/>
        <w:kinsoku/>
        <w:wordWrap/>
        <w:overflowPunct/>
        <w:topLinePunct w:val="0"/>
        <w:autoSpaceDE w:val="0"/>
        <w:autoSpaceDN w:val="0"/>
        <w:bidi w:val="0"/>
        <w:adjustRightInd w:val="0"/>
        <w:spacing w:line="60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十四、关于2023年度预算绩效情况的说明</w:t>
      </w:r>
    </w:p>
    <w:p w14:paraId="6BC5997D">
      <w:pPr>
        <w:pStyle w:val="13"/>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p>
    <w:p w14:paraId="366D1C61">
      <w:pPr>
        <w:pStyle w:val="13"/>
        <w:pageBreakBefore w:val="0"/>
        <w:kinsoku/>
        <w:wordWrap/>
        <w:overflowPunct/>
        <w:topLinePunct w:val="0"/>
        <w:bidi w:val="0"/>
        <w:spacing w:line="600" w:lineRule="exact"/>
        <w:ind w:firstLine="640"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第四部分</w:t>
      </w:r>
      <w:r>
        <w:rPr>
          <w:rFonts w:hint="eastAsia" w:ascii="仿宋" w:hAnsi="仿宋" w:eastAsia="仿宋" w:cs="仿宋"/>
          <w:b/>
          <w:bCs w:val="0"/>
          <w:sz w:val="32"/>
          <w:szCs w:val="32"/>
          <w:lang w:val="en-US" w:eastAsia="zh-CN"/>
        </w:rPr>
        <w:t xml:space="preserve"> </w:t>
      </w:r>
      <w:r>
        <w:rPr>
          <w:rFonts w:hint="eastAsia" w:ascii="仿宋" w:hAnsi="仿宋" w:eastAsia="仿宋" w:cs="仿宋"/>
          <w:b/>
          <w:bCs w:val="0"/>
          <w:sz w:val="32"/>
          <w:szCs w:val="32"/>
        </w:rPr>
        <w:t>名词解释</w:t>
      </w:r>
    </w:p>
    <w:p w14:paraId="22A951A5">
      <w:pPr>
        <w:pStyle w:val="13"/>
        <w:pageBreakBefore w:val="0"/>
        <w:kinsoku/>
        <w:wordWrap/>
        <w:overflowPunct/>
        <w:topLinePunct w:val="0"/>
        <w:bidi w:val="0"/>
        <w:spacing w:line="600" w:lineRule="exact"/>
        <w:ind w:firstLine="640" w:firstLineChars="200"/>
        <w:textAlignment w:val="auto"/>
        <w:rPr>
          <w:rFonts w:hint="eastAsia" w:ascii="仿宋" w:hAnsi="仿宋" w:eastAsia="仿宋" w:cs="仿宋"/>
          <w:b/>
          <w:bCs w:val="0"/>
          <w:sz w:val="32"/>
          <w:szCs w:val="32"/>
          <w:lang w:eastAsia="zh-CN"/>
        </w:rPr>
      </w:pPr>
      <w:r>
        <w:rPr>
          <w:rFonts w:hint="eastAsia" w:ascii="仿宋" w:hAnsi="仿宋" w:eastAsia="仿宋" w:cs="仿宋"/>
          <w:b/>
          <w:bCs w:val="0"/>
          <w:sz w:val="32"/>
          <w:szCs w:val="32"/>
        </w:rPr>
        <w:t>第</w:t>
      </w:r>
      <w:r>
        <w:rPr>
          <w:rFonts w:hint="eastAsia" w:ascii="仿宋" w:hAnsi="仿宋" w:eastAsia="仿宋" w:cs="仿宋"/>
          <w:b/>
          <w:bCs w:val="0"/>
          <w:sz w:val="32"/>
          <w:szCs w:val="32"/>
          <w:lang w:eastAsia="zh-CN"/>
        </w:rPr>
        <w:t>五</w:t>
      </w:r>
      <w:r>
        <w:rPr>
          <w:rFonts w:hint="eastAsia" w:ascii="仿宋" w:hAnsi="仿宋" w:eastAsia="仿宋" w:cs="仿宋"/>
          <w:b/>
          <w:bCs w:val="0"/>
          <w:sz w:val="32"/>
          <w:szCs w:val="32"/>
        </w:rPr>
        <w:t>部分</w:t>
      </w:r>
      <w:r>
        <w:rPr>
          <w:rFonts w:hint="eastAsia" w:ascii="仿宋" w:hAnsi="仿宋" w:eastAsia="仿宋" w:cs="仿宋"/>
          <w:b/>
          <w:bCs w:val="0"/>
          <w:sz w:val="32"/>
          <w:szCs w:val="32"/>
          <w:lang w:val="en-US" w:eastAsia="zh-CN"/>
        </w:rPr>
        <w:t xml:space="preserve"> </w:t>
      </w:r>
      <w:r>
        <w:rPr>
          <w:rFonts w:hint="eastAsia" w:ascii="仿宋" w:hAnsi="仿宋" w:eastAsia="仿宋" w:cs="仿宋"/>
          <w:b/>
          <w:bCs w:val="0"/>
          <w:sz w:val="32"/>
          <w:szCs w:val="32"/>
          <w:lang w:eastAsia="zh-CN"/>
        </w:rPr>
        <w:t>附件</w:t>
      </w:r>
    </w:p>
    <w:p w14:paraId="0709BC17">
      <w:pPr>
        <w:pStyle w:val="13"/>
        <w:pageBreakBefore w:val="0"/>
        <w:kinsoku/>
        <w:wordWrap/>
        <w:overflowPunct/>
        <w:topLinePunct w:val="0"/>
        <w:bidi w:val="0"/>
        <w:spacing w:line="600" w:lineRule="exact"/>
        <w:ind w:firstLine="640" w:firstLineChars="200"/>
        <w:textAlignment w:val="auto"/>
        <w:rPr>
          <w:rFonts w:hint="eastAsia" w:ascii="仿宋" w:hAnsi="仿宋" w:eastAsia="仿宋" w:cs="仿宋"/>
          <w:b w:val="0"/>
          <w:bCs/>
          <w:sz w:val="32"/>
          <w:szCs w:val="32"/>
        </w:rPr>
      </w:pPr>
    </w:p>
    <w:p w14:paraId="08ACAC64">
      <w:pPr>
        <w:pStyle w:val="13"/>
        <w:pageBreakBefore w:val="0"/>
        <w:numPr>
          <w:ilvl w:val="0"/>
          <w:numId w:val="1"/>
        </w:numPr>
        <w:kinsoku/>
        <w:wordWrap/>
        <w:overflowPunct/>
        <w:topLinePunct w:val="0"/>
        <w:bidi w:val="0"/>
        <w:spacing w:line="600" w:lineRule="exact"/>
        <w:jc w:val="center"/>
        <w:textAlignment w:val="auto"/>
        <w:rPr>
          <w:rFonts w:hint="eastAsia" w:ascii="黑体" w:hAnsi="黑体" w:eastAsia="黑体" w:cs="黑体"/>
          <w:b w:val="0"/>
          <w:bCs w:val="0"/>
          <w:sz w:val="36"/>
          <w:szCs w:val="36"/>
        </w:rPr>
      </w:pPr>
      <w:r>
        <w:rPr>
          <w:rFonts w:hint="eastAsia" w:hAnsi="黑体" w:cs="黑体"/>
          <w:b w:val="0"/>
          <w:bCs w:val="0"/>
          <w:sz w:val="36"/>
          <w:szCs w:val="36"/>
          <w:lang w:val="en-US" w:eastAsia="zh-CN"/>
        </w:rPr>
        <w:t xml:space="preserve"> </w:t>
      </w:r>
      <w:r>
        <w:rPr>
          <w:rFonts w:hint="eastAsia" w:ascii="黑体" w:hAnsi="黑体" w:eastAsia="黑体" w:cs="黑体"/>
          <w:b w:val="0"/>
          <w:bCs w:val="0"/>
          <w:sz w:val="36"/>
          <w:szCs w:val="36"/>
          <w:lang w:eastAsia="zh-CN"/>
        </w:rPr>
        <w:t>华容县审计局</w:t>
      </w:r>
      <w:r>
        <w:rPr>
          <w:rFonts w:hint="eastAsia" w:ascii="黑体" w:hAnsi="黑体" w:eastAsia="黑体" w:cs="黑体"/>
          <w:b w:val="0"/>
          <w:bCs w:val="0"/>
          <w:sz w:val="36"/>
          <w:szCs w:val="36"/>
        </w:rPr>
        <w:t>概况</w:t>
      </w:r>
    </w:p>
    <w:p w14:paraId="084B9728">
      <w:pPr>
        <w:pStyle w:val="13"/>
        <w:pageBreakBefore w:val="0"/>
        <w:numPr>
          <w:ilvl w:val="0"/>
          <w:numId w:val="0"/>
        </w:numPr>
        <w:kinsoku/>
        <w:wordWrap/>
        <w:overflowPunct/>
        <w:topLinePunct w:val="0"/>
        <w:bidi w:val="0"/>
        <w:spacing w:line="600" w:lineRule="exact"/>
        <w:jc w:val="both"/>
        <w:textAlignment w:val="auto"/>
        <w:rPr>
          <w:rFonts w:hint="eastAsia" w:ascii="黑体" w:hAnsi="黑体" w:eastAsia="黑体" w:cs="黑体"/>
          <w:b w:val="0"/>
          <w:bCs w:val="0"/>
          <w:sz w:val="36"/>
          <w:szCs w:val="36"/>
        </w:rPr>
      </w:pPr>
    </w:p>
    <w:p w14:paraId="00679747">
      <w:pPr>
        <w:pStyle w:val="14"/>
        <w:pageBreakBefore w:val="0"/>
        <w:numPr>
          <w:ilvl w:val="0"/>
          <w:numId w:val="0"/>
        </w:numPr>
        <w:kinsoku/>
        <w:wordWrap/>
        <w:overflowPunct/>
        <w:topLinePunct w:val="0"/>
        <w:bidi w:val="0"/>
        <w:spacing w:line="600" w:lineRule="exact"/>
        <w:ind w:leftChars="200" w:firstLine="320" w:firstLineChars="1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14:paraId="49D66295">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管全县审计工作；参与制订本县审计、财经方面的政策,制订审计业务工作规划;依据《中华人民共和国审计法》规定应由县级审计机关进行的审计事项进行审计；组织开展行业审计、专项审计、绩效审计和审计调查</w:t>
      </w:r>
      <w:r>
        <w:rPr>
          <w:rFonts w:hint="eastAsia" w:ascii="仿宋" w:hAnsi="仿宋" w:eastAsia="仿宋" w:cs="仿宋"/>
          <w:sz w:val="32"/>
          <w:szCs w:val="32"/>
          <w:lang w:eastAsia="zh-CN"/>
        </w:rPr>
        <w:t>，</w:t>
      </w:r>
      <w:r>
        <w:rPr>
          <w:rFonts w:hint="eastAsia" w:ascii="仿宋" w:hAnsi="仿宋" w:eastAsia="仿宋" w:cs="仿宋"/>
          <w:sz w:val="32"/>
          <w:szCs w:val="32"/>
        </w:rPr>
        <w:t>以及对党政领导干部和国有企业负责人任期经济责任审计和自然资源资产离任审计并提出建议;对全县内部审计</w:t>
      </w:r>
      <w:r>
        <w:rPr>
          <w:rFonts w:hint="eastAsia" w:ascii="仿宋" w:hAnsi="仿宋" w:eastAsia="仿宋" w:cs="仿宋"/>
          <w:sz w:val="32"/>
          <w:szCs w:val="32"/>
          <w:lang w:eastAsia="zh-CN"/>
        </w:rPr>
        <w:t>工作进行</w:t>
      </w:r>
      <w:r>
        <w:rPr>
          <w:rFonts w:hint="eastAsia" w:ascii="仿宋" w:hAnsi="仿宋" w:eastAsia="仿宋" w:cs="仿宋"/>
          <w:sz w:val="32"/>
          <w:szCs w:val="32"/>
        </w:rPr>
        <w:t>指导与监督;组织审计专业培训；承办县委、县人民政府交办的其他事项。</w:t>
      </w:r>
    </w:p>
    <w:p w14:paraId="6858A2CB">
      <w:pPr>
        <w:pageBreakBefore w:val="0"/>
        <w:widowControl/>
        <w:kinsoku/>
        <w:wordWrap/>
        <w:overflowPunct/>
        <w:topLinePunct w:val="0"/>
        <w:bidi w:val="0"/>
        <w:spacing w:line="600" w:lineRule="exact"/>
        <w:ind w:firstLine="640" w:firstLineChars="200"/>
        <w:textAlignment w:val="auto"/>
        <w:rPr>
          <w:rFonts w:hint="eastAsia" w:ascii="仿宋" w:hAnsi="仿宋" w:eastAsia="仿宋" w:cs="仿宋"/>
          <w:b w:val="0"/>
          <w:bCs/>
          <w:kern w:val="0"/>
          <w:sz w:val="32"/>
          <w:szCs w:val="32"/>
        </w:rPr>
      </w:pPr>
    </w:p>
    <w:p w14:paraId="6CE499A3">
      <w:pPr>
        <w:pageBreakBefore w:val="0"/>
        <w:widowControl/>
        <w:kinsoku/>
        <w:wordWrap/>
        <w:overflowPunct/>
        <w:topLinePunct w:val="0"/>
        <w:bidi w:val="0"/>
        <w:spacing w:line="600" w:lineRule="exact"/>
        <w:ind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0BDC38DF">
      <w:pPr>
        <w:pageBreakBefore w:val="0"/>
        <w:widowControl/>
        <w:kinsoku/>
        <w:wordWrap/>
        <w:overflowPunct/>
        <w:topLinePunct w:val="0"/>
        <w:bidi w:val="0"/>
        <w:spacing w:line="60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（一）内设机构设置。</w:t>
      </w:r>
      <w:r>
        <w:rPr>
          <w:rFonts w:hint="eastAsia" w:ascii="仿宋" w:hAnsi="仿宋" w:eastAsia="仿宋" w:cs="仿宋"/>
          <w:sz w:val="32"/>
          <w:szCs w:val="32"/>
          <w:lang w:val="zh-CN"/>
        </w:rPr>
        <w:t>华容县审计局内设机构包括：</w:t>
      </w:r>
      <w:r>
        <w:rPr>
          <w:rFonts w:hint="eastAsia" w:ascii="仿宋" w:hAnsi="仿宋" w:eastAsia="仿宋" w:cs="仿宋"/>
          <w:sz w:val="32"/>
          <w:szCs w:val="32"/>
        </w:rPr>
        <w:t>办公室、计划统计股、财政金融审计股、经济责任审计股、行政事业经贸外资审计股、农业农村审计股、固定资产投资审计股。</w:t>
      </w:r>
    </w:p>
    <w:p w14:paraId="7F01A7B1">
      <w:pPr>
        <w:pageBreakBefore w:val="0"/>
        <w:widowControl/>
        <w:kinsoku/>
        <w:wordWrap/>
        <w:overflowPunct/>
        <w:topLinePunct w:val="0"/>
        <w:bidi w:val="0"/>
        <w:spacing w:line="60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（二）决算单位构成。</w:t>
      </w:r>
      <w:r>
        <w:rPr>
          <w:rFonts w:hint="eastAsia" w:ascii="仿宋" w:hAnsi="仿宋" w:eastAsia="仿宋" w:cs="仿宋"/>
          <w:sz w:val="32"/>
          <w:szCs w:val="32"/>
          <w:lang w:val="zh-CN"/>
        </w:rPr>
        <w:t>华容县审计局202</w:t>
      </w:r>
      <w:r>
        <w:rPr>
          <w:rFonts w:hint="eastAsia" w:ascii="仿宋" w:hAnsi="仿宋" w:eastAsia="仿宋" w:cs="仿宋"/>
          <w:sz w:val="32"/>
          <w:szCs w:val="32"/>
          <w:lang w:val="en-US" w:eastAsia="zh-CN"/>
        </w:rPr>
        <w:t>3</w:t>
      </w:r>
      <w:r>
        <w:rPr>
          <w:rFonts w:hint="eastAsia" w:ascii="仿宋" w:hAnsi="仿宋" w:eastAsia="仿宋" w:cs="仿宋"/>
          <w:sz w:val="32"/>
          <w:szCs w:val="32"/>
          <w:lang w:val="zh-CN"/>
        </w:rPr>
        <w:t>年部门决算汇总公开单位构成包括：本单位为一级预算单位，无所属二级机构。202</w:t>
      </w:r>
      <w:r>
        <w:rPr>
          <w:rFonts w:hint="eastAsia" w:ascii="仿宋" w:hAnsi="仿宋" w:eastAsia="仿宋" w:cs="仿宋"/>
          <w:sz w:val="32"/>
          <w:szCs w:val="32"/>
          <w:lang w:val="en-US" w:eastAsia="zh-CN"/>
        </w:rPr>
        <w:t>3</w:t>
      </w:r>
      <w:r>
        <w:rPr>
          <w:rFonts w:hint="eastAsia" w:ascii="仿宋" w:hAnsi="仿宋" w:eastAsia="仿宋" w:cs="仿宋"/>
          <w:sz w:val="32"/>
          <w:szCs w:val="32"/>
          <w:lang w:val="zh-CN"/>
        </w:rPr>
        <w:t>年部门决算汇总公开单位构成仅含局机关本级</w:t>
      </w:r>
      <w:r>
        <w:rPr>
          <w:rFonts w:hint="eastAsia" w:ascii="仿宋" w:hAnsi="仿宋" w:eastAsia="仿宋" w:cs="仿宋"/>
          <w:sz w:val="32"/>
          <w:szCs w:val="32"/>
          <w:lang w:val="en-US"/>
        </w:rPr>
        <w:t>。</w:t>
      </w:r>
    </w:p>
    <w:p w14:paraId="02B0FFA1">
      <w:pPr>
        <w:pageBreakBefore w:val="0"/>
        <w:kinsoku/>
        <w:wordWrap/>
        <w:overflowPunct/>
        <w:topLinePunct w:val="0"/>
        <w:bidi w:val="0"/>
        <w:spacing w:line="600" w:lineRule="exact"/>
        <w:ind w:firstLine="640" w:firstLineChars="200"/>
        <w:jc w:val="left"/>
        <w:textAlignment w:val="auto"/>
        <w:rPr>
          <w:rFonts w:hint="eastAsia" w:ascii="仿宋" w:hAnsi="仿宋" w:eastAsia="仿宋" w:cs="仿宋"/>
          <w:sz w:val="32"/>
          <w:szCs w:val="32"/>
        </w:rPr>
      </w:pPr>
    </w:p>
    <w:p w14:paraId="76D6BAA8">
      <w:pPr>
        <w:pStyle w:val="13"/>
        <w:pageBreakBefore w:val="0"/>
        <w:kinsoku/>
        <w:wordWrap/>
        <w:overflowPunct/>
        <w:topLinePunct w:val="0"/>
        <w:bidi w:val="0"/>
        <w:spacing w:line="600" w:lineRule="exact"/>
        <w:jc w:val="center"/>
        <w:textAlignment w:val="auto"/>
        <w:rPr>
          <w:rFonts w:hint="eastAsia" w:ascii="仿宋" w:hAnsi="仿宋" w:eastAsia="仿宋" w:cs="仿宋"/>
          <w:sz w:val="32"/>
          <w:szCs w:val="32"/>
        </w:rPr>
      </w:pPr>
      <w:r>
        <w:rPr>
          <w:rFonts w:hint="eastAsia" w:ascii="黑体" w:hAnsi="黑体" w:eastAsia="黑体" w:cs="黑体"/>
          <w:b w:val="0"/>
          <w:bCs w:val="0"/>
          <w:sz w:val="32"/>
          <w:szCs w:val="32"/>
        </w:rPr>
        <w:t>第二部分</w:t>
      </w:r>
      <w:r>
        <w:rPr>
          <w:rFonts w:hint="eastAsia" w:hAnsi="黑体" w:cs="黑体"/>
          <w:b w:val="0"/>
          <w:bCs w:val="0"/>
          <w:sz w:val="32"/>
          <w:szCs w:val="32"/>
          <w:lang w:val="en-US" w:eastAsia="zh-CN"/>
        </w:rPr>
        <w:t xml:space="preserve">   </w:t>
      </w:r>
      <w:r>
        <w:rPr>
          <w:rFonts w:hint="eastAsia" w:ascii="黑体" w:hAnsi="黑体" w:eastAsia="黑体" w:cs="黑体"/>
          <w:b w:val="0"/>
          <w:bCs w:val="0"/>
          <w:sz w:val="32"/>
          <w:szCs w:val="32"/>
        </w:rPr>
        <w:t>部门决算表</w:t>
      </w:r>
      <w:r>
        <w:rPr>
          <w:rFonts w:hint="eastAsia" w:hAnsi="黑体" w:cs="黑体"/>
          <w:b w:val="0"/>
          <w:bCs w:val="0"/>
          <w:sz w:val="32"/>
          <w:szCs w:val="32"/>
          <w:lang w:eastAsia="zh-CN"/>
        </w:rPr>
        <w:t>（</w:t>
      </w:r>
      <w:r>
        <w:rPr>
          <w:rFonts w:hint="eastAsia" w:ascii="黑体" w:hAnsi="黑体" w:eastAsia="黑体" w:cs="黑体"/>
          <w:b w:val="0"/>
          <w:bCs w:val="0"/>
          <w:color w:val="auto"/>
          <w:kern w:val="2"/>
          <w:sz w:val="32"/>
          <w:szCs w:val="32"/>
          <w:lang w:val="en-US" w:eastAsia="zh-CN" w:bidi="ar-SA"/>
        </w:rPr>
        <w:t>详见附件表格</w:t>
      </w:r>
      <w:r>
        <w:rPr>
          <w:rFonts w:hint="eastAsia" w:hAnsi="黑体" w:cs="黑体"/>
          <w:b w:val="0"/>
          <w:bCs w:val="0"/>
          <w:sz w:val="32"/>
          <w:szCs w:val="32"/>
          <w:lang w:eastAsia="zh-CN"/>
        </w:rPr>
        <w:t>）</w:t>
      </w:r>
    </w:p>
    <w:p w14:paraId="19A2B724">
      <w:pPr>
        <w:pStyle w:val="13"/>
        <w:pageBreakBefore w:val="0"/>
        <w:kinsoku/>
        <w:wordWrap/>
        <w:overflowPunct/>
        <w:topLinePunct w:val="0"/>
        <w:bidi w:val="0"/>
        <w:spacing w:line="600" w:lineRule="exact"/>
        <w:ind w:firstLine="640" w:firstLineChars="200"/>
        <w:jc w:val="center"/>
        <w:textAlignment w:val="auto"/>
        <w:rPr>
          <w:rFonts w:hint="eastAsia" w:ascii="仿宋" w:hAnsi="仿宋" w:eastAsia="仿宋" w:cs="仿宋"/>
          <w:sz w:val="32"/>
          <w:szCs w:val="32"/>
        </w:rPr>
      </w:pPr>
    </w:p>
    <w:p w14:paraId="4904AE73">
      <w:pPr>
        <w:pStyle w:val="13"/>
        <w:pageBreakBefore w:val="0"/>
        <w:kinsoku/>
        <w:wordWrap/>
        <w:overflowPunct/>
        <w:topLinePunct w:val="0"/>
        <w:bidi w:val="0"/>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第三部分</w:t>
      </w:r>
      <w:r>
        <w:rPr>
          <w:rFonts w:hint="eastAsia" w:hAnsi="黑体" w:cs="黑体"/>
          <w:sz w:val="32"/>
          <w:szCs w:val="32"/>
          <w:lang w:val="en-US" w:eastAsia="zh-CN"/>
        </w:rPr>
        <w:t xml:space="preserve">  </w:t>
      </w:r>
      <w:r>
        <w:rPr>
          <w:rFonts w:hint="eastAsia" w:ascii="黑体" w:hAnsi="黑体" w:eastAsia="黑体" w:cs="黑体"/>
          <w:sz w:val="32"/>
          <w:szCs w:val="32"/>
        </w:rPr>
        <w:t>202</w:t>
      </w:r>
      <w:r>
        <w:rPr>
          <w:rFonts w:hint="eastAsia" w:ascii="黑体" w:hAnsi="黑体" w:eastAsia="黑体" w:cs="黑体"/>
          <w:sz w:val="32"/>
          <w:szCs w:val="32"/>
          <w:lang w:val="en-US" w:eastAsia="zh-CN"/>
        </w:rPr>
        <w:t>3</w:t>
      </w:r>
      <w:r>
        <w:rPr>
          <w:rFonts w:hint="eastAsia" w:ascii="黑体" w:hAnsi="黑体" w:eastAsia="黑体" w:cs="黑体"/>
          <w:sz w:val="32"/>
          <w:szCs w:val="32"/>
        </w:rPr>
        <w:t>年度部门决算情况说明</w:t>
      </w:r>
    </w:p>
    <w:p w14:paraId="07146587">
      <w:pPr>
        <w:pageBreakBefore w:val="0"/>
        <w:widowControl/>
        <w:kinsoku/>
        <w:wordWrap/>
        <w:overflowPunct/>
        <w:topLinePunct w:val="0"/>
        <w:bidi w:val="0"/>
        <w:spacing w:line="600" w:lineRule="exact"/>
        <w:ind w:firstLine="640" w:firstLineChars="200"/>
        <w:jc w:val="left"/>
        <w:textAlignment w:val="auto"/>
        <w:rPr>
          <w:rFonts w:hint="eastAsia" w:ascii="仿宋" w:hAnsi="仿宋" w:eastAsia="仿宋" w:cs="仿宋"/>
          <w:b w:val="0"/>
          <w:bCs/>
          <w:sz w:val="32"/>
          <w:szCs w:val="32"/>
        </w:rPr>
      </w:pPr>
    </w:p>
    <w:p w14:paraId="68B97B1D">
      <w:pPr>
        <w:pageBreakBefore w:val="0"/>
        <w:widowControl/>
        <w:kinsoku/>
        <w:wordWrap/>
        <w:overflowPunct/>
        <w:topLinePunct w:val="0"/>
        <w:bidi w:val="0"/>
        <w:spacing w:line="600"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209DE50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highlight w:val="yellow"/>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年度收、支总计</w:t>
      </w:r>
      <w:r>
        <w:rPr>
          <w:rFonts w:hint="eastAsia" w:ascii="仿宋" w:hAnsi="仿宋" w:eastAsia="仿宋" w:cs="仿宋"/>
          <w:sz w:val="32"/>
          <w:szCs w:val="32"/>
          <w:lang w:val="en-US" w:eastAsia="zh-CN"/>
        </w:rPr>
        <w:t>880.64</w:t>
      </w:r>
      <w:r>
        <w:rPr>
          <w:rFonts w:hint="eastAsia" w:ascii="仿宋" w:hAnsi="仿宋" w:eastAsia="仿宋" w:cs="仿宋"/>
          <w:sz w:val="32"/>
          <w:szCs w:val="32"/>
        </w:rPr>
        <w:t>万元。与上年相比，增加</w:t>
      </w:r>
      <w:r>
        <w:rPr>
          <w:rFonts w:hint="eastAsia" w:ascii="仿宋" w:hAnsi="仿宋" w:eastAsia="仿宋" w:cs="仿宋"/>
          <w:sz w:val="32"/>
          <w:szCs w:val="32"/>
          <w:lang w:val="en-US" w:eastAsia="zh-CN"/>
        </w:rPr>
        <w:t>102.79</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13.21</w:t>
      </w:r>
      <w:r>
        <w:rPr>
          <w:rFonts w:hint="eastAsia" w:ascii="仿宋" w:hAnsi="仿宋" w:eastAsia="仿宋" w:cs="仿宋"/>
          <w:sz w:val="32"/>
          <w:szCs w:val="32"/>
        </w:rPr>
        <w:t>%，</w:t>
      </w:r>
      <w:r>
        <w:rPr>
          <w:rFonts w:hint="eastAsia" w:ascii="仿宋" w:hAnsi="仿宋" w:eastAsia="仿宋" w:cs="仿宋"/>
          <w:sz w:val="32"/>
          <w:szCs w:val="32"/>
          <w:lang w:eastAsia="zh-CN"/>
        </w:rPr>
        <w:t>主要是因为三方审计服务支出增加。</w:t>
      </w:r>
    </w:p>
    <w:p w14:paraId="47F9A3E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9A6CB7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年度收入合计</w:t>
      </w:r>
      <w:r>
        <w:rPr>
          <w:rFonts w:hint="eastAsia" w:ascii="仿宋" w:hAnsi="仿宋" w:eastAsia="仿宋" w:cs="仿宋"/>
          <w:sz w:val="32"/>
          <w:szCs w:val="32"/>
          <w:lang w:val="en-US" w:eastAsia="zh-CN"/>
        </w:rPr>
        <w:t>880.64</w:t>
      </w:r>
      <w:r>
        <w:rPr>
          <w:rFonts w:hint="eastAsia" w:ascii="仿宋" w:hAnsi="仿宋" w:eastAsia="仿宋" w:cs="仿宋"/>
          <w:sz w:val="32"/>
          <w:szCs w:val="32"/>
        </w:rPr>
        <w:t>万元，其中：财政拨款收入</w:t>
      </w:r>
      <w:r>
        <w:rPr>
          <w:rFonts w:hint="eastAsia" w:ascii="仿宋" w:hAnsi="仿宋" w:eastAsia="仿宋" w:cs="仿宋"/>
          <w:sz w:val="32"/>
          <w:szCs w:val="32"/>
          <w:lang w:val="en-US" w:eastAsia="zh-CN"/>
        </w:rPr>
        <w:t>873.78</w:t>
      </w:r>
      <w:r>
        <w:rPr>
          <w:rFonts w:hint="eastAsia" w:ascii="仿宋" w:hAnsi="仿宋" w:eastAsia="仿宋" w:cs="仿宋"/>
          <w:sz w:val="32"/>
          <w:szCs w:val="32"/>
        </w:rPr>
        <w:t>万元，占</w:t>
      </w:r>
      <w:r>
        <w:rPr>
          <w:rFonts w:hint="eastAsia" w:ascii="仿宋" w:hAnsi="仿宋" w:eastAsia="仿宋" w:cs="仿宋"/>
          <w:sz w:val="32"/>
          <w:szCs w:val="32"/>
          <w:lang w:val="en-US" w:eastAsia="zh-CN"/>
        </w:rPr>
        <w:t>99.22</w:t>
      </w:r>
      <w:r>
        <w:rPr>
          <w:rFonts w:hint="eastAsia" w:ascii="仿宋" w:hAnsi="仿宋" w:eastAsia="仿宋" w:cs="仿宋"/>
          <w:sz w:val="32"/>
          <w:szCs w:val="32"/>
        </w:rPr>
        <w:t>%；上级补助收入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%；事业收入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%；附属单位上缴收入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%；其他收入</w:t>
      </w:r>
      <w:r>
        <w:rPr>
          <w:rFonts w:hint="eastAsia" w:ascii="仿宋" w:hAnsi="仿宋" w:eastAsia="仿宋" w:cs="仿宋"/>
          <w:sz w:val="32"/>
          <w:szCs w:val="32"/>
          <w:lang w:val="en-US" w:eastAsia="zh-CN"/>
        </w:rPr>
        <w:t>6.86</w:t>
      </w:r>
      <w:r>
        <w:rPr>
          <w:rFonts w:hint="eastAsia" w:ascii="仿宋" w:hAnsi="仿宋" w:eastAsia="仿宋" w:cs="仿宋"/>
          <w:sz w:val="32"/>
          <w:szCs w:val="32"/>
        </w:rPr>
        <w:t>万元，占</w:t>
      </w:r>
      <w:r>
        <w:rPr>
          <w:rFonts w:hint="eastAsia" w:ascii="仿宋" w:hAnsi="仿宋" w:eastAsia="仿宋" w:cs="仿宋"/>
          <w:sz w:val="32"/>
          <w:szCs w:val="32"/>
          <w:lang w:val="en-US" w:eastAsia="zh-CN"/>
        </w:rPr>
        <w:t>0.78</w:t>
      </w:r>
      <w:r>
        <w:rPr>
          <w:rFonts w:hint="eastAsia" w:ascii="仿宋" w:hAnsi="仿宋" w:eastAsia="仿宋" w:cs="仿宋"/>
          <w:sz w:val="32"/>
          <w:szCs w:val="32"/>
        </w:rPr>
        <w:t>%。</w:t>
      </w:r>
    </w:p>
    <w:p w14:paraId="70DF9B1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val="0"/>
          <w:bCs/>
          <w:sz w:val="32"/>
          <w:szCs w:val="32"/>
        </w:rPr>
      </w:pPr>
    </w:p>
    <w:p w14:paraId="67B4604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451F1C5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年度支出合计</w:t>
      </w:r>
      <w:r>
        <w:rPr>
          <w:rFonts w:hint="eastAsia" w:ascii="仿宋" w:hAnsi="仿宋" w:eastAsia="仿宋" w:cs="仿宋"/>
          <w:sz w:val="32"/>
          <w:szCs w:val="32"/>
          <w:lang w:val="en-US" w:eastAsia="zh-CN"/>
        </w:rPr>
        <w:t>880.64</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880.64</w:t>
      </w:r>
      <w:r>
        <w:rPr>
          <w:rFonts w:hint="eastAsia" w:ascii="仿宋" w:hAnsi="仿宋" w:eastAsia="仿宋" w:cs="仿宋"/>
          <w:sz w:val="32"/>
          <w:szCs w:val="32"/>
        </w:rPr>
        <w:t>万元，占</w:t>
      </w:r>
      <w:r>
        <w:rPr>
          <w:rFonts w:hint="eastAsia" w:ascii="仿宋" w:hAnsi="仿宋" w:eastAsia="仿宋" w:cs="仿宋"/>
          <w:sz w:val="32"/>
          <w:szCs w:val="32"/>
          <w:lang w:val="en-US" w:eastAsia="zh-CN"/>
        </w:rPr>
        <w:t>100</w:t>
      </w:r>
      <w:r>
        <w:rPr>
          <w:rFonts w:hint="eastAsia" w:ascii="仿宋" w:hAnsi="仿宋" w:eastAsia="仿宋" w:cs="仿宋"/>
          <w:sz w:val="32"/>
          <w:szCs w:val="32"/>
        </w:rPr>
        <w:t>%；项目支出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%；上缴上级支出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%；对附属单位补助支出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14:paraId="14706A0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19D28A5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32"/>
          <w:highlight w:val="yellow"/>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年度财政拨款收、支总计</w:t>
      </w:r>
      <w:r>
        <w:rPr>
          <w:rFonts w:hint="eastAsia" w:ascii="仿宋" w:hAnsi="仿宋" w:eastAsia="仿宋" w:cs="仿宋"/>
          <w:sz w:val="32"/>
          <w:szCs w:val="32"/>
          <w:lang w:val="en-US" w:eastAsia="zh-CN"/>
        </w:rPr>
        <w:t>873.78</w:t>
      </w:r>
      <w:r>
        <w:rPr>
          <w:rFonts w:hint="eastAsia" w:ascii="仿宋" w:hAnsi="仿宋" w:eastAsia="仿宋" w:cs="仿宋"/>
          <w:sz w:val="32"/>
          <w:szCs w:val="32"/>
        </w:rPr>
        <w:t>万元，与上年相比，增加</w:t>
      </w:r>
      <w:r>
        <w:rPr>
          <w:rFonts w:hint="eastAsia" w:ascii="仿宋" w:hAnsi="仿宋" w:eastAsia="仿宋" w:cs="仿宋"/>
          <w:sz w:val="32"/>
          <w:szCs w:val="32"/>
          <w:lang w:val="en-US" w:eastAsia="zh-CN"/>
        </w:rPr>
        <w:t>95.93</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12.33</w:t>
      </w:r>
      <w:r>
        <w:rPr>
          <w:rFonts w:hint="eastAsia" w:ascii="仿宋" w:hAnsi="仿宋" w:eastAsia="仿宋" w:cs="仿宋"/>
          <w:sz w:val="32"/>
          <w:szCs w:val="32"/>
        </w:rPr>
        <w:t>%，</w:t>
      </w:r>
      <w:r>
        <w:rPr>
          <w:rFonts w:hint="eastAsia" w:ascii="仿宋" w:hAnsi="仿宋" w:eastAsia="仿宋" w:cs="仿宋"/>
          <w:sz w:val="32"/>
          <w:szCs w:val="32"/>
          <w:lang w:eastAsia="zh-CN"/>
        </w:rPr>
        <w:t>主要是因为三方审计服务支出增加。</w:t>
      </w:r>
    </w:p>
    <w:p w14:paraId="4444312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A20515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（一）一般公共预算财政拨款支出决算总体情况</w:t>
      </w:r>
    </w:p>
    <w:p w14:paraId="5F203FD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highlight w:val="yellow"/>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年度财政拨款支出</w:t>
      </w:r>
      <w:r>
        <w:rPr>
          <w:rFonts w:hint="eastAsia" w:ascii="仿宋" w:hAnsi="仿宋" w:eastAsia="仿宋" w:cs="仿宋"/>
          <w:sz w:val="32"/>
          <w:szCs w:val="32"/>
          <w:lang w:val="en-US" w:eastAsia="zh-CN"/>
        </w:rPr>
        <w:t>873.78</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99.22</w:t>
      </w:r>
      <w:r>
        <w:rPr>
          <w:rFonts w:hint="eastAsia" w:ascii="仿宋" w:hAnsi="仿宋" w:eastAsia="仿宋" w:cs="仿宋"/>
          <w:sz w:val="32"/>
          <w:szCs w:val="32"/>
        </w:rPr>
        <w:t>%，与上年相比，财政拨款支出</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95.93</w:t>
      </w:r>
      <w:r>
        <w:rPr>
          <w:rFonts w:hint="eastAsia" w:ascii="仿宋" w:hAnsi="仿宋" w:eastAsia="仿宋" w:cs="仿宋"/>
          <w:sz w:val="32"/>
          <w:szCs w:val="32"/>
        </w:rPr>
        <w:t>万元，</w:t>
      </w:r>
      <w:r>
        <w:rPr>
          <w:rFonts w:hint="eastAsia" w:ascii="仿宋" w:hAnsi="仿宋" w:eastAsia="仿宋" w:cs="仿宋"/>
          <w:sz w:val="32"/>
          <w:szCs w:val="32"/>
          <w:lang w:eastAsia="zh-CN"/>
        </w:rPr>
        <w:t>增长</w:t>
      </w:r>
      <w:r>
        <w:rPr>
          <w:rFonts w:hint="eastAsia" w:ascii="仿宋" w:hAnsi="仿宋" w:eastAsia="仿宋" w:cs="仿宋"/>
          <w:sz w:val="32"/>
          <w:szCs w:val="32"/>
          <w:lang w:val="en-US" w:eastAsia="zh-CN"/>
        </w:rPr>
        <w:t>12.33</w:t>
      </w:r>
      <w:r>
        <w:rPr>
          <w:rFonts w:hint="eastAsia" w:ascii="仿宋" w:hAnsi="仿宋" w:eastAsia="仿宋" w:cs="仿宋"/>
          <w:sz w:val="32"/>
          <w:szCs w:val="32"/>
        </w:rPr>
        <w:t>%，</w:t>
      </w:r>
      <w:r>
        <w:rPr>
          <w:rFonts w:hint="eastAsia" w:ascii="仿宋" w:hAnsi="仿宋" w:eastAsia="仿宋" w:cs="仿宋"/>
          <w:sz w:val="32"/>
          <w:szCs w:val="32"/>
          <w:lang w:eastAsia="zh-CN"/>
        </w:rPr>
        <w:t>主要是因为三方审计服务支出增加。</w:t>
      </w:r>
    </w:p>
    <w:p w14:paraId="6210673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（二）一般公共预算财政拨款支出决算结构情况</w:t>
      </w:r>
    </w:p>
    <w:p w14:paraId="0CC30AB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年度财政拨款支出</w:t>
      </w:r>
      <w:r>
        <w:rPr>
          <w:rFonts w:hint="eastAsia" w:ascii="仿宋" w:hAnsi="仿宋" w:eastAsia="仿宋" w:cs="仿宋"/>
          <w:sz w:val="32"/>
          <w:szCs w:val="32"/>
          <w:lang w:val="en-US" w:eastAsia="zh-CN"/>
        </w:rPr>
        <w:t>873.78</w:t>
      </w:r>
      <w:r>
        <w:rPr>
          <w:rFonts w:hint="eastAsia" w:ascii="仿宋" w:hAnsi="仿宋" w:eastAsia="仿宋" w:cs="仿宋"/>
          <w:sz w:val="32"/>
          <w:szCs w:val="32"/>
        </w:rPr>
        <w:t>万元，主要用于以下方面：一般公共服务（类）支出</w:t>
      </w:r>
      <w:r>
        <w:rPr>
          <w:rFonts w:hint="eastAsia" w:ascii="仿宋" w:hAnsi="仿宋" w:eastAsia="仿宋" w:cs="仿宋"/>
          <w:sz w:val="32"/>
          <w:szCs w:val="32"/>
          <w:lang w:val="en-US" w:eastAsia="zh-CN"/>
        </w:rPr>
        <w:t>873.78</w:t>
      </w:r>
      <w:r>
        <w:rPr>
          <w:rFonts w:hint="eastAsia" w:ascii="仿宋" w:hAnsi="仿宋" w:eastAsia="仿宋" w:cs="仿宋"/>
          <w:sz w:val="32"/>
          <w:szCs w:val="32"/>
        </w:rPr>
        <w:t>万元，占</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w:t>
      </w:r>
    </w:p>
    <w:p w14:paraId="3AC51BC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（三）一般公共预算财政拨款支出决算具体情况</w:t>
      </w:r>
    </w:p>
    <w:p w14:paraId="1D766CE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年度财政拨款支出</w:t>
      </w:r>
      <w:r>
        <w:rPr>
          <w:rFonts w:hint="eastAsia" w:ascii="仿宋" w:hAnsi="仿宋" w:eastAsia="仿宋" w:cs="仿宋"/>
          <w:sz w:val="32"/>
          <w:szCs w:val="32"/>
          <w:lang w:eastAsia="zh-CN"/>
        </w:rPr>
        <w:t>年初预算数为</w:t>
      </w:r>
      <w:r>
        <w:rPr>
          <w:rFonts w:hint="eastAsia" w:ascii="仿宋" w:hAnsi="仿宋" w:eastAsia="仿宋" w:cs="仿宋"/>
          <w:sz w:val="32"/>
          <w:szCs w:val="32"/>
          <w:lang w:val="en-US" w:eastAsia="zh-CN"/>
        </w:rPr>
        <w:t>719.92万元，</w:t>
      </w:r>
      <w:r>
        <w:rPr>
          <w:rFonts w:hint="eastAsia" w:ascii="仿宋" w:hAnsi="仿宋" w:eastAsia="仿宋" w:cs="仿宋"/>
          <w:sz w:val="32"/>
          <w:szCs w:val="32"/>
        </w:rPr>
        <w:t>支出决算数为</w:t>
      </w:r>
      <w:r>
        <w:rPr>
          <w:rFonts w:hint="eastAsia" w:ascii="仿宋" w:hAnsi="仿宋" w:eastAsia="仿宋" w:cs="仿宋"/>
          <w:sz w:val="32"/>
          <w:szCs w:val="32"/>
          <w:lang w:val="en-US" w:eastAsia="zh-CN"/>
        </w:rPr>
        <w:t>873.78</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121.37</w:t>
      </w:r>
      <w:r>
        <w:rPr>
          <w:rFonts w:hint="eastAsia" w:ascii="仿宋" w:hAnsi="仿宋" w:eastAsia="仿宋" w:cs="仿宋"/>
          <w:sz w:val="32"/>
          <w:szCs w:val="32"/>
        </w:rPr>
        <w:t>%，其中：</w:t>
      </w:r>
    </w:p>
    <w:p w14:paraId="3D2894A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1、一般公共服务（类）</w:t>
      </w:r>
      <w:r>
        <w:rPr>
          <w:rFonts w:hint="eastAsia" w:ascii="仿宋" w:hAnsi="仿宋" w:eastAsia="仿宋" w:cs="仿宋"/>
          <w:b/>
          <w:bCs/>
          <w:sz w:val="32"/>
          <w:szCs w:val="32"/>
          <w:lang w:eastAsia="zh-CN"/>
        </w:rPr>
        <w:t>审计事务</w:t>
      </w:r>
      <w:r>
        <w:rPr>
          <w:rFonts w:hint="eastAsia" w:ascii="仿宋" w:hAnsi="仿宋" w:eastAsia="仿宋" w:cs="仿宋"/>
          <w:b/>
          <w:bCs/>
          <w:sz w:val="32"/>
          <w:szCs w:val="32"/>
        </w:rPr>
        <w:t>（款）</w:t>
      </w:r>
      <w:r>
        <w:rPr>
          <w:rFonts w:hint="eastAsia" w:ascii="仿宋" w:hAnsi="仿宋" w:eastAsia="仿宋" w:cs="仿宋"/>
          <w:b/>
          <w:bCs/>
          <w:sz w:val="32"/>
          <w:szCs w:val="32"/>
          <w:lang w:eastAsia="zh-CN"/>
        </w:rPr>
        <w:t>行政运行</w:t>
      </w:r>
      <w:r>
        <w:rPr>
          <w:rFonts w:hint="eastAsia" w:ascii="仿宋" w:hAnsi="仿宋" w:eastAsia="仿宋" w:cs="仿宋"/>
          <w:b/>
          <w:bCs/>
          <w:sz w:val="32"/>
          <w:szCs w:val="32"/>
        </w:rPr>
        <w:t>（项）。</w:t>
      </w:r>
    </w:p>
    <w:p w14:paraId="1B4C9AE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年初预算为</w:t>
      </w:r>
      <w:r>
        <w:rPr>
          <w:rFonts w:hint="eastAsia" w:ascii="仿宋" w:hAnsi="仿宋" w:eastAsia="仿宋" w:cs="仿宋"/>
          <w:sz w:val="32"/>
          <w:szCs w:val="32"/>
          <w:lang w:val="en-US" w:eastAsia="zh-CN"/>
        </w:rPr>
        <w:t>719.92万元，</w:t>
      </w:r>
      <w:r>
        <w:rPr>
          <w:rFonts w:hint="eastAsia" w:ascii="仿宋" w:hAnsi="仿宋" w:eastAsia="仿宋" w:cs="仿宋"/>
          <w:sz w:val="32"/>
          <w:szCs w:val="32"/>
        </w:rPr>
        <w:t>支出决算为</w:t>
      </w:r>
      <w:r>
        <w:rPr>
          <w:rFonts w:hint="eastAsia" w:ascii="仿宋" w:hAnsi="仿宋" w:eastAsia="仿宋" w:cs="仿宋"/>
          <w:sz w:val="32"/>
          <w:szCs w:val="32"/>
          <w:lang w:val="en-US" w:eastAsia="zh-CN"/>
        </w:rPr>
        <w:t>783.81</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108.87</w:t>
      </w:r>
      <w:r>
        <w:rPr>
          <w:rFonts w:hint="eastAsia" w:ascii="仿宋" w:hAnsi="仿宋" w:eastAsia="仿宋" w:cs="仿宋"/>
          <w:sz w:val="32"/>
          <w:szCs w:val="32"/>
        </w:rPr>
        <w:t>%，决算数大于年初预算数的</w:t>
      </w:r>
      <w:r>
        <w:rPr>
          <w:rFonts w:hint="eastAsia" w:ascii="仿宋" w:hAnsi="仿宋" w:eastAsia="仿宋" w:cs="仿宋"/>
          <w:sz w:val="32"/>
          <w:szCs w:val="32"/>
          <w:lang w:eastAsia="zh-CN"/>
        </w:rPr>
        <w:t>主要原因是三方审计服务支出增加。</w:t>
      </w:r>
    </w:p>
    <w:p w14:paraId="47383E2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b/>
          <w:bCs/>
          <w:sz w:val="32"/>
          <w:szCs w:val="32"/>
        </w:rPr>
        <w:t>2、一般公共服务（类）</w:t>
      </w:r>
      <w:r>
        <w:rPr>
          <w:rFonts w:hint="eastAsia" w:ascii="仿宋" w:hAnsi="仿宋" w:eastAsia="仿宋" w:cs="仿宋"/>
          <w:b/>
          <w:bCs/>
          <w:sz w:val="32"/>
          <w:szCs w:val="32"/>
          <w:lang w:eastAsia="zh-CN"/>
        </w:rPr>
        <w:t>审计事务</w:t>
      </w:r>
      <w:r>
        <w:rPr>
          <w:rFonts w:hint="eastAsia" w:ascii="仿宋" w:hAnsi="仿宋" w:eastAsia="仿宋" w:cs="仿宋"/>
          <w:b/>
          <w:bCs/>
          <w:sz w:val="32"/>
          <w:szCs w:val="32"/>
        </w:rPr>
        <w:t>（款）</w:t>
      </w:r>
      <w:r>
        <w:rPr>
          <w:rFonts w:hint="eastAsia" w:ascii="仿宋" w:hAnsi="仿宋" w:eastAsia="仿宋" w:cs="仿宋"/>
          <w:b/>
          <w:bCs/>
          <w:sz w:val="32"/>
          <w:szCs w:val="32"/>
          <w:lang w:eastAsia="zh-CN"/>
        </w:rPr>
        <w:t>审计业务</w:t>
      </w:r>
      <w:r>
        <w:rPr>
          <w:rFonts w:hint="eastAsia" w:ascii="仿宋" w:hAnsi="仿宋" w:eastAsia="仿宋" w:cs="仿宋"/>
          <w:b/>
          <w:bCs/>
          <w:sz w:val="32"/>
          <w:szCs w:val="32"/>
        </w:rPr>
        <w:t>（项）。</w:t>
      </w:r>
    </w:p>
    <w:p w14:paraId="69E770D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年初预算为</w:t>
      </w:r>
      <w:r>
        <w:rPr>
          <w:rFonts w:hint="eastAsia" w:ascii="仿宋" w:hAnsi="仿宋" w:eastAsia="仿宋" w:cs="仿宋"/>
          <w:sz w:val="32"/>
          <w:szCs w:val="32"/>
          <w:lang w:val="en-US" w:eastAsia="zh-CN"/>
        </w:rPr>
        <w:t>0万元，</w:t>
      </w:r>
      <w:r>
        <w:rPr>
          <w:rFonts w:hint="eastAsia" w:ascii="仿宋" w:hAnsi="仿宋" w:eastAsia="仿宋" w:cs="仿宋"/>
          <w:sz w:val="32"/>
          <w:szCs w:val="32"/>
        </w:rPr>
        <w:t>支出决算为</w:t>
      </w:r>
      <w:r>
        <w:rPr>
          <w:rFonts w:hint="eastAsia" w:ascii="仿宋" w:hAnsi="仿宋" w:eastAsia="仿宋" w:cs="仿宋"/>
          <w:sz w:val="32"/>
          <w:szCs w:val="32"/>
          <w:lang w:val="en-US" w:eastAsia="zh-CN"/>
        </w:rPr>
        <w:t>5</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0</w:t>
      </w:r>
      <w:r>
        <w:rPr>
          <w:rFonts w:hint="eastAsia" w:ascii="仿宋" w:hAnsi="仿宋" w:eastAsia="仿宋" w:cs="仿宋"/>
          <w:sz w:val="32"/>
          <w:szCs w:val="32"/>
        </w:rPr>
        <w:t>%，决算数大于年初预算数的</w:t>
      </w:r>
      <w:r>
        <w:rPr>
          <w:rFonts w:hint="eastAsia" w:ascii="仿宋" w:hAnsi="仿宋" w:eastAsia="仿宋" w:cs="仿宋"/>
          <w:sz w:val="32"/>
          <w:szCs w:val="32"/>
          <w:lang w:eastAsia="zh-CN"/>
        </w:rPr>
        <w:t>主要原因是三方审计服务支出增加。</w:t>
      </w:r>
    </w:p>
    <w:p w14:paraId="5EF5E888">
      <w:pPr>
        <w:pStyle w:val="13"/>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一般公共服务（类）</w:t>
      </w:r>
      <w:r>
        <w:rPr>
          <w:rFonts w:hint="eastAsia" w:ascii="仿宋" w:hAnsi="仿宋" w:eastAsia="仿宋" w:cs="仿宋"/>
          <w:b/>
          <w:bCs/>
          <w:sz w:val="32"/>
          <w:szCs w:val="32"/>
          <w:lang w:eastAsia="zh-CN"/>
        </w:rPr>
        <w:t>其他一般公共服务支出</w:t>
      </w:r>
      <w:r>
        <w:rPr>
          <w:rFonts w:hint="eastAsia" w:ascii="仿宋" w:hAnsi="仿宋" w:eastAsia="仿宋" w:cs="仿宋"/>
          <w:b/>
          <w:bCs/>
          <w:sz w:val="32"/>
          <w:szCs w:val="32"/>
        </w:rPr>
        <w:t>（款）</w:t>
      </w:r>
      <w:r>
        <w:rPr>
          <w:rFonts w:hint="eastAsia" w:ascii="仿宋" w:hAnsi="仿宋" w:eastAsia="仿宋" w:cs="仿宋"/>
          <w:b/>
          <w:bCs/>
          <w:sz w:val="32"/>
          <w:szCs w:val="32"/>
          <w:lang w:eastAsia="zh-CN"/>
        </w:rPr>
        <w:t>其他一般公共服务支出</w:t>
      </w:r>
      <w:r>
        <w:rPr>
          <w:rFonts w:hint="eastAsia" w:ascii="仿宋" w:hAnsi="仿宋" w:eastAsia="仿宋" w:cs="仿宋"/>
          <w:b/>
          <w:bCs/>
          <w:sz w:val="32"/>
          <w:szCs w:val="32"/>
        </w:rPr>
        <w:t>（项）。</w:t>
      </w:r>
    </w:p>
    <w:p w14:paraId="66B83BFE">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年初预算为</w:t>
      </w:r>
      <w:r>
        <w:rPr>
          <w:rFonts w:hint="eastAsia" w:ascii="仿宋" w:hAnsi="仿宋" w:eastAsia="仿宋" w:cs="仿宋"/>
          <w:sz w:val="32"/>
          <w:szCs w:val="32"/>
          <w:lang w:val="en-US" w:eastAsia="zh-CN"/>
        </w:rPr>
        <w:t>0万元，</w:t>
      </w:r>
      <w:r>
        <w:rPr>
          <w:rFonts w:hint="eastAsia" w:ascii="仿宋" w:hAnsi="仿宋" w:eastAsia="仿宋" w:cs="仿宋"/>
          <w:sz w:val="32"/>
          <w:szCs w:val="32"/>
        </w:rPr>
        <w:t>支出决算为</w:t>
      </w:r>
      <w:r>
        <w:rPr>
          <w:rFonts w:hint="eastAsia" w:ascii="仿宋" w:hAnsi="仿宋" w:eastAsia="仿宋" w:cs="仿宋"/>
          <w:sz w:val="32"/>
          <w:szCs w:val="32"/>
          <w:lang w:val="en-US" w:eastAsia="zh-CN"/>
        </w:rPr>
        <w:t>84.97</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0</w:t>
      </w:r>
      <w:r>
        <w:rPr>
          <w:rFonts w:hint="eastAsia" w:ascii="仿宋" w:hAnsi="仿宋" w:eastAsia="仿宋" w:cs="仿宋"/>
          <w:sz w:val="32"/>
          <w:szCs w:val="32"/>
        </w:rPr>
        <w:t>%，决算数大于年初预算数的</w:t>
      </w:r>
      <w:r>
        <w:rPr>
          <w:rFonts w:hint="eastAsia" w:ascii="仿宋" w:hAnsi="仿宋" w:eastAsia="仿宋" w:cs="仿宋"/>
          <w:sz w:val="32"/>
          <w:szCs w:val="32"/>
          <w:lang w:eastAsia="zh-CN"/>
        </w:rPr>
        <w:t>主要原因是三方审计服务支出增加。</w:t>
      </w:r>
    </w:p>
    <w:p w14:paraId="03FE170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4E8ADB8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年度财政拨款基本支出</w:t>
      </w:r>
      <w:r>
        <w:rPr>
          <w:rFonts w:hint="eastAsia" w:ascii="仿宋" w:hAnsi="仿宋" w:eastAsia="仿宋" w:cs="仿宋"/>
          <w:sz w:val="32"/>
          <w:szCs w:val="32"/>
          <w:lang w:val="en-US" w:eastAsia="zh-CN"/>
        </w:rPr>
        <w:t>873.78</w:t>
      </w:r>
      <w:r>
        <w:rPr>
          <w:rFonts w:hint="eastAsia" w:ascii="仿宋" w:hAnsi="仿宋" w:eastAsia="仿宋" w:cs="仿宋"/>
          <w:sz w:val="32"/>
          <w:szCs w:val="32"/>
        </w:rPr>
        <w:t>万元，其中：</w:t>
      </w:r>
    </w:p>
    <w:p w14:paraId="495AE26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b/>
          <w:bCs/>
          <w:sz w:val="32"/>
          <w:szCs w:val="32"/>
        </w:rPr>
        <w:t>人员经费</w:t>
      </w:r>
      <w:r>
        <w:rPr>
          <w:rFonts w:hint="eastAsia" w:ascii="仿宋" w:hAnsi="仿宋" w:eastAsia="仿宋" w:cs="仿宋"/>
          <w:sz w:val="32"/>
          <w:szCs w:val="32"/>
          <w:lang w:val="en-US" w:eastAsia="zh-CN"/>
        </w:rPr>
        <w:t>503.41</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57.61</w:t>
      </w:r>
      <w:r>
        <w:rPr>
          <w:rFonts w:hint="eastAsia" w:ascii="仿宋" w:hAnsi="仿宋" w:eastAsia="仿宋" w:cs="仿宋"/>
          <w:sz w:val="32"/>
          <w:szCs w:val="32"/>
        </w:rPr>
        <w:t>%,主要包括</w:t>
      </w:r>
      <w:r>
        <w:rPr>
          <w:rFonts w:hint="eastAsia" w:ascii="仿宋" w:hAnsi="仿宋" w:eastAsia="仿宋" w:cs="仿宋"/>
          <w:sz w:val="32"/>
          <w:szCs w:val="32"/>
          <w:lang w:val="en-US"/>
        </w:rPr>
        <w:t>基本工资、津贴补贴、</w:t>
      </w:r>
      <w:r>
        <w:rPr>
          <w:rFonts w:hint="eastAsia" w:ascii="仿宋" w:hAnsi="仿宋" w:eastAsia="仿宋" w:cs="仿宋"/>
          <w:sz w:val="32"/>
          <w:szCs w:val="32"/>
          <w:lang w:val="zh-CN"/>
        </w:rPr>
        <w:t>奖金、伙食补助费、绩效工资、机关事业单位基本养老保险缴费、职业年金缴费、职工基本医疗保险缴费、其他社会保障缴费、住房公积金、对个人和家庭的补助、退休费、抚恤金、奖励金；</w:t>
      </w:r>
    </w:p>
    <w:p w14:paraId="4BF9C70A">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b/>
          <w:bCs/>
          <w:sz w:val="32"/>
          <w:szCs w:val="32"/>
        </w:rPr>
        <w:t>公用经费</w:t>
      </w:r>
      <w:r>
        <w:rPr>
          <w:rFonts w:hint="eastAsia" w:ascii="仿宋" w:hAnsi="仿宋" w:eastAsia="仿宋" w:cs="仿宋"/>
          <w:sz w:val="32"/>
          <w:szCs w:val="32"/>
          <w:lang w:val="en-US" w:eastAsia="zh-CN"/>
        </w:rPr>
        <w:t>370.37</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42.39</w:t>
      </w:r>
      <w:r>
        <w:rPr>
          <w:rFonts w:hint="eastAsia" w:ascii="仿宋" w:hAnsi="仿宋" w:eastAsia="仿宋" w:cs="仿宋"/>
          <w:sz w:val="32"/>
          <w:szCs w:val="32"/>
        </w:rPr>
        <w:t>%，主要包括</w:t>
      </w:r>
      <w:r>
        <w:rPr>
          <w:rFonts w:hint="eastAsia" w:ascii="仿宋" w:hAnsi="仿宋" w:eastAsia="仿宋" w:cs="仿宋"/>
          <w:sz w:val="32"/>
          <w:szCs w:val="32"/>
          <w:lang w:val="en-US"/>
        </w:rPr>
        <w:t>办公费、印刷费、咨询费、水费、电费、邮电费、差旅费、维修（护）费、培训费、公务接待费、劳务费、委托业务费、工会经费、其他交通费用、其他商品和服务支出。</w:t>
      </w:r>
    </w:p>
    <w:p w14:paraId="647F99D7">
      <w:pPr>
        <w:pStyle w:val="13"/>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2FDDD51D">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（一）“三公”经费财政拨款支出决算总体情况说明</w:t>
      </w:r>
    </w:p>
    <w:p w14:paraId="4CD6AC1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“三公”经费财政拨款支出预算为</w:t>
      </w:r>
      <w:r>
        <w:rPr>
          <w:rFonts w:hint="eastAsia" w:ascii="仿宋" w:hAnsi="仿宋" w:eastAsia="仿宋" w:cs="仿宋"/>
          <w:sz w:val="32"/>
          <w:szCs w:val="32"/>
          <w:lang w:val="en-US" w:eastAsia="zh-CN"/>
        </w:rPr>
        <w:t>1</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0.28</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28</w:t>
      </w:r>
      <w:r>
        <w:rPr>
          <w:rFonts w:hint="eastAsia" w:ascii="仿宋" w:hAnsi="仿宋" w:eastAsia="仿宋" w:cs="仿宋"/>
          <w:sz w:val="32"/>
          <w:szCs w:val="32"/>
        </w:rPr>
        <w:t>%，决算数</w:t>
      </w:r>
      <w:r>
        <w:rPr>
          <w:rFonts w:hint="eastAsia" w:ascii="仿宋" w:hAnsi="仿宋" w:eastAsia="仿宋" w:cs="仿宋"/>
          <w:sz w:val="32"/>
          <w:szCs w:val="32"/>
          <w:lang w:eastAsia="zh-CN"/>
        </w:rPr>
        <w:t>小于</w:t>
      </w:r>
      <w:r>
        <w:rPr>
          <w:rFonts w:hint="eastAsia" w:ascii="仿宋" w:hAnsi="仿宋" w:eastAsia="仿宋" w:cs="仿宋"/>
          <w:sz w:val="32"/>
          <w:szCs w:val="32"/>
        </w:rPr>
        <w:t>预算数的主要原因是</w:t>
      </w:r>
      <w:r>
        <w:rPr>
          <w:rFonts w:hint="eastAsia" w:ascii="仿宋" w:hAnsi="仿宋" w:eastAsia="仿宋" w:cs="仿宋"/>
          <w:sz w:val="32"/>
          <w:szCs w:val="32"/>
          <w:lang w:eastAsia="zh-CN"/>
        </w:rPr>
        <w:t>落实厉行节约要求，从严控制“三公”经费支出。</w:t>
      </w:r>
      <w:r>
        <w:rPr>
          <w:rFonts w:hint="eastAsia" w:ascii="仿宋" w:hAnsi="仿宋" w:eastAsia="仿宋" w:cs="仿宋"/>
          <w:sz w:val="32"/>
          <w:szCs w:val="32"/>
        </w:rPr>
        <w:t>与上年相比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0.13</w:t>
      </w:r>
      <w:r>
        <w:rPr>
          <w:rFonts w:hint="eastAsia" w:ascii="仿宋" w:hAnsi="仿宋" w:eastAsia="仿宋" w:cs="仿宋"/>
          <w:sz w:val="32"/>
          <w:szCs w:val="32"/>
        </w:rPr>
        <w:t>万元</w:t>
      </w:r>
      <w:r>
        <w:rPr>
          <w:rFonts w:hint="eastAsia" w:ascii="仿宋" w:hAnsi="仿宋" w:eastAsia="仿宋" w:cs="仿宋"/>
          <w:sz w:val="32"/>
          <w:szCs w:val="32"/>
          <w:lang w:eastAsia="zh-CN"/>
        </w:rPr>
        <w:t>，增长</w:t>
      </w:r>
      <w:r>
        <w:rPr>
          <w:rFonts w:hint="eastAsia" w:ascii="仿宋" w:hAnsi="仿宋" w:eastAsia="仿宋" w:cs="仿宋"/>
          <w:sz w:val="32"/>
          <w:szCs w:val="32"/>
          <w:lang w:val="en-US" w:eastAsia="zh-CN"/>
        </w:rPr>
        <w:t>86.67</w:t>
      </w:r>
      <w:r>
        <w:rPr>
          <w:rFonts w:hint="eastAsia" w:ascii="仿宋" w:hAnsi="仿宋" w:eastAsia="仿宋" w:cs="仿宋"/>
          <w:sz w:val="32"/>
          <w:szCs w:val="32"/>
        </w:rPr>
        <w:t>%,</w:t>
      </w:r>
      <w:r>
        <w:rPr>
          <w:rFonts w:hint="eastAsia" w:ascii="仿宋" w:hAnsi="仿宋" w:eastAsia="仿宋" w:cs="仿宋"/>
          <w:sz w:val="32"/>
          <w:szCs w:val="32"/>
          <w:lang w:eastAsia="zh-CN"/>
        </w:rPr>
        <w:t>增长</w:t>
      </w:r>
      <w:r>
        <w:rPr>
          <w:rFonts w:hint="eastAsia" w:ascii="仿宋" w:hAnsi="仿宋" w:eastAsia="仿宋" w:cs="仿宋"/>
          <w:sz w:val="32"/>
          <w:szCs w:val="32"/>
        </w:rPr>
        <w:t>的主要原因是</w:t>
      </w:r>
      <w:r>
        <w:rPr>
          <w:rFonts w:hint="eastAsia" w:ascii="仿宋" w:hAnsi="仿宋" w:eastAsia="仿宋" w:cs="仿宋"/>
          <w:sz w:val="32"/>
          <w:szCs w:val="32"/>
          <w:lang w:eastAsia="zh-CN"/>
        </w:rPr>
        <w:t>上级检查略有增加导致接待费增加</w:t>
      </w:r>
      <w:r>
        <w:rPr>
          <w:rFonts w:hint="eastAsia" w:ascii="仿宋" w:hAnsi="仿宋" w:eastAsia="仿宋" w:cs="仿宋"/>
          <w:sz w:val="32"/>
          <w:szCs w:val="32"/>
        </w:rPr>
        <w:t>。其中：因公出国（境）费支出预算为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0</w:t>
      </w:r>
      <w:r>
        <w:rPr>
          <w:rFonts w:hint="eastAsia" w:ascii="仿宋" w:hAnsi="仿宋" w:eastAsia="仿宋" w:cs="仿宋"/>
          <w:sz w:val="32"/>
          <w:szCs w:val="32"/>
        </w:rPr>
        <w:t>%，与上年相比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增长</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14:paraId="252B00B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公务接待费支出预算为</w:t>
      </w:r>
      <w:r>
        <w:rPr>
          <w:rFonts w:hint="eastAsia" w:ascii="仿宋" w:hAnsi="仿宋" w:eastAsia="仿宋" w:cs="仿宋"/>
          <w:sz w:val="32"/>
          <w:szCs w:val="32"/>
          <w:lang w:val="en-US" w:eastAsia="zh-CN"/>
        </w:rPr>
        <w:t>1</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0.28</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28</w:t>
      </w:r>
      <w:r>
        <w:rPr>
          <w:rFonts w:hint="eastAsia" w:ascii="仿宋" w:hAnsi="仿宋" w:eastAsia="仿宋" w:cs="仿宋"/>
          <w:sz w:val="32"/>
          <w:szCs w:val="32"/>
        </w:rPr>
        <w:t>%，决算数</w:t>
      </w:r>
      <w:r>
        <w:rPr>
          <w:rFonts w:hint="eastAsia" w:ascii="仿宋" w:hAnsi="仿宋" w:eastAsia="仿宋" w:cs="仿宋"/>
          <w:sz w:val="32"/>
          <w:szCs w:val="32"/>
          <w:lang w:eastAsia="zh-CN"/>
        </w:rPr>
        <w:t>小于</w:t>
      </w:r>
      <w:r>
        <w:rPr>
          <w:rFonts w:hint="eastAsia" w:ascii="仿宋" w:hAnsi="仿宋" w:eastAsia="仿宋" w:cs="仿宋"/>
          <w:sz w:val="32"/>
          <w:szCs w:val="32"/>
        </w:rPr>
        <w:t>预算数的主要原因是</w:t>
      </w:r>
      <w:r>
        <w:rPr>
          <w:rFonts w:hint="eastAsia" w:ascii="仿宋" w:hAnsi="仿宋" w:eastAsia="仿宋" w:cs="仿宋"/>
          <w:sz w:val="32"/>
          <w:szCs w:val="32"/>
          <w:lang w:eastAsia="zh-CN"/>
        </w:rPr>
        <w:t>落实厉行节约要求，从严控制“三公”经费支出。</w:t>
      </w:r>
      <w:r>
        <w:rPr>
          <w:rFonts w:hint="eastAsia" w:ascii="仿宋" w:hAnsi="仿宋" w:eastAsia="仿宋" w:cs="仿宋"/>
          <w:sz w:val="32"/>
          <w:szCs w:val="32"/>
        </w:rPr>
        <w:t>与上年相比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0.13</w:t>
      </w:r>
      <w:r>
        <w:rPr>
          <w:rFonts w:hint="eastAsia" w:ascii="仿宋" w:hAnsi="仿宋" w:eastAsia="仿宋" w:cs="仿宋"/>
          <w:sz w:val="32"/>
          <w:szCs w:val="32"/>
        </w:rPr>
        <w:t>万元</w:t>
      </w:r>
      <w:r>
        <w:rPr>
          <w:rFonts w:hint="eastAsia" w:ascii="仿宋" w:hAnsi="仿宋" w:eastAsia="仿宋" w:cs="仿宋"/>
          <w:sz w:val="32"/>
          <w:szCs w:val="32"/>
          <w:lang w:eastAsia="zh-CN"/>
        </w:rPr>
        <w:t>，增长</w:t>
      </w:r>
      <w:r>
        <w:rPr>
          <w:rFonts w:hint="eastAsia" w:ascii="仿宋" w:hAnsi="仿宋" w:eastAsia="仿宋" w:cs="仿宋"/>
          <w:sz w:val="32"/>
          <w:szCs w:val="32"/>
          <w:lang w:val="en-US" w:eastAsia="zh-CN"/>
        </w:rPr>
        <w:t>86.67</w:t>
      </w:r>
      <w:r>
        <w:rPr>
          <w:rFonts w:hint="eastAsia" w:ascii="仿宋" w:hAnsi="仿宋" w:eastAsia="仿宋" w:cs="仿宋"/>
          <w:sz w:val="32"/>
          <w:szCs w:val="32"/>
        </w:rPr>
        <w:t>%,</w:t>
      </w:r>
      <w:r>
        <w:rPr>
          <w:rFonts w:hint="eastAsia" w:ascii="仿宋" w:hAnsi="仿宋" w:eastAsia="仿宋" w:cs="仿宋"/>
          <w:sz w:val="32"/>
          <w:szCs w:val="32"/>
          <w:lang w:eastAsia="zh-CN"/>
        </w:rPr>
        <w:t>增长</w:t>
      </w:r>
      <w:r>
        <w:rPr>
          <w:rFonts w:hint="eastAsia" w:ascii="仿宋" w:hAnsi="仿宋" w:eastAsia="仿宋" w:cs="仿宋"/>
          <w:sz w:val="32"/>
          <w:szCs w:val="32"/>
        </w:rPr>
        <w:t>的主要原因是</w:t>
      </w:r>
      <w:r>
        <w:rPr>
          <w:rFonts w:hint="eastAsia" w:ascii="仿宋" w:hAnsi="仿宋" w:eastAsia="仿宋" w:cs="仿宋"/>
          <w:sz w:val="32"/>
          <w:szCs w:val="32"/>
          <w:lang w:eastAsia="zh-CN"/>
        </w:rPr>
        <w:t>上级检查略有增加导致接待费增加</w:t>
      </w:r>
      <w:r>
        <w:rPr>
          <w:rFonts w:hint="eastAsia" w:ascii="仿宋" w:hAnsi="仿宋" w:eastAsia="仿宋" w:cs="仿宋"/>
          <w:sz w:val="32"/>
          <w:szCs w:val="32"/>
        </w:rPr>
        <w:t>。</w:t>
      </w:r>
    </w:p>
    <w:p w14:paraId="3E42255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公务用车购置费支出预算为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0</w:t>
      </w:r>
      <w:r>
        <w:rPr>
          <w:rFonts w:hint="eastAsia" w:ascii="仿宋" w:hAnsi="仿宋" w:eastAsia="仿宋" w:cs="仿宋"/>
          <w:sz w:val="32"/>
          <w:szCs w:val="32"/>
        </w:rPr>
        <w:t>%，与上年相比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增长</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14:paraId="5F4F576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公务用车运行维护费支出预算为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0</w:t>
      </w:r>
      <w:r>
        <w:rPr>
          <w:rFonts w:hint="eastAsia" w:ascii="仿宋" w:hAnsi="仿宋" w:eastAsia="仿宋" w:cs="仿宋"/>
          <w:sz w:val="32"/>
          <w:szCs w:val="32"/>
        </w:rPr>
        <w:t>%，与上年相比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增长</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14:paraId="308C1BD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（二）“三公”经费财政拨款支出决算具体情况说明</w:t>
      </w:r>
    </w:p>
    <w:p w14:paraId="58804A3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年度“三公”经费财政拨款支出决算中，公务接待费支出决算</w:t>
      </w:r>
      <w:r>
        <w:rPr>
          <w:rFonts w:hint="eastAsia" w:ascii="仿宋" w:hAnsi="仿宋" w:eastAsia="仿宋" w:cs="仿宋"/>
          <w:sz w:val="32"/>
          <w:szCs w:val="32"/>
          <w:lang w:val="en-US" w:eastAsia="zh-CN"/>
        </w:rPr>
        <w:t>0.28</w:t>
      </w:r>
      <w:r>
        <w:rPr>
          <w:rFonts w:hint="eastAsia" w:ascii="仿宋" w:hAnsi="仿宋" w:eastAsia="仿宋" w:cs="仿宋"/>
          <w:sz w:val="32"/>
          <w:szCs w:val="32"/>
        </w:rPr>
        <w:t>万元，占</w:t>
      </w:r>
      <w:r>
        <w:rPr>
          <w:rFonts w:hint="eastAsia" w:ascii="仿宋" w:hAnsi="仿宋" w:eastAsia="仿宋" w:cs="仿宋"/>
          <w:sz w:val="32"/>
          <w:szCs w:val="32"/>
          <w:lang w:val="en-US" w:eastAsia="zh-CN"/>
        </w:rPr>
        <w:t>100</w:t>
      </w:r>
      <w:r>
        <w:rPr>
          <w:rFonts w:hint="eastAsia" w:ascii="仿宋" w:hAnsi="仿宋" w:eastAsia="仿宋" w:cs="仿宋"/>
          <w:sz w:val="32"/>
          <w:szCs w:val="32"/>
        </w:rPr>
        <w:t>%,因公出国（境）费支出决算</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%,公务用车购置费及运行维护费支出决算</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%。其中：</w:t>
      </w:r>
    </w:p>
    <w:p w14:paraId="01D2DA2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bCs/>
          <w:i/>
          <w:color w:val="auto"/>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因公出国（境）费支出决算为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万元，全年安排因公出国（境）团组</w:t>
      </w:r>
      <w:r>
        <w:rPr>
          <w:rFonts w:hint="eastAsia" w:ascii="仿宋" w:hAnsi="仿宋" w:eastAsia="仿宋" w:cs="仿宋"/>
          <w:sz w:val="32"/>
          <w:szCs w:val="32"/>
          <w:lang w:val="en-US" w:eastAsia="zh-CN"/>
        </w:rPr>
        <w:t>0</w:t>
      </w:r>
      <w:r>
        <w:rPr>
          <w:rFonts w:hint="eastAsia" w:ascii="仿宋" w:hAnsi="仿宋" w:eastAsia="仿宋" w:cs="仿宋"/>
          <w:sz w:val="32"/>
          <w:szCs w:val="32"/>
        </w:rPr>
        <w:t>个，累计</w:t>
      </w:r>
      <w:r>
        <w:rPr>
          <w:rFonts w:hint="eastAsia" w:ascii="仿宋" w:hAnsi="仿宋" w:eastAsia="仿宋" w:cs="仿宋"/>
          <w:sz w:val="32"/>
          <w:szCs w:val="32"/>
          <w:lang w:val="en-US" w:eastAsia="zh-CN"/>
        </w:rPr>
        <w:t>0</w:t>
      </w:r>
      <w:r>
        <w:rPr>
          <w:rFonts w:hint="eastAsia" w:ascii="仿宋" w:hAnsi="仿宋" w:eastAsia="仿宋" w:cs="仿宋"/>
          <w:sz w:val="32"/>
          <w:szCs w:val="32"/>
        </w:rPr>
        <w:t>人次</w:t>
      </w:r>
      <w:r>
        <w:rPr>
          <w:rFonts w:hint="eastAsia" w:ascii="仿宋" w:hAnsi="仿宋" w:eastAsia="仿宋" w:cs="仿宋"/>
          <w:sz w:val="32"/>
          <w:szCs w:val="32"/>
          <w:lang w:eastAsia="zh-CN"/>
        </w:rPr>
        <w:t>。</w:t>
      </w:r>
    </w:p>
    <w:p w14:paraId="72C66F3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2、公务接待费支出决算为</w:t>
      </w:r>
      <w:r>
        <w:rPr>
          <w:rFonts w:hint="eastAsia" w:ascii="仿宋" w:hAnsi="仿宋" w:eastAsia="仿宋" w:cs="仿宋"/>
          <w:sz w:val="32"/>
          <w:szCs w:val="32"/>
          <w:lang w:val="en-US" w:eastAsia="zh-CN"/>
        </w:rPr>
        <w:t>0.28</w:t>
      </w:r>
      <w:r>
        <w:rPr>
          <w:rFonts w:hint="eastAsia" w:ascii="仿宋" w:hAnsi="仿宋" w:eastAsia="仿宋" w:cs="仿宋"/>
          <w:sz w:val="32"/>
          <w:szCs w:val="32"/>
        </w:rPr>
        <w:t>万元，全年共接待来访团组</w:t>
      </w:r>
      <w:r>
        <w:rPr>
          <w:rFonts w:hint="eastAsia" w:ascii="仿宋" w:hAnsi="仿宋" w:eastAsia="仿宋" w:cs="仿宋"/>
          <w:sz w:val="32"/>
          <w:szCs w:val="32"/>
          <w:lang w:val="en-US" w:eastAsia="zh-CN"/>
        </w:rPr>
        <w:t>3</w:t>
      </w:r>
      <w:r>
        <w:rPr>
          <w:rFonts w:hint="eastAsia" w:ascii="仿宋" w:hAnsi="仿宋" w:eastAsia="仿宋" w:cs="仿宋"/>
          <w:sz w:val="32"/>
          <w:szCs w:val="32"/>
        </w:rPr>
        <w:t>个、来宾</w:t>
      </w:r>
      <w:r>
        <w:rPr>
          <w:rFonts w:hint="eastAsia" w:ascii="仿宋" w:hAnsi="仿宋" w:eastAsia="仿宋" w:cs="仿宋"/>
          <w:sz w:val="32"/>
          <w:szCs w:val="32"/>
          <w:lang w:val="en-US" w:eastAsia="zh-CN"/>
        </w:rPr>
        <w:t>12</w:t>
      </w:r>
      <w:r>
        <w:rPr>
          <w:rFonts w:hint="eastAsia" w:ascii="仿宋" w:hAnsi="仿宋" w:eastAsia="仿宋" w:cs="仿宋"/>
          <w:sz w:val="32"/>
          <w:szCs w:val="32"/>
        </w:rPr>
        <w:t>人次，主要是</w:t>
      </w:r>
      <w:r>
        <w:rPr>
          <w:rFonts w:hint="eastAsia" w:ascii="仿宋" w:hAnsi="仿宋" w:eastAsia="仿宋" w:cs="仿宋"/>
          <w:sz w:val="32"/>
          <w:szCs w:val="32"/>
          <w:lang w:eastAsia="zh-CN"/>
        </w:rPr>
        <w:t>上级主管部门检查工作</w:t>
      </w:r>
      <w:r>
        <w:rPr>
          <w:rFonts w:hint="eastAsia" w:ascii="仿宋" w:hAnsi="仿宋" w:eastAsia="仿宋" w:cs="仿宋"/>
          <w:sz w:val="32"/>
          <w:szCs w:val="32"/>
        </w:rPr>
        <w:t>发生的接待支出。</w:t>
      </w:r>
    </w:p>
    <w:p w14:paraId="2997EF53">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bCs/>
          <w:i/>
          <w:color w:val="FF0000"/>
          <w:kern w:val="0"/>
          <w:sz w:val="32"/>
          <w:szCs w:val="32"/>
          <w:lang w:val="en-US" w:eastAsia="zh-CN" w:bidi="ar-SA"/>
        </w:rPr>
      </w:pPr>
      <w:r>
        <w:rPr>
          <w:rFonts w:hint="eastAsia" w:ascii="仿宋" w:hAnsi="仿宋" w:eastAsia="仿宋" w:cs="仿宋"/>
          <w:sz w:val="32"/>
          <w:szCs w:val="32"/>
        </w:rPr>
        <w:t>3、公务用车购置费及运行维护费支出决算为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万元，其中：公务用车购置费</w:t>
      </w:r>
      <w:r>
        <w:rPr>
          <w:rFonts w:hint="eastAsia" w:ascii="仿宋" w:hAnsi="仿宋" w:eastAsia="仿宋" w:cs="仿宋"/>
          <w:sz w:val="32"/>
          <w:szCs w:val="32"/>
          <w:lang w:val="en-US" w:eastAsia="zh-CN"/>
        </w:rPr>
        <w:t>0</w:t>
      </w:r>
      <w:r>
        <w:rPr>
          <w:rFonts w:hint="eastAsia" w:ascii="仿宋" w:hAnsi="仿宋" w:eastAsia="仿宋" w:cs="仿宋"/>
          <w:sz w:val="32"/>
          <w:szCs w:val="32"/>
        </w:rPr>
        <w:t>万元，公务用车运行维护费</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截止202</w:t>
      </w:r>
      <w:r>
        <w:rPr>
          <w:rFonts w:hint="eastAsia" w:ascii="仿宋" w:hAnsi="仿宋" w:eastAsia="仿宋" w:cs="仿宋"/>
          <w:sz w:val="32"/>
          <w:szCs w:val="32"/>
          <w:lang w:val="en-US" w:eastAsia="zh-CN"/>
        </w:rPr>
        <w:t>3</w:t>
      </w:r>
      <w:r>
        <w:rPr>
          <w:rFonts w:hint="eastAsia" w:ascii="仿宋" w:hAnsi="仿宋" w:eastAsia="仿宋" w:cs="仿宋"/>
          <w:sz w:val="32"/>
          <w:szCs w:val="32"/>
        </w:rPr>
        <w:t>年12月31日，我单位开支财政拨款的公务用车保有量为</w:t>
      </w:r>
      <w:r>
        <w:rPr>
          <w:rFonts w:hint="eastAsia" w:ascii="仿宋" w:hAnsi="仿宋" w:eastAsia="仿宋" w:cs="仿宋"/>
          <w:sz w:val="32"/>
          <w:szCs w:val="32"/>
          <w:lang w:val="en-US" w:eastAsia="zh-CN"/>
        </w:rPr>
        <w:t>0</w:t>
      </w:r>
      <w:r>
        <w:rPr>
          <w:rFonts w:hint="eastAsia" w:ascii="仿宋" w:hAnsi="仿宋" w:eastAsia="仿宋" w:cs="仿宋"/>
          <w:sz w:val="32"/>
          <w:szCs w:val="32"/>
        </w:rPr>
        <w:t>辆。</w:t>
      </w:r>
    </w:p>
    <w:p w14:paraId="797EE96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57AA927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w:t>
      </w:r>
      <w:r>
        <w:rPr>
          <w:rFonts w:hint="eastAsia" w:ascii="仿宋" w:hAnsi="仿宋" w:eastAsia="仿宋" w:cs="仿宋"/>
          <w:sz w:val="32"/>
          <w:szCs w:val="32"/>
          <w:lang w:eastAsia="zh-CN"/>
        </w:rPr>
        <w:t>本单位无政府性基金预算收支。</w:t>
      </w:r>
    </w:p>
    <w:p w14:paraId="54504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ascii="Calibri" w:hAnsi="Calibri" w:eastAsia="宋体" w:cs="Times New Roman"/>
          <w:kern w:val="0"/>
          <w:sz w:val="24"/>
          <w:szCs w:val="24"/>
          <w:lang w:val="en-US" w:eastAsia="zh-CN" w:bidi="ar"/>
        </w:rPr>
      </w:pPr>
      <w:r>
        <w:rPr>
          <w:rFonts w:hint="eastAsia" w:ascii="黑体" w:hAnsi="黑体" w:eastAsia="黑体" w:cs="黑体"/>
          <w:b w:val="0"/>
          <w:bCs/>
          <w:color w:val="000000"/>
          <w:kern w:val="0"/>
          <w:sz w:val="32"/>
          <w:szCs w:val="32"/>
          <w:lang w:val="en-US" w:eastAsia="zh-CN" w:bidi="ar-SA"/>
        </w:rPr>
        <w:t>九、国有资本经营预算财政拨款支出决算情况</w:t>
      </w:r>
    </w:p>
    <w:p w14:paraId="6C0023E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000000"/>
          <w:kern w:val="0"/>
          <w:sz w:val="32"/>
          <w:szCs w:val="32"/>
          <w:lang w:val="en-US" w:eastAsia="zh-CN" w:bidi="ar-SA"/>
        </w:rPr>
        <w:t>2023年本单位没有使用国有资本经营预算安排的支出。</w:t>
      </w:r>
    </w:p>
    <w:p w14:paraId="439C0E9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lang w:eastAsia="zh-CN"/>
        </w:rPr>
      </w:pPr>
      <w:r>
        <w:rPr>
          <w:rFonts w:hint="eastAsia" w:hAnsi="黑体" w:cs="黑体"/>
          <w:b w:val="0"/>
          <w:bCs/>
          <w:color w:val="auto"/>
          <w:sz w:val="32"/>
          <w:szCs w:val="32"/>
          <w:lang w:eastAsia="zh-CN"/>
        </w:rPr>
        <w:t>十、关于机关运行经费支出说明</w:t>
      </w:r>
    </w:p>
    <w:p w14:paraId="4C58C9D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本部门202</w:t>
      </w:r>
      <w:r>
        <w:rPr>
          <w:rFonts w:hint="eastAsia" w:ascii="仿宋" w:hAnsi="仿宋" w:eastAsia="仿宋" w:cs="仿宋"/>
          <w:sz w:val="32"/>
          <w:szCs w:val="32"/>
          <w:lang w:val="en-US" w:eastAsia="zh-CN"/>
        </w:rPr>
        <w:t>3</w:t>
      </w:r>
      <w:r>
        <w:rPr>
          <w:rFonts w:hint="eastAsia" w:ascii="仿宋" w:hAnsi="仿宋" w:eastAsia="仿宋" w:cs="仿宋"/>
          <w:sz w:val="32"/>
          <w:szCs w:val="32"/>
        </w:rPr>
        <w:t>年度机关运行经费支出</w:t>
      </w:r>
      <w:r>
        <w:rPr>
          <w:rFonts w:hint="eastAsia" w:ascii="仿宋" w:hAnsi="仿宋" w:eastAsia="仿宋" w:cs="仿宋"/>
          <w:sz w:val="32"/>
          <w:szCs w:val="32"/>
          <w:lang w:val="en-US" w:eastAsia="zh-CN"/>
        </w:rPr>
        <w:t>370.37</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比年初预算数</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256.12</w:t>
      </w:r>
      <w:r>
        <w:rPr>
          <w:rFonts w:hint="eastAsia" w:ascii="仿宋" w:hAnsi="仿宋" w:eastAsia="仿宋" w:cs="仿宋"/>
          <w:sz w:val="32"/>
          <w:szCs w:val="32"/>
        </w:rPr>
        <w:t xml:space="preserve"> 万元，</w:t>
      </w:r>
      <w:r>
        <w:rPr>
          <w:rFonts w:hint="eastAsia" w:ascii="仿宋" w:hAnsi="仿宋" w:eastAsia="仿宋" w:cs="仿宋"/>
          <w:sz w:val="32"/>
          <w:szCs w:val="32"/>
          <w:lang w:eastAsia="zh-CN"/>
        </w:rPr>
        <w:t>增长</w:t>
      </w:r>
      <w:r>
        <w:rPr>
          <w:rFonts w:hint="eastAsia" w:ascii="仿宋" w:hAnsi="仿宋" w:eastAsia="仿宋" w:cs="仿宋"/>
          <w:sz w:val="32"/>
          <w:szCs w:val="32"/>
          <w:lang w:val="en-US" w:eastAsia="zh-CN"/>
        </w:rPr>
        <w:t>224.18</w:t>
      </w:r>
      <w:r>
        <w:rPr>
          <w:rFonts w:hint="eastAsia" w:ascii="仿宋" w:hAnsi="仿宋" w:eastAsia="仿宋" w:cs="仿宋"/>
          <w:sz w:val="32"/>
          <w:szCs w:val="32"/>
        </w:rPr>
        <w:t>%。</w:t>
      </w:r>
      <w:r>
        <w:rPr>
          <w:rFonts w:hint="eastAsia" w:ascii="仿宋" w:hAnsi="仿宋" w:eastAsia="仿宋" w:cs="仿宋"/>
          <w:sz w:val="32"/>
          <w:szCs w:val="32"/>
          <w:lang w:eastAsia="zh-CN"/>
        </w:rPr>
        <w:t>主要原因是三方审计服务支出增加。</w:t>
      </w:r>
    </w:p>
    <w:p w14:paraId="153A184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一</w:t>
      </w:r>
      <w:r>
        <w:rPr>
          <w:rFonts w:hint="eastAsia" w:ascii="黑体" w:hAnsi="黑体" w:eastAsia="黑体" w:cs="黑体"/>
          <w:b w:val="0"/>
          <w:bCs/>
          <w:sz w:val="32"/>
          <w:szCs w:val="32"/>
        </w:rPr>
        <w:t>、一般性支出情况说明</w:t>
      </w:r>
    </w:p>
    <w:p w14:paraId="0F426C6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年本部门开支会议费</w:t>
      </w:r>
      <w:r>
        <w:rPr>
          <w:rFonts w:hint="eastAsia" w:ascii="仿宋" w:hAnsi="仿宋" w:eastAsia="仿宋" w:cs="仿宋"/>
          <w:sz w:val="32"/>
          <w:szCs w:val="32"/>
          <w:lang w:val="en-US" w:eastAsia="zh-CN"/>
        </w:rPr>
        <w:t>0</w:t>
      </w:r>
      <w:r>
        <w:rPr>
          <w:rFonts w:hint="eastAsia" w:ascii="仿宋" w:hAnsi="仿宋" w:eastAsia="仿宋" w:cs="仿宋"/>
          <w:sz w:val="32"/>
          <w:szCs w:val="32"/>
        </w:rPr>
        <w:t>万元；开支培训费</w:t>
      </w:r>
      <w:r>
        <w:rPr>
          <w:rFonts w:hint="eastAsia" w:ascii="仿宋" w:hAnsi="仿宋" w:eastAsia="仿宋" w:cs="仿宋"/>
          <w:sz w:val="32"/>
          <w:szCs w:val="32"/>
          <w:lang w:val="en-US" w:eastAsia="zh-CN"/>
        </w:rPr>
        <w:t>6.8</w:t>
      </w:r>
      <w:r>
        <w:rPr>
          <w:rFonts w:hint="eastAsia" w:ascii="仿宋" w:hAnsi="仿宋" w:eastAsia="仿宋" w:cs="仿宋"/>
          <w:sz w:val="32"/>
          <w:szCs w:val="32"/>
        </w:rPr>
        <w:t>万元，用于开展</w:t>
      </w:r>
      <w:r>
        <w:rPr>
          <w:rFonts w:hint="eastAsia" w:ascii="仿宋" w:hAnsi="仿宋" w:eastAsia="仿宋" w:cs="仿宋"/>
          <w:sz w:val="32"/>
          <w:szCs w:val="32"/>
          <w:lang w:eastAsia="zh-CN"/>
        </w:rPr>
        <w:t>审计业务</w:t>
      </w:r>
      <w:r>
        <w:rPr>
          <w:rFonts w:hint="eastAsia" w:ascii="仿宋" w:hAnsi="仿宋" w:eastAsia="仿宋" w:cs="仿宋"/>
          <w:sz w:val="32"/>
          <w:szCs w:val="32"/>
        </w:rPr>
        <w:t>培训，人数</w:t>
      </w:r>
      <w:r>
        <w:rPr>
          <w:rFonts w:hint="eastAsia" w:ascii="仿宋" w:hAnsi="仿宋" w:eastAsia="仿宋" w:cs="仿宋"/>
          <w:sz w:val="32"/>
          <w:szCs w:val="32"/>
          <w:lang w:val="en-US" w:eastAsia="zh-CN"/>
        </w:rPr>
        <w:t>92</w:t>
      </w:r>
      <w:r>
        <w:rPr>
          <w:rFonts w:hint="eastAsia" w:ascii="仿宋" w:hAnsi="仿宋" w:eastAsia="仿宋" w:cs="仿宋"/>
          <w:sz w:val="32"/>
          <w:szCs w:val="32"/>
        </w:rPr>
        <w:t>人，内容为</w:t>
      </w:r>
      <w:r>
        <w:rPr>
          <w:rFonts w:hint="eastAsia" w:ascii="仿宋" w:hAnsi="仿宋" w:eastAsia="仿宋" w:cs="仿宋"/>
          <w:sz w:val="32"/>
          <w:szCs w:val="32"/>
          <w:lang w:eastAsia="zh-CN"/>
        </w:rPr>
        <w:t>审计方法、内审知识等</w:t>
      </w:r>
      <w:r>
        <w:rPr>
          <w:rFonts w:hint="eastAsia" w:ascii="仿宋" w:hAnsi="仿宋" w:eastAsia="仿宋" w:cs="仿宋"/>
          <w:sz w:val="32"/>
          <w:szCs w:val="32"/>
        </w:rPr>
        <w:t>；举办节庆、晚会、论坛、赛事活动，开支</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14:paraId="6189083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二</w:t>
      </w:r>
      <w:r>
        <w:rPr>
          <w:rFonts w:hint="eastAsia" w:ascii="黑体" w:hAnsi="黑体" w:eastAsia="黑体" w:cs="黑体"/>
          <w:b w:val="0"/>
          <w:bCs/>
          <w:sz w:val="32"/>
          <w:szCs w:val="32"/>
        </w:rPr>
        <w:t>、关于政府采购支出说明</w:t>
      </w:r>
    </w:p>
    <w:p w14:paraId="0074487F">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仿宋"/>
          <w:b/>
          <w:bCs/>
          <w:i/>
          <w:color w:val="FF0000"/>
          <w:kern w:val="0"/>
          <w:sz w:val="32"/>
          <w:szCs w:val="32"/>
          <w:lang w:val="en-US" w:eastAsia="zh-CN" w:bidi="ar-SA"/>
        </w:rPr>
      </w:pPr>
      <w:r>
        <w:rPr>
          <w:rFonts w:hint="eastAsia" w:ascii="仿宋" w:hAnsi="仿宋" w:eastAsia="仿宋" w:cs="仿宋"/>
          <w:sz w:val="32"/>
          <w:szCs w:val="32"/>
        </w:rPr>
        <w:t>本部门202</w:t>
      </w:r>
      <w:r>
        <w:rPr>
          <w:rFonts w:hint="eastAsia" w:ascii="仿宋" w:hAnsi="仿宋" w:eastAsia="仿宋" w:cs="仿宋"/>
          <w:sz w:val="32"/>
          <w:szCs w:val="32"/>
          <w:lang w:val="en-US" w:eastAsia="zh-CN"/>
        </w:rPr>
        <w:t>3</w:t>
      </w:r>
      <w:r>
        <w:rPr>
          <w:rFonts w:hint="eastAsia" w:ascii="仿宋" w:hAnsi="仿宋" w:eastAsia="仿宋" w:cs="仿宋"/>
          <w:sz w:val="32"/>
          <w:szCs w:val="32"/>
        </w:rPr>
        <w:t>年度政府采购支出总额</w:t>
      </w:r>
      <w:r>
        <w:rPr>
          <w:rFonts w:hint="eastAsia" w:ascii="仿宋" w:hAnsi="仿宋" w:eastAsia="仿宋" w:cs="仿宋"/>
          <w:sz w:val="32"/>
          <w:szCs w:val="32"/>
          <w:lang w:val="en-US" w:eastAsia="zh-CN"/>
        </w:rPr>
        <w:t>0.23</w:t>
      </w:r>
      <w:r>
        <w:rPr>
          <w:rFonts w:hint="eastAsia" w:ascii="仿宋" w:hAnsi="仿宋" w:eastAsia="仿宋" w:cs="仿宋"/>
          <w:sz w:val="32"/>
          <w:szCs w:val="32"/>
        </w:rPr>
        <w:t>万元，其中：政府采购货物支出</w:t>
      </w:r>
      <w:r>
        <w:rPr>
          <w:rFonts w:hint="eastAsia" w:ascii="仿宋" w:hAnsi="仿宋" w:eastAsia="仿宋" w:cs="仿宋"/>
          <w:sz w:val="32"/>
          <w:szCs w:val="32"/>
          <w:lang w:val="en-US" w:eastAsia="zh-CN"/>
        </w:rPr>
        <w:t>0.23</w:t>
      </w:r>
      <w:r>
        <w:rPr>
          <w:rFonts w:hint="eastAsia" w:ascii="仿宋" w:hAnsi="仿宋" w:eastAsia="仿宋" w:cs="仿宋"/>
          <w:sz w:val="32"/>
          <w:szCs w:val="32"/>
        </w:rPr>
        <w:t>万元、政府采购工程支出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万元、政府采购服务支出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万元。授予中小企业合同金额</w:t>
      </w:r>
      <w:r>
        <w:rPr>
          <w:rFonts w:hint="eastAsia" w:ascii="仿宋" w:hAnsi="仿宋" w:eastAsia="仿宋" w:cs="仿宋"/>
          <w:sz w:val="32"/>
          <w:szCs w:val="32"/>
          <w:lang w:val="en-US" w:eastAsia="zh-CN"/>
        </w:rPr>
        <w:t>0.23</w:t>
      </w:r>
      <w:r>
        <w:rPr>
          <w:rFonts w:hint="eastAsia" w:ascii="仿宋" w:hAnsi="仿宋" w:eastAsia="仿宋" w:cs="仿宋"/>
          <w:sz w:val="32"/>
          <w:szCs w:val="32"/>
        </w:rPr>
        <w:t>万元，占政府采购支出总额的</w:t>
      </w:r>
      <w:r>
        <w:rPr>
          <w:rFonts w:hint="eastAsia" w:ascii="仿宋" w:hAnsi="仿宋" w:eastAsia="仿宋" w:cs="仿宋"/>
          <w:sz w:val="32"/>
          <w:szCs w:val="32"/>
          <w:lang w:val="en-US" w:eastAsia="zh-CN"/>
        </w:rPr>
        <w:t>100</w:t>
      </w:r>
      <w:r>
        <w:rPr>
          <w:rFonts w:hint="eastAsia" w:ascii="仿宋" w:hAnsi="仿宋" w:eastAsia="仿宋" w:cs="仿宋"/>
          <w:sz w:val="32"/>
          <w:szCs w:val="32"/>
        </w:rPr>
        <w:t>%，其中：授予小微企业合同金额</w:t>
      </w:r>
      <w:r>
        <w:rPr>
          <w:rFonts w:hint="eastAsia" w:ascii="仿宋" w:hAnsi="仿宋" w:eastAsia="仿宋" w:cs="仿宋"/>
          <w:sz w:val="32"/>
          <w:szCs w:val="32"/>
          <w:lang w:val="en-US" w:eastAsia="zh-CN"/>
        </w:rPr>
        <w:t>0.23</w:t>
      </w:r>
      <w:r>
        <w:rPr>
          <w:rFonts w:hint="eastAsia" w:ascii="仿宋" w:hAnsi="仿宋" w:eastAsia="仿宋" w:cs="仿宋"/>
          <w:sz w:val="32"/>
          <w:szCs w:val="32"/>
        </w:rPr>
        <w:t>万元，</w:t>
      </w:r>
      <w:r>
        <w:rPr>
          <w:rFonts w:hint="eastAsia" w:ascii="仿宋" w:hAnsi="仿宋" w:eastAsia="仿宋" w:cs="仿宋"/>
          <w:color w:val="auto"/>
          <w:sz w:val="32"/>
          <w:szCs w:val="32"/>
        </w:rPr>
        <w:t>占</w:t>
      </w:r>
      <w:r>
        <w:rPr>
          <w:rFonts w:hint="eastAsia" w:ascii="仿宋" w:hAnsi="仿宋" w:eastAsia="仿宋" w:cs="仿宋"/>
          <w:color w:val="auto"/>
          <w:sz w:val="32"/>
          <w:szCs w:val="32"/>
          <w:lang w:eastAsia="zh-CN"/>
        </w:rPr>
        <w:t>授予中小企业合同金额</w:t>
      </w:r>
      <w:r>
        <w:rPr>
          <w:rFonts w:hint="eastAsia" w:ascii="仿宋" w:hAnsi="仿宋" w:eastAsia="仿宋" w:cs="仿宋"/>
          <w:color w:val="auto"/>
          <w:sz w:val="32"/>
          <w:szCs w:val="32"/>
        </w:rPr>
        <w:t>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%。货物采购授予中小企业合同金额占货物支出金额的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工程采购授予中小企业合同金额占工程支出金额的</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%，服务</w:t>
      </w:r>
      <w:bookmarkStart w:id="0" w:name="_GoBack"/>
      <w:bookmarkEnd w:id="0"/>
      <w:r>
        <w:rPr>
          <w:rFonts w:hint="eastAsia" w:ascii="仿宋" w:hAnsi="仿宋" w:eastAsia="仿宋" w:cs="仿宋"/>
          <w:color w:val="auto"/>
          <w:sz w:val="32"/>
          <w:szCs w:val="32"/>
        </w:rPr>
        <w:t>采购授予中小企业合同金额占服务支出金额的</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w:t>
      </w:r>
    </w:p>
    <w:p w14:paraId="6594F601">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三</w:t>
      </w:r>
      <w:r>
        <w:rPr>
          <w:rFonts w:hint="eastAsia" w:ascii="黑体" w:hAnsi="黑体" w:eastAsia="黑体" w:cs="黑体"/>
          <w:b w:val="0"/>
          <w:bCs/>
          <w:color w:val="auto"/>
          <w:sz w:val="32"/>
          <w:szCs w:val="32"/>
        </w:rPr>
        <w:t>、关于国有资产占用情况说明</w:t>
      </w:r>
    </w:p>
    <w:p w14:paraId="39E86E9D">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截至202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年12月31日，</w:t>
      </w:r>
      <w:r>
        <w:rPr>
          <w:rFonts w:hint="eastAsia" w:ascii="仿宋" w:hAnsi="仿宋" w:eastAsia="仿宋" w:cs="仿宋"/>
          <w:color w:val="auto"/>
          <w:sz w:val="32"/>
          <w:szCs w:val="32"/>
          <w:lang w:eastAsia="zh-CN"/>
        </w:rPr>
        <w:t>本单位</w:t>
      </w:r>
      <w:r>
        <w:rPr>
          <w:rFonts w:hint="eastAsia" w:ascii="仿宋" w:hAnsi="仿宋" w:eastAsia="仿宋" w:cs="仿宋"/>
          <w:color w:val="auto"/>
          <w:sz w:val="32"/>
          <w:szCs w:val="32"/>
        </w:rPr>
        <w:t>共有车辆</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单位价值100万元以上设备</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台。</w:t>
      </w:r>
    </w:p>
    <w:p w14:paraId="7968F3CE">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仿宋"/>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四</w:t>
      </w:r>
      <w:r>
        <w:rPr>
          <w:rFonts w:hint="eastAsia" w:ascii="黑体" w:hAnsi="黑体" w:eastAsia="黑体" w:cs="黑体"/>
          <w:b w:val="0"/>
          <w:bCs/>
          <w:color w:val="auto"/>
          <w:sz w:val="32"/>
          <w:szCs w:val="32"/>
        </w:rPr>
        <w:t>、关于</w:t>
      </w:r>
      <w:r>
        <w:rPr>
          <w:rFonts w:hint="eastAsia" w:ascii="黑体" w:hAnsi="黑体" w:eastAsia="黑体" w:cs="黑体"/>
          <w:color w:val="auto"/>
          <w:sz w:val="32"/>
          <w:szCs w:val="32"/>
        </w:rPr>
        <w:t>202</w:t>
      </w:r>
      <w:r>
        <w:rPr>
          <w:rFonts w:hint="eastAsia" w:ascii="黑体" w:hAnsi="黑体" w:eastAsia="黑体" w:cs="黑体"/>
          <w:color w:val="auto"/>
          <w:sz w:val="32"/>
          <w:szCs w:val="32"/>
          <w:lang w:val="en-US" w:eastAsia="zh-CN"/>
        </w:rPr>
        <w:t>3</w:t>
      </w:r>
      <w:r>
        <w:rPr>
          <w:rFonts w:hint="eastAsia" w:ascii="黑体" w:hAnsi="黑体" w:eastAsia="黑体" w:cs="黑体"/>
          <w:b w:val="0"/>
          <w:bCs/>
          <w:color w:val="auto"/>
          <w:sz w:val="32"/>
          <w:szCs w:val="32"/>
        </w:rPr>
        <w:t>年度</w:t>
      </w:r>
      <w:r>
        <w:rPr>
          <w:rFonts w:hint="eastAsia" w:ascii="黑体" w:hAnsi="黑体" w:eastAsia="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3432E005">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（一）绩效管理工作开展情况</w:t>
      </w:r>
    </w:p>
    <w:p w14:paraId="58A5AB45">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2023年</w:t>
      </w:r>
      <w:r>
        <w:rPr>
          <w:rFonts w:hint="eastAsia" w:ascii="仿宋" w:hAnsi="仿宋" w:eastAsia="仿宋" w:cs="仿宋"/>
          <w:b w:val="0"/>
          <w:bCs w:val="0"/>
          <w:sz w:val="32"/>
          <w:szCs w:val="32"/>
          <w:lang w:eastAsia="zh-CN"/>
        </w:rPr>
        <w:t>，县审计局在党委政府坚强领导下，稳妥推进预算绩效管理工作，不断提高预算绩效管理工作水平，切实提高财政资金使用效益，预算绩效管理工作取得较好成效。</w:t>
      </w:r>
      <w:r>
        <w:rPr>
          <w:rFonts w:hint="eastAsia" w:ascii="仿宋" w:hAnsi="仿宋" w:eastAsia="仿宋" w:cs="仿宋"/>
          <w:b/>
          <w:bCs/>
          <w:sz w:val="32"/>
          <w:szCs w:val="32"/>
          <w:lang w:eastAsia="zh-CN"/>
        </w:rPr>
        <w:t>一是组织领导有力。</w:t>
      </w:r>
      <w:r>
        <w:rPr>
          <w:rFonts w:hint="eastAsia" w:ascii="仿宋" w:hAnsi="仿宋" w:eastAsia="仿宋" w:cs="仿宋"/>
          <w:b w:val="0"/>
          <w:bCs w:val="0"/>
          <w:sz w:val="32"/>
          <w:szCs w:val="32"/>
          <w:lang w:eastAsia="zh-CN"/>
        </w:rPr>
        <w:t>我单位成立了预算绩效管理工作领导小组，配备专职人员。建立了由财务股牵头，其他业务股室配合的工作机制，负责全局预算绩效管理工作。</w:t>
      </w:r>
      <w:r>
        <w:rPr>
          <w:rFonts w:hint="eastAsia" w:ascii="仿宋" w:hAnsi="仿宋" w:eastAsia="仿宋" w:cs="仿宋"/>
          <w:b/>
          <w:bCs/>
          <w:sz w:val="32"/>
          <w:szCs w:val="32"/>
          <w:lang w:eastAsia="zh-CN"/>
        </w:rPr>
        <w:t>二是工作有序开展。</w:t>
      </w:r>
      <w:r>
        <w:rPr>
          <w:rFonts w:hint="eastAsia" w:ascii="仿宋" w:hAnsi="仿宋" w:eastAsia="仿宋" w:cs="仿宋"/>
          <w:b w:val="0"/>
          <w:bCs w:val="0"/>
          <w:sz w:val="32"/>
          <w:szCs w:val="32"/>
          <w:lang w:val="en-US" w:eastAsia="zh-CN"/>
        </w:rPr>
        <w:t>2023年初，</w:t>
      </w:r>
      <w:r>
        <w:rPr>
          <w:rFonts w:hint="eastAsia" w:ascii="仿宋" w:hAnsi="仿宋" w:eastAsia="仿宋" w:cs="仿宋"/>
          <w:b w:val="0"/>
          <w:bCs w:val="0"/>
          <w:sz w:val="32"/>
          <w:szCs w:val="32"/>
          <w:lang w:eastAsia="zh-CN"/>
        </w:rPr>
        <w:t>对整体支出设定了绩效目标，并定期进行监控，动态掌握绩效目标实现程度、资金支出进度和项目实施进程，保证财政资金安全、规范、高效使用。</w:t>
      </w:r>
      <w:r>
        <w:rPr>
          <w:rFonts w:hint="eastAsia" w:ascii="仿宋" w:hAnsi="仿宋" w:eastAsia="仿宋" w:cs="仿宋"/>
          <w:b/>
          <w:bCs/>
          <w:sz w:val="32"/>
          <w:szCs w:val="32"/>
          <w:lang w:eastAsia="zh-CN"/>
        </w:rPr>
        <w:t>三是抓牢绩效评价。</w:t>
      </w:r>
      <w:r>
        <w:rPr>
          <w:rFonts w:hint="eastAsia" w:ascii="仿宋" w:hAnsi="仿宋" w:eastAsia="仿宋" w:cs="仿宋"/>
          <w:b w:val="0"/>
          <w:bCs w:val="0"/>
          <w:sz w:val="32"/>
          <w:szCs w:val="32"/>
          <w:lang w:eastAsia="zh-CN"/>
        </w:rPr>
        <w:t>结合审计工作实际，把握绩效评价重点领域及关注方向，精选评价项目。同时，配合做好省、市、县绩效考评。</w:t>
      </w:r>
    </w:p>
    <w:p w14:paraId="294D8F7F">
      <w:pPr>
        <w:pStyle w:val="13"/>
        <w:keepNext w:val="0"/>
        <w:keepLines w:val="0"/>
        <w:pageBreakBefore w:val="0"/>
        <w:widowControl w:val="0"/>
        <w:numPr>
          <w:ilvl w:val="0"/>
          <w:numId w:val="4"/>
        </w:numPr>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部门整体支出绩效情况</w:t>
      </w:r>
    </w:p>
    <w:p w14:paraId="14AE57AA">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为贯彻执行国家预算法，加强预算绩效管理，我单位严格按预算绩效管理相关要求开展预算工作，</w:t>
      </w:r>
      <w:r>
        <w:rPr>
          <w:rFonts w:hint="eastAsia" w:ascii="仿宋" w:hAnsi="仿宋" w:eastAsia="仿宋" w:cs="仿宋"/>
          <w:sz w:val="32"/>
          <w:szCs w:val="32"/>
          <w:lang w:val="en-US"/>
        </w:rPr>
        <w:t>严格按照预算编制方案科学合理编制本部门预算，从严控制经费，按照“零增长”原则编制“三公经费”预算，并按相关要求严格执行预算范围内开支，并完成所有预定目标，人员调动，及时进行了预算动态调整。按照例行节约</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物尽其用的原则，资产管理采取统一管理，统一录入资产管理系统，对每件固定资产使用明确保管职责，落实专人负责资产报表。按时将部门预算、决算、绩效评价情况相关信息在县政府门户网站进行了公开，使财务状况更加公开、透明。</w:t>
      </w:r>
      <w:r>
        <w:rPr>
          <w:rFonts w:hint="eastAsia" w:ascii="仿宋" w:hAnsi="仿宋" w:eastAsia="仿宋" w:cs="仿宋"/>
          <w:sz w:val="32"/>
          <w:szCs w:val="32"/>
          <w:lang w:val="en-US" w:eastAsia="zh-CN"/>
        </w:rPr>
        <w:t>我局2023年总支出为880.64万元。其中：基本支出880.64万元,占总支出的100%。我局切实以绩效管理为目标，健全单位绩效管理工作机制，明确责任，努力提高绩效管理工作水平；加强单位制度建设，提升预算管理质量，认真</w:t>
      </w:r>
      <w:r>
        <w:rPr>
          <w:rFonts w:hint="eastAsia" w:ascii="仿宋" w:hAnsi="仿宋" w:eastAsia="仿宋" w:cs="仿宋"/>
          <w:sz w:val="32"/>
          <w:szCs w:val="32"/>
          <w:lang w:val="en-US"/>
        </w:rPr>
        <w:t>组织开展行业审计、专项审计、绩效审计和审计调查、以及对党政领导干部和国有企业负责人任期经济责任审计和自然资源资产离任审计</w:t>
      </w:r>
      <w:r>
        <w:rPr>
          <w:rFonts w:hint="eastAsia" w:ascii="仿宋" w:hAnsi="仿宋" w:eastAsia="仿宋" w:cs="仿宋"/>
          <w:sz w:val="32"/>
          <w:szCs w:val="32"/>
          <w:lang w:val="en-US" w:eastAsia="zh-CN"/>
        </w:rPr>
        <w:t>，为我县</w:t>
      </w:r>
      <w:r>
        <w:rPr>
          <w:rFonts w:hint="eastAsia" w:ascii="仿宋" w:hAnsi="仿宋" w:eastAsia="仿宋" w:cs="仿宋"/>
          <w:sz w:val="32"/>
          <w:szCs w:val="32"/>
          <w:lang w:val="en-US"/>
        </w:rPr>
        <w:t>经济发展</w:t>
      </w:r>
      <w:r>
        <w:rPr>
          <w:rFonts w:hint="eastAsia" w:ascii="仿宋" w:hAnsi="仿宋" w:eastAsia="仿宋" w:cs="仿宋"/>
          <w:sz w:val="32"/>
          <w:szCs w:val="32"/>
          <w:lang w:val="en-US" w:eastAsia="zh-CN"/>
        </w:rPr>
        <w:t>发挥了积极作用。</w:t>
      </w:r>
    </w:p>
    <w:p w14:paraId="0A23E769">
      <w:pPr>
        <w:pStyle w:val="13"/>
        <w:keepNext w:val="0"/>
        <w:keepLines w:val="0"/>
        <w:pageBreakBefore w:val="0"/>
        <w:widowControl w:val="0"/>
        <w:numPr>
          <w:ilvl w:val="0"/>
          <w:numId w:val="4"/>
        </w:numPr>
        <w:kinsoku/>
        <w:wordWrap/>
        <w:overflowPunct/>
        <w:topLinePunct w:val="0"/>
        <w:autoSpaceDE w:val="0"/>
        <w:autoSpaceDN w:val="0"/>
        <w:bidi w:val="0"/>
        <w:adjustRightInd w:val="0"/>
        <w:snapToGrid/>
        <w:spacing w:line="600" w:lineRule="exact"/>
        <w:ind w:left="0" w:leftChars="0" w:firstLine="640"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存在的问题及原因分析</w:t>
      </w:r>
    </w:p>
    <w:p w14:paraId="0F50148A">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 w:hAnsi="仿宋" w:eastAsia="仿宋" w:cs="仿宋"/>
          <w:color w:val="auto"/>
          <w:sz w:val="32"/>
          <w:szCs w:val="32"/>
          <w:highlight w:val="white"/>
          <w:lang w:val="en-US" w:eastAsia="zh-CN"/>
        </w:rPr>
      </w:pPr>
      <w:r>
        <w:rPr>
          <w:rFonts w:hint="eastAsia" w:ascii="仿宋" w:hAnsi="仿宋" w:eastAsia="仿宋" w:cs="仿宋"/>
          <w:color w:val="auto"/>
          <w:sz w:val="32"/>
          <w:szCs w:val="32"/>
          <w:highlight w:val="white"/>
          <w:lang w:val="en-US" w:eastAsia="zh-CN"/>
        </w:rPr>
        <w:t>1、厉行节约意识还不够强，票据审核不够严格，财务管理有待进一步规范；</w:t>
      </w:r>
    </w:p>
    <w:p w14:paraId="151B59B0">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 w:hAnsi="仿宋" w:eastAsia="仿宋" w:cs="仿宋"/>
          <w:color w:val="auto"/>
          <w:sz w:val="32"/>
          <w:szCs w:val="32"/>
          <w:highlight w:val="white"/>
          <w:lang w:val="en-US" w:eastAsia="zh-CN"/>
        </w:rPr>
      </w:pPr>
      <w:r>
        <w:rPr>
          <w:rFonts w:hint="eastAsia" w:ascii="仿宋" w:hAnsi="仿宋" w:eastAsia="仿宋" w:cs="仿宋"/>
          <w:color w:val="auto"/>
          <w:sz w:val="32"/>
          <w:szCs w:val="32"/>
          <w:highlight w:val="white"/>
          <w:lang w:val="en-US" w:eastAsia="zh-CN"/>
        </w:rPr>
        <w:t>2、资金预算刚性不够，预算编制与实际支出项目存在差异；</w:t>
      </w:r>
    </w:p>
    <w:p w14:paraId="59227B47">
      <w:pPr>
        <w:keepNext/>
        <w:keepLines/>
        <w:pageBreakBefore w:val="0"/>
        <w:kinsoku/>
        <w:wordWrap/>
        <w:overflowPunct/>
        <w:topLinePunct w:val="0"/>
        <w:bidi w:val="0"/>
        <w:spacing w:beforeLines="0" w:afterLines="0" w:line="600" w:lineRule="exact"/>
        <w:ind w:firstLine="640" w:firstLineChars="200"/>
        <w:textAlignment w:val="auto"/>
        <w:rPr>
          <w:rFonts w:hint="eastAsia" w:ascii="仿宋" w:hAnsi="仿宋" w:eastAsia="仿宋" w:cs="仿宋"/>
          <w:color w:val="auto"/>
          <w:sz w:val="32"/>
          <w:szCs w:val="32"/>
          <w:highlight w:val="white"/>
          <w:lang w:val="en-US" w:eastAsia="zh-CN"/>
        </w:rPr>
      </w:pPr>
      <w:r>
        <w:rPr>
          <w:rFonts w:hint="eastAsia" w:ascii="仿宋" w:hAnsi="仿宋" w:eastAsia="仿宋" w:cs="仿宋"/>
          <w:color w:val="auto"/>
          <w:sz w:val="32"/>
          <w:szCs w:val="32"/>
          <w:highlight w:val="white"/>
          <w:lang w:val="en-US" w:eastAsia="zh-CN"/>
        </w:rPr>
        <w:t>3、部分绩效指标缺乏科学合理设置，绩效指标体系有待完善。</w:t>
      </w:r>
    </w:p>
    <w:p w14:paraId="009841B8">
      <w:pPr>
        <w:pStyle w:val="13"/>
        <w:pageBreakBefore w:val="0"/>
        <w:kinsoku/>
        <w:wordWrap/>
        <w:overflowPunct/>
        <w:topLinePunct w:val="0"/>
        <w:bidi w:val="0"/>
        <w:spacing w:line="600" w:lineRule="exact"/>
        <w:ind w:firstLine="720" w:firstLineChars="200"/>
        <w:jc w:val="center"/>
        <w:textAlignment w:val="auto"/>
        <w:rPr>
          <w:rFonts w:hint="eastAsia" w:ascii="黑体" w:hAnsi="黑体" w:eastAsia="黑体" w:cs="黑体"/>
          <w:sz w:val="36"/>
          <w:szCs w:val="36"/>
        </w:rPr>
      </w:pPr>
      <w:r>
        <w:rPr>
          <w:rFonts w:hint="eastAsia" w:ascii="黑体" w:hAnsi="黑体" w:eastAsia="黑体" w:cs="黑体"/>
          <w:sz w:val="36"/>
          <w:szCs w:val="36"/>
        </w:rPr>
        <w:t>第四部分</w:t>
      </w:r>
      <w:r>
        <w:rPr>
          <w:rFonts w:hint="eastAsia" w:hAnsi="黑体" w:cs="黑体"/>
          <w:sz w:val="36"/>
          <w:szCs w:val="36"/>
          <w:lang w:val="en-US" w:eastAsia="zh-CN"/>
        </w:rPr>
        <w:t xml:space="preserve">  </w:t>
      </w:r>
      <w:r>
        <w:rPr>
          <w:rFonts w:hint="eastAsia" w:ascii="黑体" w:hAnsi="黑体" w:eastAsia="黑体" w:cs="黑体"/>
          <w:sz w:val="36"/>
          <w:szCs w:val="36"/>
        </w:rPr>
        <w:t>名词解释</w:t>
      </w:r>
    </w:p>
    <w:p w14:paraId="6359EDE1">
      <w:pPr>
        <w:pStyle w:val="13"/>
        <w:pageBreakBefore w:val="0"/>
        <w:kinsoku/>
        <w:wordWrap/>
        <w:overflowPunct/>
        <w:topLinePunct w:val="0"/>
        <w:bidi w:val="0"/>
        <w:spacing w:line="600" w:lineRule="exact"/>
        <w:ind w:firstLine="720" w:firstLineChars="200"/>
        <w:jc w:val="center"/>
        <w:textAlignment w:val="auto"/>
        <w:rPr>
          <w:rFonts w:hint="eastAsia" w:ascii="黑体" w:hAnsi="黑体" w:eastAsia="黑体" w:cs="黑体"/>
          <w:sz w:val="36"/>
          <w:szCs w:val="36"/>
        </w:rPr>
      </w:pPr>
    </w:p>
    <w:p w14:paraId="159E79DE">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财政拨款收入：指本级财政当年拨付的资金。</w:t>
      </w:r>
    </w:p>
    <w:p w14:paraId="41FF5269">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05E888B1">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审计事务（款）：指用于审计业务活动开展等方面的支出。</w:t>
      </w:r>
    </w:p>
    <w:p w14:paraId="1E06857F">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基本支出：指保障机构正常运转、完成支日常工作任务而发生的人员支出和公用支出。</w:t>
      </w:r>
    </w:p>
    <w:p w14:paraId="263BF1F5">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E897D59">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政府采购 ：是指国家各级政府为从事日常的政务活动或为了满足公共服务的目的，利用国家财政性资金和政府借款购买货物、工程和服务的行为。</w:t>
      </w:r>
    </w:p>
    <w:p w14:paraId="089EAF29">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工资福利支出：反映单位开支的在职职工和编制外长期聘用人员的各类劳动报酬，以及为上述人员缴纳的各项社会保险费等。</w:t>
      </w:r>
    </w:p>
    <w:p w14:paraId="5DCFD218">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53FB6C0B">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津贴补贴：反映经国家批准建立的机关事业单位艰苦边远地区津贴、机关工作人员地区附加津贴、机关工作人员岗位津贴、事业单位工作人员特殊岗位津贴补贴等。</w:t>
      </w:r>
    </w:p>
    <w:p w14:paraId="0FE707DE">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奖金：反映机关工作人员年终一次性奖金。</w:t>
      </w:r>
    </w:p>
    <w:p w14:paraId="383E7AAB">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绩效工资：反映事业单位工作人员的绩效工资。</w:t>
      </w:r>
    </w:p>
    <w:p w14:paraId="3B0F60F6">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机关事业单位基本养老保险缴费：反映机关事业单位缴纳的基本养老保险费。由单位代扣的工作人员基本养老保险缴费，不在此科目反映。</w:t>
      </w:r>
    </w:p>
    <w:p w14:paraId="2AA1B576">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职工基本医疗保险缴费：反映单位为职工缴纳的基本医疗保险费。</w:t>
      </w:r>
    </w:p>
    <w:p w14:paraId="22E7B7D9">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其他社会保障缴费：反映单位为职工缴纳的基本医疗、失业、工伤、生育等社会保险费，残疾人就业保障金，军队（含武警）为军人缴纳的伤亡、退役医疗等社会保险费。</w:t>
      </w:r>
    </w:p>
    <w:p w14:paraId="343EB374">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住房公积金：反映行政事业单位按人力资源和社会保障部、财政部规定的基本工资和津贴补贴以及规定比例为职工缴纳的住房公积金。</w:t>
      </w:r>
    </w:p>
    <w:p w14:paraId="00AA46FB">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商品和服务支出：反映单位购买商品和服务的支出（不包括用于购置固定资产的支出、战略性和应急储备支出）。</w:t>
      </w:r>
    </w:p>
    <w:p w14:paraId="764CC2D7">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办公费：反映单位购买按财务会计制度规定不符合固定资产确认标准的日常办公用品、书报杂志等支出。</w:t>
      </w:r>
    </w:p>
    <w:p w14:paraId="4512A7BC">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印刷费：反映单位的印刷费支出。</w:t>
      </w:r>
    </w:p>
    <w:p w14:paraId="15344815">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水费：反映单位支付的水费、污水处理费等支出。</w:t>
      </w:r>
    </w:p>
    <w:p w14:paraId="731CC55F">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电费：反映单位的电费支出。</w:t>
      </w:r>
    </w:p>
    <w:p w14:paraId="6ED08746">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邮电费：反映单位开支的信函、包裹、货物等物品的邮寄费及电话费、电报费、传真费、网络通讯费等。</w:t>
      </w:r>
    </w:p>
    <w:p w14:paraId="5470ACE2">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差旅费：反映单位工作人员出差发生的城市间交通费、住宿费、伙食补贴费和市内交通费。</w:t>
      </w:r>
    </w:p>
    <w:p w14:paraId="2A24A0A1">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维修(护)费：反映单位日常开支的固定资产（不包括车船等交通工具）修理和维护费用，网络信息系统运行与维护费用，以及按规定提取的修购基金。</w:t>
      </w:r>
    </w:p>
    <w:p w14:paraId="3C29AED0">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会议费：反映会议中按规定开支的住宿费、伙食费、会议室租金、交通费、文件印刷费、医药费等。</w:t>
      </w:r>
    </w:p>
    <w:p w14:paraId="2D97411D">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培训费：反映除因公出国（境）培训费以外的各类培训支出。</w:t>
      </w:r>
    </w:p>
    <w:p w14:paraId="53C40876">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公务接待费：反映单位按规定开支的各类公务接待（含外宾接待）费用。</w:t>
      </w:r>
    </w:p>
    <w:p w14:paraId="694B7A76">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劳务费：反映支付给单位和个人的劳务费用，如临时聘用人员、钟点工工资，稿费、翻译费，评审费等。</w:t>
      </w:r>
    </w:p>
    <w:p w14:paraId="456DFB2E">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委托业务费：反映因委托外单位办理业务而支付的委托业务费。</w:t>
      </w:r>
    </w:p>
    <w:p w14:paraId="6328B536">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工会经费：反映单位按规定提取的工会经费。</w:t>
      </w:r>
    </w:p>
    <w:p w14:paraId="3F8C12DB">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其他交通费用：反映单位除公务用车运行维护费以外的其他交通费用。如公务交通补贴，租车费用、出租车费用，飞机、船舶等的燃料费、维修费、保险费等。</w:t>
      </w:r>
    </w:p>
    <w:p w14:paraId="57020520">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其他商品和服务支出：反映上述科目未包括的日常公用支出。如行政赔偿费和诉讼费、国内组织的会员费、来访费、广告宣传、其他劳务费及离休人员特需费、公用经费等。</w:t>
      </w:r>
    </w:p>
    <w:p w14:paraId="32548464">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办公设备购置：反映用于购置并按财务会计制度规定纳入固定资产核算范围的办公家具和办公设备的支出，以及按规定提取的修购基金。</w:t>
      </w:r>
    </w:p>
    <w:p w14:paraId="3AA58D51">
      <w:pPr>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724C2E69">
      <w:pPr>
        <w:pStyle w:val="13"/>
        <w:pageBreakBefore w:val="0"/>
        <w:numPr>
          <w:ilvl w:val="0"/>
          <w:numId w:val="5"/>
        </w:numPr>
        <w:kinsoku/>
        <w:wordWrap/>
        <w:overflowPunct/>
        <w:topLinePunct w:val="0"/>
        <w:bidi w:val="0"/>
        <w:spacing w:line="60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件</w:t>
      </w:r>
    </w:p>
    <w:p w14:paraId="47DFAF7B">
      <w:pPr>
        <w:pStyle w:val="13"/>
        <w:pageBreakBefore w:val="0"/>
        <w:numPr>
          <w:ilvl w:val="0"/>
          <w:numId w:val="0"/>
        </w:numPr>
        <w:kinsoku/>
        <w:wordWrap/>
        <w:overflowPunct/>
        <w:topLinePunct w:val="0"/>
        <w:bidi w:val="0"/>
        <w:spacing w:line="600" w:lineRule="exact"/>
        <w:jc w:val="both"/>
        <w:textAlignment w:val="auto"/>
        <w:rPr>
          <w:rFonts w:hint="eastAsia" w:ascii="黑体" w:hAnsi="黑体" w:eastAsia="黑体" w:cs="黑体"/>
          <w:sz w:val="32"/>
          <w:szCs w:val="32"/>
          <w:lang w:eastAsia="zh-CN"/>
        </w:rPr>
      </w:pPr>
    </w:p>
    <w:p w14:paraId="795379FA">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一、</w:t>
      </w:r>
      <w:r>
        <w:rPr>
          <w:rFonts w:hint="eastAsia" w:ascii="仿宋" w:hAnsi="仿宋" w:eastAsia="仿宋" w:cs="仿宋"/>
          <w:sz w:val="32"/>
          <w:szCs w:val="32"/>
          <w:lang w:val="en-US" w:eastAsia="zh-CN"/>
        </w:rPr>
        <w:t>华容县审计局2023年度部门决算公开表格</w:t>
      </w:r>
    </w:p>
    <w:p w14:paraId="50A7D69E">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二、</w:t>
      </w:r>
      <w:r>
        <w:rPr>
          <w:rFonts w:hint="eastAsia" w:ascii="仿宋" w:hAnsi="仿宋" w:eastAsia="仿宋" w:cs="仿宋"/>
          <w:sz w:val="32"/>
          <w:szCs w:val="32"/>
          <w:lang w:val="en-US" w:eastAsia="zh-CN"/>
        </w:rPr>
        <w:t>2023年度部门整体支出绩效自评报告。</w:t>
      </w:r>
    </w:p>
    <w:p w14:paraId="68BA4413">
      <w:pPr>
        <w:pStyle w:val="13"/>
        <w:pageBreakBefore w:val="0"/>
        <w:kinsoku/>
        <w:wordWrap/>
        <w:overflowPunct/>
        <w:topLinePunct w:val="0"/>
        <w:bidi w:val="0"/>
        <w:spacing w:line="600" w:lineRule="exact"/>
        <w:ind w:firstLine="640" w:firstLineChars="200"/>
        <w:textAlignment w:val="auto"/>
        <w:rPr>
          <w:rFonts w:hint="eastAsia" w:ascii="仿宋" w:hAnsi="仿宋" w:eastAsia="仿宋" w:cs="仿宋"/>
          <w:color w:val="000000"/>
          <w:kern w:val="0"/>
          <w:sz w:val="32"/>
          <w:szCs w:val="32"/>
          <w:lang w:val="en-US" w:eastAsia="zh-CN" w:bidi="ar-SA"/>
        </w:rPr>
      </w:pPr>
    </w:p>
    <w:p w14:paraId="17D1E411">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sz w:val="32"/>
          <w:szCs w:val="32"/>
          <w:lang w:val="en-US" w:eastAsia="zh-CN"/>
        </w:rPr>
      </w:pPr>
    </w:p>
    <w:p w14:paraId="09F49F88">
      <w:pPr>
        <w:pStyle w:val="13"/>
        <w:pageBreakBefore w:val="0"/>
        <w:kinsoku/>
        <w:wordWrap/>
        <w:overflowPunct/>
        <w:topLinePunct w:val="0"/>
        <w:bidi w:val="0"/>
        <w:spacing w:line="600" w:lineRule="exact"/>
        <w:ind w:firstLine="640" w:firstLineChars="200"/>
        <w:jc w:val="center"/>
        <w:textAlignment w:val="auto"/>
        <w:rPr>
          <w:rFonts w:hint="eastAsia" w:ascii="仿宋" w:hAnsi="仿宋" w:eastAsia="仿宋" w:cs="仿宋"/>
          <w:sz w:val="32"/>
          <w:szCs w:val="32"/>
        </w:rPr>
      </w:pPr>
    </w:p>
    <w:p w14:paraId="05A86356">
      <w:pPr>
        <w:pageBreakBefore w:val="0"/>
        <w:kinsoku/>
        <w:wordWrap/>
        <w:overflowPunct/>
        <w:topLinePunct w:val="0"/>
        <w:bidi w:val="0"/>
        <w:spacing w:line="600" w:lineRule="exact"/>
        <w:jc w:val="left"/>
        <w:textAlignment w:val="auto"/>
        <w:rPr>
          <w:rFonts w:hint="eastAsia" w:ascii="仿宋" w:hAnsi="仿宋" w:eastAsia="仿宋" w:cs="仿宋"/>
          <w:color w:val="000000"/>
          <w:kern w:val="0"/>
          <w:sz w:val="32"/>
          <w:szCs w:val="32"/>
        </w:rPr>
      </w:pPr>
    </w:p>
    <w:sectPr>
      <w:pgSz w:w="11906" w:h="16838"/>
      <w:pgMar w:top="1440" w:right="1633" w:bottom="1440" w:left="1633"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4FA4B"/>
    <w:multiLevelType w:val="singleLevel"/>
    <w:tmpl w:val="B214FA4B"/>
    <w:lvl w:ilvl="0" w:tentative="0">
      <w:start w:val="3"/>
      <w:numFmt w:val="decimal"/>
      <w:suff w:val="nothing"/>
      <w:lvlText w:val="%1、"/>
      <w:lvlJc w:val="left"/>
    </w:lvl>
  </w:abstractNum>
  <w:abstractNum w:abstractNumId="1">
    <w:nsid w:val="BBDC892A"/>
    <w:multiLevelType w:val="singleLevel"/>
    <w:tmpl w:val="BBDC892A"/>
    <w:lvl w:ilvl="0" w:tentative="0">
      <w:start w:val="1"/>
      <w:numFmt w:val="chineseCounting"/>
      <w:suff w:val="space"/>
      <w:lvlText w:val="第%1部分"/>
      <w:lvlJc w:val="left"/>
      <w:rPr>
        <w:rFonts w:hint="eastAsia"/>
      </w:rPr>
    </w:lvl>
  </w:abstractNum>
  <w:abstractNum w:abstractNumId="2">
    <w:nsid w:val="F722EBD4"/>
    <w:multiLevelType w:val="singleLevel"/>
    <w:tmpl w:val="F722EBD4"/>
    <w:lvl w:ilvl="0" w:tentative="0">
      <w:start w:val="5"/>
      <w:numFmt w:val="chineseCounting"/>
      <w:suff w:val="space"/>
      <w:lvlText w:val="第%1部分"/>
      <w:lvlJc w:val="left"/>
      <w:rPr>
        <w:rFonts w:hint="eastAsia"/>
      </w:rPr>
    </w:lvl>
  </w:abstractNum>
  <w:abstractNum w:abstractNumId="3">
    <w:nsid w:val="17AED9E8"/>
    <w:multiLevelType w:val="singleLevel"/>
    <w:tmpl w:val="17AED9E8"/>
    <w:lvl w:ilvl="0" w:tentative="0">
      <w:start w:val="2"/>
      <w:numFmt w:val="chineseCounting"/>
      <w:suff w:val="nothing"/>
      <w:lvlText w:val="（%1）"/>
      <w:lvlJc w:val="left"/>
      <w:rPr>
        <w:rFonts w:hint="eastAsia"/>
      </w:rPr>
    </w:lvl>
  </w:abstractNum>
  <w:abstractNum w:abstractNumId="4">
    <w:nsid w:val="6AB2003A"/>
    <w:multiLevelType w:val="singleLevel"/>
    <w:tmpl w:val="6AB2003A"/>
    <w:lvl w:ilvl="0" w:tentative="0">
      <w:start w:val="7"/>
      <w:numFmt w:val="chineseCounting"/>
      <w:suff w:val="nothing"/>
      <w:lvlText w:val="%1、"/>
      <w:lvlJc w:val="left"/>
      <w:rPr>
        <w:rFonts w:hint="eastAsia"/>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kZGFlY2JiNTI2ODdjZjNlNmFhZDZjYTY4NTZiZGU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44E1114"/>
    <w:rsid w:val="1D97DEFF"/>
    <w:rsid w:val="1DFF72E5"/>
    <w:rsid w:val="1EFC6F07"/>
    <w:rsid w:val="203D26A3"/>
    <w:rsid w:val="24BD5367"/>
    <w:rsid w:val="297D7C40"/>
    <w:rsid w:val="2FDF85B8"/>
    <w:rsid w:val="2FFFEE04"/>
    <w:rsid w:val="34DF85B0"/>
    <w:rsid w:val="3B8F36BC"/>
    <w:rsid w:val="491FF225"/>
    <w:rsid w:val="4B464DB4"/>
    <w:rsid w:val="4E395582"/>
    <w:rsid w:val="4FFD214C"/>
    <w:rsid w:val="531E6D7E"/>
    <w:rsid w:val="5518516C"/>
    <w:rsid w:val="5777D4F5"/>
    <w:rsid w:val="57951A91"/>
    <w:rsid w:val="59DD8326"/>
    <w:rsid w:val="5DEF592A"/>
    <w:rsid w:val="5EAE2126"/>
    <w:rsid w:val="5FC6BB1E"/>
    <w:rsid w:val="5FF720F1"/>
    <w:rsid w:val="67AF5D43"/>
    <w:rsid w:val="67FF5C0B"/>
    <w:rsid w:val="69913999"/>
    <w:rsid w:val="6D281506"/>
    <w:rsid w:val="6DF6290F"/>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annotation text"/>
    <w:basedOn w:val="1"/>
    <w:semiHidden/>
    <w:unhideWhenUsed/>
    <w:qFormat/>
    <w:uiPriority w:val="99"/>
    <w:pPr>
      <w:jc w:val="left"/>
    </w:pPr>
  </w:style>
  <w:style w:type="paragraph" w:styleId="6">
    <w:name w:val="Balloon Text"/>
    <w:basedOn w:val="1"/>
    <w:link w:val="15"/>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6"/>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5763</Words>
  <Characters>6119</Characters>
  <Lines>63</Lines>
  <Paragraphs>18</Paragraphs>
  <TotalTime>1</TotalTime>
  <ScaleCrop>false</ScaleCrop>
  <LinksUpToDate>false</LinksUpToDate>
  <CharactersWithSpaces>6140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2024-09-25T07:27:00Z</cp:lastPrinted>
  <dcterms:modified xsi:type="dcterms:W3CDTF">2025-11-06T12:48:30Z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