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方正小标宋简体" w:hAnsi="方正小标宋简体" w:eastAsia="方正小标宋简体" w:cs="方正小标宋简体"/>
          <w:spacing w:val="6"/>
          <w:sz w:val="44"/>
          <w:szCs w:val="44"/>
        </w:rPr>
      </w:pPr>
      <w:bookmarkStart w:id="0" w:name="_GoBack"/>
      <w:bookmarkEnd w:id="0"/>
      <w:r>
        <w:rPr>
          <w:rFonts w:hint="eastAsia" w:ascii="方正小标宋简体" w:hAnsi="方正小标宋简体" w:eastAsia="方正小标宋简体" w:cs="方正小标宋简体"/>
          <w:spacing w:val="6"/>
          <w:sz w:val="44"/>
          <w:szCs w:val="44"/>
        </w:rPr>
        <w:t>202</w:t>
      </w:r>
      <w:r>
        <w:rPr>
          <w:rFonts w:hint="eastAsia" w:ascii="方正小标宋简体" w:hAnsi="方正小标宋简体" w:eastAsia="方正小标宋简体" w:cs="方正小标宋简体"/>
          <w:spacing w:val="6"/>
          <w:sz w:val="44"/>
          <w:szCs w:val="44"/>
          <w:lang w:val="en-US" w:eastAsia="zh-CN"/>
        </w:rPr>
        <w:t>4</w:t>
      </w:r>
      <w:r>
        <w:rPr>
          <w:rFonts w:hint="eastAsia" w:ascii="方正小标宋简体" w:hAnsi="方正小标宋简体" w:eastAsia="方正小标宋简体" w:cs="方正小标宋简体"/>
          <w:spacing w:val="6"/>
          <w:sz w:val="44"/>
          <w:szCs w:val="44"/>
        </w:rPr>
        <w:t>年度华容县农村经营服务中心</w:t>
      </w:r>
    </w:p>
    <w:p>
      <w:pPr>
        <w:spacing w:line="58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pacing w:val="6"/>
          <w:sz w:val="44"/>
          <w:szCs w:val="44"/>
        </w:rPr>
        <w:t>部门整体支出</w:t>
      </w:r>
      <w:r>
        <w:rPr>
          <w:rFonts w:hint="eastAsia" w:ascii="方正小标宋简体" w:hAnsi="方正小标宋简体" w:eastAsia="方正小标宋简体" w:cs="方正小标宋简体"/>
          <w:spacing w:val="7"/>
          <w:sz w:val="44"/>
          <w:szCs w:val="44"/>
        </w:rPr>
        <w:t>绩效自评报告</w:t>
      </w:r>
    </w:p>
    <w:p>
      <w:pPr>
        <w:spacing w:line="283" w:lineRule="auto"/>
        <w:rPr>
          <w:rFonts w:ascii="Arial"/>
        </w:rPr>
      </w:pPr>
    </w:p>
    <w:p>
      <w:pPr>
        <w:spacing w:line="284" w:lineRule="auto"/>
        <w:rPr>
          <w:rFonts w:ascii="Arial"/>
        </w:rPr>
      </w:pPr>
    </w:p>
    <w:p>
      <w:pPr>
        <w:pStyle w:val="4"/>
      </w:pPr>
    </w:p>
    <w:p>
      <w:pPr>
        <w:spacing w:before="101" w:line="228" w:lineRule="auto"/>
        <w:ind w:left="648"/>
        <w:rPr>
          <w:rFonts w:ascii="黑体" w:hAnsi="黑体" w:eastAsia="黑体" w:cs="黑体"/>
          <w:sz w:val="32"/>
          <w:szCs w:val="32"/>
        </w:rPr>
      </w:pPr>
      <w:r>
        <w:rPr>
          <w:rFonts w:hint="eastAsia" w:ascii="黑体" w:hAnsi="黑体" w:eastAsia="黑体" w:cs="黑体"/>
          <w:spacing w:val="5"/>
          <w:sz w:val="32"/>
          <w:szCs w:val="32"/>
        </w:rPr>
        <w:t>一、部门基本情况</w:t>
      </w:r>
    </w:p>
    <w:p>
      <w:pPr>
        <w:widowControl/>
        <w:spacing w:line="610" w:lineRule="exact"/>
        <w:ind w:firstLine="640" w:firstLineChars="200"/>
        <w:rPr>
          <w:rFonts w:eastAsia="仿宋_GB2312"/>
          <w:color w:val="000000"/>
          <w:sz w:val="32"/>
          <w:szCs w:val="32"/>
        </w:rPr>
      </w:pPr>
      <w:r>
        <w:rPr>
          <w:rFonts w:hint="eastAsia" w:eastAsia="仿宋_GB2312"/>
          <w:color w:val="000000"/>
          <w:sz w:val="32"/>
          <w:szCs w:val="32"/>
        </w:rPr>
        <w:t>单位为财政全额预算拨款单位，核定人员编制</w:t>
      </w:r>
      <w:r>
        <w:rPr>
          <w:rFonts w:hint="eastAsia" w:eastAsia="仿宋_GB2312"/>
          <w:color w:val="000000"/>
          <w:sz w:val="32"/>
          <w:szCs w:val="32"/>
          <w:lang w:val="en-US" w:eastAsia="zh-CN"/>
        </w:rPr>
        <w:t>27</w:t>
      </w:r>
      <w:r>
        <w:rPr>
          <w:rFonts w:hint="eastAsia" w:eastAsia="仿宋_GB2312"/>
          <w:color w:val="000000"/>
          <w:sz w:val="32"/>
          <w:szCs w:val="32"/>
        </w:rPr>
        <w:t>人，实有人数为</w:t>
      </w:r>
      <w:r>
        <w:rPr>
          <w:rFonts w:hint="eastAsia" w:eastAsia="仿宋_GB2312"/>
          <w:color w:val="000000"/>
          <w:sz w:val="32"/>
          <w:szCs w:val="32"/>
          <w:lang w:val="en-US" w:eastAsia="zh-CN"/>
        </w:rPr>
        <w:t>21</w:t>
      </w:r>
      <w:r>
        <w:rPr>
          <w:rFonts w:hint="eastAsia" w:eastAsia="仿宋_GB2312"/>
          <w:color w:val="000000"/>
          <w:sz w:val="32"/>
          <w:szCs w:val="32"/>
        </w:rPr>
        <w:t>人。</w:t>
      </w:r>
    </w:p>
    <w:p>
      <w:pPr>
        <w:widowControl/>
        <w:spacing w:line="610" w:lineRule="exact"/>
        <w:ind w:firstLine="640" w:firstLineChars="200"/>
        <w:rPr>
          <w:rFonts w:eastAsia="仿宋_GB2312"/>
          <w:color w:val="000000"/>
          <w:sz w:val="32"/>
          <w:szCs w:val="32"/>
        </w:rPr>
      </w:pPr>
      <w:r>
        <w:rPr>
          <w:rFonts w:hint="eastAsia" w:eastAsia="仿宋_GB2312"/>
          <w:color w:val="000000"/>
          <w:sz w:val="32"/>
          <w:szCs w:val="32"/>
        </w:rPr>
        <w:t>单位职责职能：</w:t>
      </w:r>
    </w:p>
    <w:p>
      <w:pPr>
        <w:widowControl/>
        <w:spacing w:line="610" w:lineRule="exact"/>
        <w:ind w:firstLine="640" w:firstLineChars="200"/>
        <w:rPr>
          <w:rFonts w:eastAsia="仿宋_GB2312"/>
          <w:color w:val="000000"/>
          <w:sz w:val="32"/>
          <w:szCs w:val="32"/>
        </w:rPr>
      </w:pPr>
      <w:r>
        <w:rPr>
          <w:rFonts w:hint="eastAsia" w:eastAsia="仿宋_GB2312"/>
          <w:color w:val="000000"/>
          <w:sz w:val="32"/>
          <w:szCs w:val="32"/>
        </w:rPr>
        <w:t>1、贯彻执行中央、省、市有关农村经营管理等方面的方针政策和法律法规，调查研究农村经营体制改革的新情况新问题，提出深化农村经营体制机制改革的政策建议，并指导实施。</w:t>
      </w:r>
    </w:p>
    <w:p>
      <w:pPr>
        <w:widowControl/>
        <w:spacing w:line="610" w:lineRule="exact"/>
        <w:ind w:firstLine="640" w:firstLineChars="200"/>
        <w:rPr>
          <w:rFonts w:eastAsia="仿宋_GB2312"/>
          <w:color w:val="000000"/>
          <w:sz w:val="32"/>
          <w:szCs w:val="32"/>
        </w:rPr>
      </w:pPr>
      <w:r>
        <w:rPr>
          <w:rFonts w:hint="eastAsia" w:eastAsia="仿宋_GB2312"/>
          <w:color w:val="000000"/>
          <w:sz w:val="32"/>
          <w:szCs w:val="32"/>
        </w:rPr>
        <w:t>2、负责农村土地承包管理，研究起草农村土地承包，耕地使用权流转和承包纠纷仲裁相关法律法规、规章、政策落实的建议，并指导实施；指导稳定和完善家庭承包为主、统分结合的双层经营体制工作；依法对农村土地承包合同进行指导和监管；依法开展农村土地承包经营权的确权颁证工作；规范和依法指导农村土地承包经营权流转。建立健全农村土地流转机制，完善农村土地承包经营；指导农村土地承包经营纠纷调解仲裁管理工作。</w:t>
      </w:r>
    </w:p>
    <w:p>
      <w:pPr>
        <w:widowControl/>
        <w:spacing w:line="610" w:lineRule="exact"/>
        <w:ind w:firstLine="640" w:firstLineChars="200"/>
        <w:rPr>
          <w:rFonts w:eastAsia="仿宋_GB2312"/>
          <w:color w:val="000000"/>
          <w:sz w:val="32"/>
          <w:szCs w:val="32"/>
        </w:rPr>
      </w:pPr>
      <w:r>
        <w:rPr>
          <w:rFonts w:hint="eastAsia" w:eastAsia="仿宋_GB2312"/>
          <w:color w:val="000000"/>
          <w:sz w:val="32"/>
          <w:szCs w:val="32"/>
        </w:rPr>
        <w:t>3、负责农民负担监督管理工作；研究提出相关政策建议，并监督实施；承担村民“一事一议”筹资筹劳管理和“一事一议”财政奖补政策的落实和监管工作；承担减轻农民负担监测和监督查工作，参与有关部门涉及农民负担的文件，项目标准的审核、会签；协助涉及农民负担的重大案件查处和信访处理。</w:t>
      </w:r>
    </w:p>
    <w:p>
      <w:pPr>
        <w:widowControl/>
        <w:spacing w:line="610" w:lineRule="exact"/>
        <w:ind w:firstLine="640" w:firstLineChars="200"/>
        <w:rPr>
          <w:rFonts w:eastAsia="仿宋_GB2312"/>
          <w:color w:val="000000"/>
          <w:sz w:val="32"/>
          <w:szCs w:val="32"/>
        </w:rPr>
      </w:pPr>
      <w:r>
        <w:rPr>
          <w:rFonts w:hint="eastAsia" w:eastAsia="仿宋_GB2312"/>
          <w:color w:val="000000"/>
          <w:sz w:val="32"/>
          <w:szCs w:val="32"/>
        </w:rPr>
        <w:t>4、指导农村各类合作经济组织的发展和管理，并负责农村股份合作制的研究与推行。研究提出农民专业合作经济组织、家庭农场发展的政策措施；指导、扶持农民专业合作经济组织建设与发展，开展相关服务和监督。</w:t>
      </w:r>
    </w:p>
    <w:p>
      <w:pPr>
        <w:widowControl/>
        <w:spacing w:line="610" w:lineRule="exact"/>
        <w:ind w:firstLine="640" w:firstLineChars="200"/>
        <w:rPr>
          <w:rFonts w:eastAsia="仿宋_GB2312"/>
          <w:color w:val="000000"/>
          <w:sz w:val="32"/>
          <w:szCs w:val="32"/>
        </w:rPr>
      </w:pPr>
      <w:r>
        <w:rPr>
          <w:rFonts w:hint="eastAsia" w:eastAsia="仿宋_GB2312"/>
          <w:color w:val="000000"/>
          <w:sz w:val="32"/>
          <w:szCs w:val="32"/>
        </w:rPr>
        <w:t>5、指导农村集体经济组织建设和产权制度改革、资金资源资产管理、财务审计监督是和村级债权债务清理控制化解工作；指导农民专业合作经济组织财务会计工作；指导农村审计组织的审计工作，授权审计农民承担费用和涉农收费项目以及农村合作经济组织的财务。</w:t>
      </w:r>
    </w:p>
    <w:p>
      <w:pPr>
        <w:widowControl/>
        <w:spacing w:line="610" w:lineRule="exact"/>
        <w:ind w:firstLine="640" w:firstLineChars="200"/>
        <w:rPr>
          <w:rFonts w:eastAsia="仿宋_GB2312"/>
          <w:color w:val="000000"/>
          <w:sz w:val="32"/>
          <w:szCs w:val="32"/>
        </w:rPr>
      </w:pPr>
      <w:r>
        <w:rPr>
          <w:rFonts w:hint="eastAsia" w:eastAsia="仿宋_GB2312"/>
          <w:color w:val="000000"/>
          <w:sz w:val="32"/>
          <w:szCs w:val="32"/>
        </w:rPr>
        <w:t>6、组织开展农村经济收支，农民收入，农民专业合作社与农村集体经济组织运行情况的监测、统计和调查工作。</w:t>
      </w:r>
    </w:p>
    <w:p>
      <w:pPr>
        <w:widowControl/>
        <w:spacing w:line="610" w:lineRule="exact"/>
        <w:ind w:firstLine="640" w:firstLineChars="200"/>
        <w:rPr>
          <w:rFonts w:eastAsia="仿宋_GB2312"/>
          <w:color w:val="000000"/>
          <w:sz w:val="32"/>
          <w:szCs w:val="32"/>
        </w:rPr>
      </w:pPr>
      <w:r>
        <w:rPr>
          <w:rFonts w:hint="eastAsia" w:eastAsia="仿宋_GB2312"/>
          <w:color w:val="000000"/>
          <w:sz w:val="32"/>
          <w:szCs w:val="32"/>
        </w:rPr>
        <w:t>7、指导农村经营管理体系建设，开展相关服务。编制农村经营管理事业发展的规划、专项资金计划并组织实施和监督管理。</w:t>
      </w:r>
    </w:p>
    <w:p>
      <w:pPr>
        <w:widowControl/>
        <w:spacing w:line="610" w:lineRule="exact"/>
        <w:ind w:firstLine="640" w:firstLineChars="200"/>
        <w:rPr>
          <w:rFonts w:eastAsia="仿宋_GB2312"/>
          <w:color w:val="000000"/>
          <w:sz w:val="32"/>
          <w:szCs w:val="32"/>
        </w:rPr>
      </w:pPr>
      <w:r>
        <w:rPr>
          <w:rFonts w:hint="eastAsia" w:eastAsia="仿宋_GB2312"/>
          <w:color w:val="000000"/>
          <w:sz w:val="32"/>
          <w:szCs w:val="32"/>
        </w:rPr>
        <w:t>8、负责统计和分析农村经济收益情况。</w:t>
      </w:r>
    </w:p>
    <w:p>
      <w:pPr>
        <w:widowControl/>
        <w:spacing w:line="610" w:lineRule="exact"/>
        <w:ind w:firstLine="640" w:firstLineChars="200"/>
        <w:rPr>
          <w:rFonts w:eastAsia="仿宋_GB2312"/>
          <w:color w:val="000000"/>
          <w:sz w:val="32"/>
          <w:szCs w:val="32"/>
        </w:rPr>
      </w:pPr>
      <w:r>
        <w:rPr>
          <w:rFonts w:hint="eastAsia" w:eastAsia="仿宋_GB2312"/>
          <w:color w:val="000000"/>
          <w:sz w:val="32"/>
          <w:szCs w:val="32"/>
        </w:rPr>
        <w:t>9、参与农村综合改革和有关农村社会事务工作。</w:t>
      </w:r>
    </w:p>
    <w:p>
      <w:pPr>
        <w:widowControl/>
        <w:spacing w:line="610" w:lineRule="exact"/>
        <w:ind w:firstLine="640" w:firstLineChars="200"/>
        <w:rPr>
          <w:rFonts w:eastAsia="仿宋_GB2312"/>
          <w:color w:val="000000"/>
          <w:sz w:val="32"/>
          <w:szCs w:val="32"/>
        </w:rPr>
      </w:pPr>
      <w:r>
        <w:rPr>
          <w:rFonts w:hint="eastAsia" w:eastAsia="仿宋_GB2312"/>
          <w:color w:val="000000"/>
          <w:sz w:val="32"/>
          <w:szCs w:val="32"/>
        </w:rPr>
        <w:t>10、承办县委、县政府和县农业农村局交办的其他事项。</w:t>
      </w:r>
    </w:p>
    <w:p>
      <w:pPr>
        <w:widowControl/>
        <w:spacing w:line="610" w:lineRule="exact"/>
        <w:ind w:firstLine="640" w:firstLineChars="200"/>
        <w:rPr>
          <w:rFonts w:eastAsia="仿宋_GB2312"/>
          <w:color w:val="000000"/>
          <w:sz w:val="32"/>
          <w:szCs w:val="32"/>
        </w:rPr>
      </w:pPr>
      <w:r>
        <w:rPr>
          <w:rFonts w:hint="eastAsia" w:eastAsia="仿宋_GB2312"/>
          <w:color w:val="000000"/>
          <w:sz w:val="32"/>
          <w:szCs w:val="32"/>
        </w:rPr>
        <w:t>单位内设机构：</w:t>
      </w:r>
    </w:p>
    <w:p>
      <w:pPr>
        <w:widowControl/>
        <w:spacing w:line="610" w:lineRule="exact"/>
        <w:ind w:firstLine="640" w:firstLineChars="200"/>
        <w:rPr>
          <w:rFonts w:eastAsia="仿宋_GB2312"/>
          <w:color w:val="000000"/>
          <w:sz w:val="32"/>
          <w:szCs w:val="32"/>
        </w:rPr>
      </w:pPr>
      <w:r>
        <w:rPr>
          <w:rFonts w:hint="eastAsia" w:eastAsia="仿宋_GB2312"/>
          <w:color w:val="000000"/>
          <w:sz w:val="32"/>
          <w:szCs w:val="32"/>
        </w:rPr>
        <w:t>办公室；农村集体资产管理股；农业经营主体指导股；农民权益维护监督管理股；农村土地承包管理股。</w:t>
      </w:r>
    </w:p>
    <w:p>
      <w:pPr>
        <w:spacing w:before="216" w:line="226" w:lineRule="auto"/>
        <w:ind w:left="648"/>
        <w:rPr>
          <w:rFonts w:ascii="黑体" w:hAnsi="黑体" w:eastAsia="黑体" w:cs="黑体"/>
          <w:sz w:val="32"/>
          <w:szCs w:val="32"/>
        </w:rPr>
      </w:pPr>
      <w:r>
        <w:rPr>
          <w:rFonts w:hint="eastAsia" w:ascii="黑体" w:hAnsi="黑体" w:eastAsia="黑体" w:cs="黑体"/>
          <w:spacing w:val="-2"/>
          <w:sz w:val="32"/>
          <w:szCs w:val="32"/>
        </w:rPr>
        <w:t>二、一般公共预算支出情况</w:t>
      </w:r>
    </w:p>
    <w:p>
      <w:pPr>
        <w:ind w:firstLine="640" w:firstLineChars="200"/>
        <w:rPr>
          <w:rFonts w:ascii="楷体_GB2312" w:hAnsi="楷体_GB2312" w:eastAsia="楷体_GB2312" w:cs="楷体_GB2312"/>
          <w:b/>
          <w:bCs/>
          <w:sz w:val="32"/>
          <w:szCs w:val="32"/>
        </w:rPr>
      </w:pPr>
      <w:r>
        <w:rPr>
          <w:rFonts w:hint="eastAsia" w:eastAsia="仿宋_GB2312"/>
          <w:sz w:val="32"/>
          <w:szCs w:val="32"/>
        </w:rPr>
        <w:t>202</w:t>
      </w:r>
      <w:r>
        <w:rPr>
          <w:rFonts w:hint="eastAsia" w:eastAsia="仿宋_GB2312"/>
          <w:sz w:val="32"/>
          <w:szCs w:val="32"/>
          <w:lang w:val="en-US" w:eastAsia="zh-CN"/>
        </w:rPr>
        <w:t>4</w:t>
      </w:r>
      <w:r>
        <w:rPr>
          <w:rFonts w:hint="eastAsia" w:eastAsia="仿宋_GB2312"/>
          <w:sz w:val="32"/>
          <w:szCs w:val="32"/>
        </w:rPr>
        <w:t>年一般公共预算支出</w:t>
      </w:r>
      <w:r>
        <w:rPr>
          <w:rFonts w:hint="eastAsia" w:eastAsia="仿宋_GB2312"/>
          <w:sz w:val="32"/>
          <w:szCs w:val="32"/>
          <w:lang w:val="en-US" w:eastAsia="zh-CN"/>
        </w:rPr>
        <w:t>515.08</w:t>
      </w:r>
      <w:r>
        <w:rPr>
          <w:rFonts w:hint="eastAsia" w:eastAsia="仿宋_GB2312"/>
          <w:sz w:val="32"/>
          <w:szCs w:val="32"/>
        </w:rPr>
        <w:t>万元，具体情况如下：</w:t>
      </w:r>
    </w:p>
    <w:p>
      <w:pPr>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（一）基本支出情况</w:t>
      </w:r>
    </w:p>
    <w:p>
      <w:pPr>
        <w:ind w:firstLine="640" w:firstLineChars="200"/>
        <w:rPr>
          <w:rFonts w:ascii="楷体_GB2312" w:hAnsi="楷体_GB2312" w:eastAsia="楷体_GB2312" w:cs="楷体_GB2312"/>
          <w:b/>
          <w:bCs/>
          <w:sz w:val="32"/>
          <w:szCs w:val="32"/>
        </w:rPr>
      </w:pPr>
      <w:r>
        <w:rPr>
          <w:rFonts w:hint="eastAsia" w:eastAsia="仿宋_GB2312"/>
          <w:sz w:val="32"/>
          <w:szCs w:val="32"/>
        </w:rPr>
        <w:t>202</w:t>
      </w:r>
      <w:r>
        <w:rPr>
          <w:rFonts w:hint="eastAsia" w:eastAsia="仿宋_GB2312"/>
          <w:sz w:val="32"/>
          <w:szCs w:val="32"/>
          <w:lang w:val="en-US" w:eastAsia="zh-CN"/>
        </w:rPr>
        <w:t>4</w:t>
      </w:r>
      <w:r>
        <w:rPr>
          <w:rFonts w:hint="eastAsia" w:eastAsia="仿宋_GB2312"/>
          <w:sz w:val="32"/>
          <w:szCs w:val="32"/>
        </w:rPr>
        <w:t>年基本支出</w:t>
      </w:r>
      <w:r>
        <w:rPr>
          <w:rFonts w:hint="eastAsia" w:ascii="仿宋_GB2312" w:hAnsi="仿宋" w:eastAsia="仿宋_GB2312" w:cstheme="minorBidi"/>
          <w:color w:val="auto"/>
          <w:kern w:val="2"/>
          <w:sz w:val="32"/>
          <w:szCs w:val="24"/>
          <w:lang w:val="en-US" w:eastAsia="zh-CN" w:bidi="ar-SA"/>
        </w:rPr>
        <w:t>251.68</w:t>
      </w:r>
      <w:r>
        <w:rPr>
          <w:rFonts w:hint="eastAsia" w:eastAsia="仿宋_GB2312"/>
          <w:sz w:val="32"/>
          <w:szCs w:val="32"/>
        </w:rPr>
        <w:t>万元，其中：人员支出</w:t>
      </w:r>
      <w:r>
        <w:rPr>
          <w:rFonts w:hint="eastAsia" w:ascii="仿宋_GB2312" w:hAnsi="仿宋" w:eastAsia="仿宋_GB2312" w:cstheme="minorBidi"/>
          <w:color w:val="auto"/>
          <w:kern w:val="2"/>
          <w:sz w:val="32"/>
          <w:szCs w:val="24"/>
          <w:lang w:val="en-US" w:eastAsia="zh-CN" w:bidi="ar-SA"/>
        </w:rPr>
        <w:t>184.01</w:t>
      </w:r>
      <w:r>
        <w:rPr>
          <w:rFonts w:hint="eastAsia" w:eastAsia="仿宋_GB2312"/>
          <w:sz w:val="32"/>
          <w:szCs w:val="32"/>
        </w:rPr>
        <w:t>万元，占基本支出的</w:t>
      </w:r>
      <w:r>
        <w:rPr>
          <w:rFonts w:hint="eastAsia" w:ascii="仿宋_GB2312" w:hAnsi="仿宋" w:eastAsia="仿宋_GB2312" w:cstheme="minorBidi"/>
          <w:color w:val="auto"/>
          <w:kern w:val="2"/>
          <w:sz w:val="32"/>
          <w:szCs w:val="24"/>
          <w:lang w:val="en-US" w:eastAsia="zh-CN" w:bidi="ar-SA"/>
        </w:rPr>
        <w:t>73.11</w:t>
      </w:r>
      <w:r>
        <w:rPr>
          <w:rFonts w:hint="eastAsia" w:eastAsia="仿宋_GB2312"/>
          <w:sz w:val="32"/>
          <w:szCs w:val="32"/>
        </w:rPr>
        <w:t>%，公用支出</w:t>
      </w:r>
      <w:r>
        <w:rPr>
          <w:rFonts w:hint="eastAsia" w:eastAsia="仿宋_GB2312"/>
          <w:sz w:val="32"/>
          <w:szCs w:val="32"/>
          <w:lang w:val="en-US" w:eastAsia="zh-CN"/>
        </w:rPr>
        <w:t>67.67</w:t>
      </w:r>
      <w:r>
        <w:rPr>
          <w:rFonts w:hint="eastAsia" w:eastAsia="仿宋_GB2312"/>
          <w:sz w:val="32"/>
          <w:szCs w:val="32"/>
        </w:rPr>
        <w:t>万元，占基本支出的</w:t>
      </w:r>
      <w:r>
        <w:rPr>
          <w:rFonts w:hint="eastAsia" w:ascii="仿宋_GB2312" w:hAnsi="仿宋" w:eastAsia="仿宋_GB2312" w:cstheme="minorBidi"/>
          <w:color w:val="auto"/>
          <w:kern w:val="2"/>
          <w:sz w:val="32"/>
          <w:szCs w:val="24"/>
          <w:lang w:val="en-US" w:eastAsia="zh-CN" w:bidi="ar-SA"/>
        </w:rPr>
        <w:t>26.89</w:t>
      </w:r>
      <w:r>
        <w:rPr>
          <w:rFonts w:hint="default" w:ascii="仿宋_GB2312" w:hAnsi="仿宋" w:eastAsia="仿宋_GB2312" w:cstheme="minorBidi"/>
          <w:color w:val="auto"/>
          <w:kern w:val="2"/>
          <w:sz w:val="32"/>
          <w:szCs w:val="24"/>
          <w:lang w:val="en-US" w:eastAsia="zh-CN" w:bidi="ar-SA"/>
        </w:rPr>
        <w:t>%</w:t>
      </w:r>
      <w:r>
        <w:rPr>
          <w:rFonts w:hint="eastAsia" w:eastAsia="仿宋_GB2312"/>
          <w:sz w:val="32"/>
          <w:szCs w:val="32"/>
        </w:rPr>
        <w:t>。单位厉行节约，保障了机构人员工资、社保和福利的及时发放，保障了机构的正常运转。</w:t>
      </w:r>
    </w:p>
    <w:p>
      <w:pPr>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（二）项目支出情况</w:t>
      </w:r>
    </w:p>
    <w:p>
      <w:pPr>
        <w:widowControl/>
        <w:spacing w:line="610" w:lineRule="exact"/>
        <w:ind w:firstLine="640" w:firstLineChars="200"/>
        <w:rPr>
          <w:rFonts w:eastAsia="仿宋_GB2312"/>
          <w:sz w:val="32"/>
          <w:szCs w:val="32"/>
        </w:rPr>
      </w:pPr>
      <w:r>
        <w:rPr>
          <w:rFonts w:hint="eastAsia" w:eastAsia="仿宋_GB2312"/>
          <w:color w:val="000000"/>
          <w:sz w:val="32"/>
          <w:szCs w:val="32"/>
        </w:rPr>
        <w:t>202</w:t>
      </w:r>
      <w:r>
        <w:rPr>
          <w:rFonts w:hint="eastAsia" w:eastAsia="仿宋_GB2312"/>
          <w:color w:val="000000"/>
          <w:sz w:val="32"/>
          <w:szCs w:val="32"/>
          <w:lang w:val="en-US" w:eastAsia="zh-CN"/>
        </w:rPr>
        <w:t>4</w:t>
      </w:r>
      <w:r>
        <w:rPr>
          <w:rFonts w:hint="eastAsia" w:eastAsia="仿宋_GB2312"/>
          <w:color w:val="000000"/>
          <w:sz w:val="32"/>
          <w:szCs w:val="32"/>
        </w:rPr>
        <w:t>年项目支出</w:t>
      </w:r>
      <w:r>
        <w:rPr>
          <w:rFonts w:hint="eastAsia" w:eastAsia="仿宋_GB2312"/>
          <w:color w:val="000000"/>
          <w:sz w:val="32"/>
          <w:szCs w:val="32"/>
          <w:lang w:val="en-US" w:eastAsia="zh-CN"/>
        </w:rPr>
        <w:t>294.93</w:t>
      </w:r>
      <w:r>
        <w:rPr>
          <w:rFonts w:hint="eastAsia" w:eastAsia="仿宋_GB2312"/>
          <w:color w:val="000000"/>
          <w:sz w:val="32"/>
          <w:szCs w:val="32"/>
        </w:rPr>
        <w:t>万元，项目指标下达及时，支付按进度完成，项目资金主要用</w:t>
      </w:r>
      <w:r>
        <w:rPr>
          <w:rFonts w:hint="eastAsia" w:ascii="宋体" w:hAnsi="宋体" w:cs="宋体"/>
          <w:color w:val="000000"/>
          <w:sz w:val="32"/>
          <w:szCs w:val="32"/>
        </w:rPr>
        <w:t>于</w:t>
      </w:r>
      <w:r>
        <w:rPr>
          <w:rFonts w:hint="eastAsia" w:eastAsia="仿宋_GB2312"/>
          <w:color w:val="000000"/>
          <w:sz w:val="32"/>
          <w:szCs w:val="32"/>
        </w:rPr>
        <w:t>省级示范家庭农场、乡村振兴发展资金、农业经营主体能力提升资金、农业社会化服务资金等业务工作专项支出。项目资金支付都是按照预算执行，实行专款专用，项目实施完成后，达到了预期经济效益及社会效益，圆满的完成了各项任务。</w:t>
      </w:r>
    </w:p>
    <w:p>
      <w:pPr>
        <w:pStyle w:val="4"/>
      </w:pPr>
    </w:p>
    <w:p>
      <w:pPr>
        <w:spacing w:before="224" w:line="227" w:lineRule="auto"/>
        <w:ind w:left="649"/>
        <w:rPr>
          <w:rFonts w:ascii="黑体" w:hAnsi="黑体" w:eastAsia="黑体" w:cs="黑体"/>
          <w:sz w:val="32"/>
          <w:szCs w:val="32"/>
        </w:rPr>
      </w:pPr>
      <w:r>
        <w:rPr>
          <w:rFonts w:hint="eastAsia" w:ascii="黑体" w:hAnsi="黑体" w:eastAsia="黑体" w:cs="黑体"/>
          <w:spacing w:val="8"/>
          <w:sz w:val="32"/>
          <w:szCs w:val="32"/>
        </w:rPr>
        <w:t>三、政府性基金预算支出情况</w:t>
      </w:r>
    </w:p>
    <w:p>
      <w:pPr>
        <w:widowControl/>
        <w:spacing w:line="610" w:lineRule="exact"/>
        <w:ind w:firstLine="640" w:firstLineChars="200"/>
        <w:rPr>
          <w:rFonts w:eastAsia="仿宋_GB2312"/>
          <w:color w:val="000000"/>
          <w:sz w:val="32"/>
          <w:szCs w:val="32"/>
        </w:rPr>
      </w:pPr>
      <w:r>
        <w:rPr>
          <w:rFonts w:hint="eastAsia" w:eastAsia="仿宋_GB2312"/>
          <w:color w:val="000000"/>
          <w:sz w:val="32"/>
          <w:szCs w:val="32"/>
        </w:rPr>
        <w:t>202</w:t>
      </w:r>
      <w:r>
        <w:rPr>
          <w:rFonts w:hint="eastAsia" w:eastAsia="仿宋_GB2312"/>
          <w:color w:val="000000"/>
          <w:sz w:val="32"/>
          <w:szCs w:val="32"/>
          <w:lang w:val="en-US" w:eastAsia="zh-CN"/>
        </w:rPr>
        <w:t>4</w:t>
      </w:r>
      <w:r>
        <w:rPr>
          <w:rFonts w:hint="eastAsia" w:eastAsia="仿宋_GB2312"/>
          <w:color w:val="000000"/>
          <w:sz w:val="32"/>
          <w:szCs w:val="32"/>
        </w:rPr>
        <w:t>年政府性基金预算支出</w:t>
      </w:r>
      <w:r>
        <w:rPr>
          <w:rFonts w:hint="eastAsia" w:eastAsia="仿宋_GB2312"/>
          <w:color w:val="000000"/>
          <w:sz w:val="32"/>
          <w:szCs w:val="32"/>
          <w:lang w:val="en-US" w:eastAsia="zh-CN"/>
        </w:rPr>
        <w:t>0</w:t>
      </w:r>
      <w:r>
        <w:rPr>
          <w:rFonts w:hint="eastAsia" w:eastAsia="仿宋_GB2312"/>
          <w:color w:val="000000"/>
          <w:sz w:val="32"/>
          <w:szCs w:val="32"/>
        </w:rPr>
        <w:t>万元</w:t>
      </w:r>
    </w:p>
    <w:p>
      <w:pPr>
        <w:widowControl/>
        <w:spacing w:line="610" w:lineRule="exact"/>
        <w:ind w:firstLine="668" w:firstLineChars="200"/>
        <w:rPr>
          <w:rFonts w:eastAsia="仿宋_GB2312"/>
          <w:color w:val="000000"/>
          <w:sz w:val="32"/>
          <w:szCs w:val="32"/>
        </w:rPr>
      </w:pPr>
      <w:r>
        <w:rPr>
          <w:rFonts w:ascii="黑体" w:hAnsi="黑体" w:eastAsia="黑体" w:cs="黑体"/>
          <w:spacing w:val="7"/>
          <w:position w:val="21"/>
          <w:sz w:val="32"/>
          <w:szCs w:val="32"/>
        </w:rPr>
        <w:t xml:space="preserve"> </w:t>
      </w:r>
    </w:p>
    <w:p>
      <w:pPr>
        <w:spacing w:before="219" w:line="600" w:lineRule="exact"/>
        <w:ind w:left="662"/>
        <w:rPr>
          <w:rFonts w:ascii="黑体" w:hAnsi="黑体" w:eastAsia="黑体" w:cs="黑体"/>
          <w:sz w:val="32"/>
          <w:szCs w:val="32"/>
        </w:rPr>
      </w:pPr>
      <w:r>
        <w:rPr>
          <w:rFonts w:hint="eastAsia" w:ascii="黑体" w:hAnsi="黑体" w:eastAsia="黑体" w:cs="黑体"/>
          <w:spacing w:val="7"/>
          <w:position w:val="21"/>
          <w:sz w:val="32"/>
          <w:szCs w:val="32"/>
        </w:rPr>
        <w:t>四、国有资本经营预算支出情况</w:t>
      </w:r>
    </w:p>
    <w:p>
      <w:pPr>
        <w:spacing w:line="227" w:lineRule="auto"/>
        <w:ind w:left="651"/>
        <w:rPr>
          <w:rFonts w:ascii="黑体" w:hAnsi="黑体" w:eastAsia="黑体" w:cs="黑体"/>
          <w:spacing w:val="8"/>
          <w:sz w:val="32"/>
          <w:szCs w:val="32"/>
        </w:rPr>
      </w:pPr>
      <w:r>
        <w:rPr>
          <w:rFonts w:hint="eastAsia" w:ascii="黑体" w:hAnsi="黑体" w:eastAsia="黑体" w:cs="黑体"/>
          <w:spacing w:val="8"/>
          <w:sz w:val="32"/>
          <w:szCs w:val="32"/>
        </w:rPr>
        <w:t>2023年无国有资本经营预算支出。</w:t>
      </w:r>
    </w:p>
    <w:p>
      <w:pPr>
        <w:spacing w:line="227" w:lineRule="auto"/>
        <w:ind w:left="651"/>
        <w:rPr>
          <w:rFonts w:ascii="黑体" w:hAnsi="黑体" w:eastAsia="黑体" w:cs="黑体"/>
          <w:sz w:val="32"/>
          <w:szCs w:val="32"/>
        </w:rPr>
      </w:pPr>
      <w:r>
        <w:rPr>
          <w:rFonts w:hint="eastAsia" w:ascii="黑体" w:hAnsi="黑体" w:eastAsia="黑体" w:cs="黑体"/>
          <w:spacing w:val="8"/>
          <w:sz w:val="32"/>
          <w:szCs w:val="32"/>
        </w:rPr>
        <w:t>五、社会保险基金预算支出情况</w:t>
      </w:r>
    </w:p>
    <w:p>
      <w:pPr>
        <w:spacing w:before="219" w:line="226" w:lineRule="auto"/>
        <w:ind w:left="653"/>
        <w:rPr>
          <w:rFonts w:ascii="黑体" w:hAnsi="黑体" w:eastAsia="黑体" w:cs="黑体"/>
          <w:spacing w:val="8"/>
          <w:sz w:val="32"/>
          <w:szCs w:val="32"/>
        </w:rPr>
      </w:pPr>
      <w:r>
        <w:rPr>
          <w:rFonts w:hint="eastAsia" w:ascii="黑体" w:hAnsi="黑体" w:eastAsia="黑体" w:cs="黑体"/>
          <w:spacing w:val="8"/>
          <w:sz w:val="32"/>
          <w:szCs w:val="32"/>
        </w:rPr>
        <w:t>2023年无社会保险基金预算支出。</w:t>
      </w:r>
    </w:p>
    <w:p>
      <w:pPr>
        <w:spacing w:before="219" w:line="226" w:lineRule="auto"/>
        <w:ind w:left="653"/>
        <w:rPr>
          <w:rFonts w:ascii="黑体" w:hAnsi="黑体" w:eastAsia="黑体" w:cs="黑体"/>
          <w:sz w:val="32"/>
          <w:szCs w:val="32"/>
        </w:rPr>
      </w:pPr>
      <w:r>
        <w:rPr>
          <w:rFonts w:hint="eastAsia" w:ascii="黑体" w:hAnsi="黑体" w:eastAsia="黑体" w:cs="黑体"/>
          <w:spacing w:val="8"/>
          <w:sz w:val="32"/>
          <w:szCs w:val="32"/>
        </w:rPr>
        <w:t>六、部门整体支出绩效情况</w:t>
      </w:r>
    </w:p>
    <w:p>
      <w:pPr>
        <w:widowControl/>
        <w:spacing w:line="610" w:lineRule="exact"/>
        <w:ind w:firstLine="640" w:firstLineChars="200"/>
        <w:rPr>
          <w:rFonts w:eastAsia="仿宋_GB2312"/>
          <w:sz w:val="32"/>
          <w:szCs w:val="32"/>
        </w:rPr>
      </w:pPr>
      <w:r>
        <w:rPr>
          <w:rFonts w:hint="eastAsia" w:eastAsia="仿宋_GB2312"/>
          <w:sz w:val="32"/>
          <w:szCs w:val="32"/>
        </w:rPr>
        <w:t>202</w:t>
      </w:r>
      <w:r>
        <w:rPr>
          <w:rFonts w:hint="eastAsia" w:eastAsia="仿宋_GB2312"/>
          <w:sz w:val="32"/>
          <w:szCs w:val="32"/>
          <w:lang w:val="en-US" w:eastAsia="zh-CN"/>
        </w:rPr>
        <w:t>4</w:t>
      </w:r>
      <w:r>
        <w:rPr>
          <w:rFonts w:hint="eastAsia" w:eastAsia="仿宋_GB2312"/>
          <w:sz w:val="32"/>
          <w:szCs w:val="32"/>
        </w:rPr>
        <w:t>年根据年初工作规划和重点工作，围绕县委、县政府的工作部署，积极履行职责，强化管理，较好地完成了年度工作目标，同时加强预算收支的管理，建立健全内部管理制度，严格内部管理流程，部门整体支出管理得到了提升。202</w:t>
      </w:r>
      <w:r>
        <w:rPr>
          <w:rFonts w:hint="eastAsia" w:eastAsia="仿宋_GB2312"/>
          <w:sz w:val="32"/>
          <w:szCs w:val="32"/>
          <w:lang w:val="en-US" w:eastAsia="zh-CN"/>
        </w:rPr>
        <w:t>4</w:t>
      </w:r>
      <w:r>
        <w:rPr>
          <w:rFonts w:hint="eastAsia" w:eastAsia="仿宋_GB2312"/>
          <w:sz w:val="32"/>
          <w:szCs w:val="32"/>
        </w:rPr>
        <w:t>年度部门整体支出绩效情况如下：</w:t>
      </w:r>
    </w:p>
    <w:p>
      <w:pPr>
        <w:widowControl/>
        <w:spacing w:line="610" w:lineRule="exact"/>
        <w:ind w:firstLine="640" w:firstLineChars="200"/>
        <w:rPr>
          <w:rFonts w:eastAsia="仿宋_GB2312"/>
          <w:sz w:val="32"/>
          <w:szCs w:val="32"/>
        </w:rPr>
      </w:pPr>
      <w:r>
        <w:rPr>
          <w:rFonts w:hint="eastAsia" w:eastAsia="仿宋_GB2312"/>
          <w:sz w:val="32"/>
          <w:szCs w:val="32"/>
        </w:rPr>
        <w:t>1.严格预算支出管理。严控行政经费，压缩一般性支出，严格控制“三公”经费，资产的配置严格政府采购，保障机构运行成本。</w:t>
      </w:r>
    </w:p>
    <w:p>
      <w:pPr>
        <w:widowControl/>
        <w:spacing w:line="610" w:lineRule="exact"/>
        <w:ind w:firstLine="640" w:firstLineChars="200"/>
        <w:rPr>
          <w:rFonts w:eastAsia="仿宋_GB2312"/>
          <w:sz w:val="32"/>
          <w:szCs w:val="32"/>
        </w:rPr>
      </w:pPr>
      <w:r>
        <w:rPr>
          <w:rFonts w:hint="eastAsia" w:eastAsia="仿宋_GB2312"/>
          <w:sz w:val="32"/>
          <w:szCs w:val="32"/>
        </w:rPr>
        <w:t>2.完善财务控制管理。按照国家相关法律法规，制定完善了单位内部控制制度，并严格按照制度管理和执行，防范风险，保证机构运行管理效率。</w:t>
      </w:r>
    </w:p>
    <w:p>
      <w:pPr>
        <w:widowControl/>
        <w:spacing w:line="610" w:lineRule="exact"/>
        <w:ind w:firstLine="640" w:firstLineChars="200"/>
        <w:rPr>
          <w:rFonts w:eastAsia="仿宋_GB2312"/>
          <w:sz w:val="32"/>
          <w:szCs w:val="32"/>
        </w:rPr>
      </w:pPr>
      <w:r>
        <w:rPr>
          <w:rFonts w:hint="eastAsia" w:eastAsia="仿宋_GB2312"/>
          <w:sz w:val="32"/>
          <w:szCs w:val="32"/>
        </w:rPr>
        <w:t>通过对202</w:t>
      </w:r>
      <w:r>
        <w:rPr>
          <w:rFonts w:hint="eastAsia" w:eastAsia="仿宋_GB2312"/>
          <w:sz w:val="32"/>
          <w:szCs w:val="32"/>
          <w:lang w:val="en-US" w:eastAsia="zh-CN"/>
        </w:rPr>
        <w:t>4</w:t>
      </w:r>
      <w:r>
        <w:rPr>
          <w:rFonts w:hint="eastAsia" w:eastAsia="仿宋_GB2312"/>
          <w:sz w:val="32"/>
          <w:szCs w:val="32"/>
        </w:rPr>
        <w:t>年的运行成本、管理效率、履职效能、社会效应、可持续发展能力和服务对象满意度等方面综合考评， 202</w:t>
      </w:r>
      <w:r>
        <w:rPr>
          <w:rFonts w:hint="eastAsia" w:eastAsia="仿宋_GB2312"/>
          <w:sz w:val="32"/>
          <w:szCs w:val="32"/>
          <w:lang w:val="en-US" w:eastAsia="zh-CN"/>
        </w:rPr>
        <w:t>4</w:t>
      </w:r>
      <w:r>
        <w:rPr>
          <w:rFonts w:hint="eastAsia" w:eastAsia="仿宋_GB2312"/>
          <w:sz w:val="32"/>
          <w:szCs w:val="32"/>
        </w:rPr>
        <w:t>年，较好地完成了年度工作目标，部门整体支出绩效评价为优。</w:t>
      </w:r>
    </w:p>
    <w:p>
      <w:pPr>
        <w:spacing w:before="220" w:line="600" w:lineRule="exact"/>
        <w:ind w:left="641"/>
        <w:rPr>
          <w:rFonts w:ascii="黑体" w:hAnsi="黑体" w:eastAsia="黑体" w:cs="黑体"/>
          <w:sz w:val="32"/>
          <w:szCs w:val="32"/>
        </w:rPr>
      </w:pPr>
      <w:r>
        <w:rPr>
          <w:rFonts w:hint="eastAsia" w:ascii="黑体" w:hAnsi="黑体" w:eastAsia="黑体" w:cs="黑体"/>
          <w:spacing w:val="9"/>
          <w:position w:val="21"/>
          <w:sz w:val="32"/>
          <w:szCs w:val="32"/>
        </w:rPr>
        <w:t>七、存在的问题及原因分析</w:t>
      </w:r>
    </w:p>
    <w:p>
      <w:pPr>
        <w:widowControl/>
        <w:spacing w:line="610" w:lineRule="exact"/>
        <w:ind w:firstLine="640" w:firstLineChars="200"/>
        <w:rPr>
          <w:rFonts w:eastAsia="仿宋_GB2312"/>
          <w:sz w:val="32"/>
          <w:szCs w:val="32"/>
        </w:rPr>
      </w:pPr>
      <w:r>
        <w:rPr>
          <w:rFonts w:hint="eastAsia" w:eastAsia="仿宋_GB2312"/>
          <w:sz w:val="32"/>
          <w:szCs w:val="32"/>
        </w:rPr>
        <w:t>一是进一步加强厉行节约机制，提高单位三保支出的保障能力。</w:t>
      </w:r>
    </w:p>
    <w:p>
      <w:pPr>
        <w:widowControl/>
        <w:spacing w:line="610" w:lineRule="exact"/>
        <w:ind w:firstLine="640" w:firstLineChars="200"/>
        <w:rPr>
          <w:rFonts w:eastAsia="仿宋_GB2312"/>
          <w:sz w:val="32"/>
          <w:szCs w:val="32"/>
        </w:rPr>
      </w:pPr>
      <w:r>
        <w:rPr>
          <w:rFonts w:hint="eastAsia" w:eastAsia="仿宋_GB2312"/>
          <w:sz w:val="32"/>
          <w:szCs w:val="32"/>
        </w:rPr>
        <w:t>二是预算编制与实际支出项目有的存在差异，有待进一步优化预算，提高预算编制的准确性。</w:t>
      </w:r>
    </w:p>
    <w:p>
      <w:pPr>
        <w:spacing w:line="227" w:lineRule="auto"/>
        <w:ind w:left="643"/>
        <w:rPr>
          <w:rFonts w:ascii="黑体" w:hAnsi="黑体" w:eastAsia="黑体" w:cs="黑体"/>
          <w:sz w:val="32"/>
          <w:szCs w:val="32"/>
        </w:rPr>
      </w:pPr>
      <w:r>
        <w:rPr>
          <w:rFonts w:hint="eastAsia" w:ascii="黑体" w:hAnsi="黑体" w:eastAsia="黑体" w:cs="黑体"/>
          <w:spacing w:val="8"/>
          <w:sz w:val="32"/>
          <w:szCs w:val="32"/>
        </w:rPr>
        <w:t>八、下一步改进措施</w:t>
      </w:r>
    </w:p>
    <w:p>
      <w:pPr>
        <w:widowControl/>
        <w:spacing w:line="610" w:lineRule="exact"/>
        <w:ind w:firstLine="640" w:firstLineChars="200"/>
        <w:rPr>
          <w:rFonts w:eastAsia="仿宋_GB2312"/>
          <w:sz w:val="32"/>
          <w:szCs w:val="32"/>
        </w:rPr>
      </w:pPr>
      <w:r>
        <w:rPr>
          <w:rFonts w:hint="eastAsia" w:eastAsia="仿宋_GB2312"/>
          <w:sz w:val="32"/>
          <w:szCs w:val="32"/>
        </w:rPr>
        <w:t>一是按照预算规定的项目和用途严格财务审核，经费支出严格按预算规定项目的财务支出内容进行财务核算，在预算金额内严格控制费用的支出，先有预算，再有支出。</w:t>
      </w:r>
    </w:p>
    <w:p>
      <w:pPr>
        <w:widowControl/>
        <w:spacing w:line="610" w:lineRule="exact"/>
        <w:ind w:firstLine="640" w:firstLineChars="200"/>
        <w:rPr>
          <w:rFonts w:eastAsia="仿宋_GB2312"/>
          <w:sz w:val="32"/>
          <w:szCs w:val="32"/>
        </w:rPr>
      </w:pPr>
      <w:r>
        <w:rPr>
          <w:rFonts w:hint="eastAsia" w:eastAsia="仿宋_GB2312"/>
          <w:sz w:val="32"/>
          <w:szCs w:val="32"/>
        </w:rPr>
        <w:t>二是预算财务分析常态化，定期做好预算支出财务分析，做好部门整体支出预算评价工作。</w:t>
      </w:r>
    </w:p>
    <w:p>
      <w:pPr>
        <w:spacing w:before="219" w:line="600" w:lineRule="exact"/>
        <w:ind w:left="650"/>
        <w:rPr>
          <w:rFonts w:ascii="黑体" w:hAnsi="黑体" w:eastAsia="黑体" w:cs="黑体"/>
          <w:sz w:val="32"/>
          <w:szCs w:val="32"/>
        </w:rPr>
      </w:pPr>
      <w:r>
        <w:rPr>
          <w:rFonts w:hint="eastAsia" w:ascii="黑体" w:hAnsi="黑体" w:eastAsia="黑体" w:cs="黑体"/>
          <w:spacing w:val="9"/>
          <w:position w:val="21"/>
          <w:sz w:val="32"/>
          <w:szCs w:val="32"/>
        </w:rPr>
        <w:t>九、部门整体支出绩效自评结果拟应用和公开</w:t>
      </w:r>
      <w:r>
        <w:rPr>
          <w:rFonts w:hint="eastAsia" w:ascii="黑体" w:hAnsi="黑体" w:eastAsia="黑体" w:cs="黑体"/>
          <w:spacing w:val="8"/>
          <w:position w:val="21"/>
          <w:sz w:val="32"/>
          <w:szCs w:val="32"/>
        </w:rPr>
        <w:t>情况</w:t>
      </w:r>
    </w:p>
    <w:p>
      <w:pPr>
        <w:widowControl/>
        <w:spacing w:line="610" w:lineRule="exact"/>
        <w:ind w:firstLine="640" w:firstLineChars="200"/>
        <w:rPr>
          <w:rFonts w:eastAsia="仿宋_GB2312"/>
          <w:sz w:val="32"/>
          <w:szCs w:val="32"/>
        </w:rPr>
      </w:pPr>
      <w:r>
        <w:rPr>
          <w:rFonts w:hint="eastAsia" w:eastAsia="仿宋_GB2312"/>
          <w:sz w:val="32"/>
          <w:szCs w:val="32"/>
        </w:rPr>
        <w:t>202</w:t>
      </w:r>
      <w:r>
        <w:rPr>
          <w:rFonts w:hint="eastAsia" w:eastAsia="仿宋_GB2312"/>
          <w:sz w:val="32"/>
          <w:szCs w:val="32"/>
          <w:lang w:val="en-US" w:eastAsia="zh-CN"/>
        </w:rPr>
        <w:t>4</w:t>
      </w:r>
      <w:r>
        <w:rPr>
          <w:rFonts w:hint="eastAsia" w:eastAsia="仿宋_GB2312"/>
          <w:sz w:val="32"/>
          <w:szCs w:val="32"/>
        </w:rPr>
        <w:t>年整体支出绩效自评随202</w:t>
      </w:r>
      <w:r>
        <w:rPr>
          <w:rFonts w:hint="eastAsia" w:eastAsia="仿宋_GB2312"/>
          <w:sz w:val="32"/>
          <w:szCs w:val="32"/>
          <w:lang w:val="en-US" w:eastAsia="zh-CN"/>
        </w:rPr>
        <w:t>4</w:t>
      </w:r>
      <w:r>
        <w:rPr>
          <w:rFonts w:hint="eastAsia" w:eastAsia="仿宋_GB2312"/>
          <w:sz w:val="32"/>
          <w:szCs w:val="32"/>
        </w:rPr>
        <w:t>年部门决算一起在政府门户网站公开。</w:t>
      </w:r>
    </w:p>
    <w:p>
      <w:pPr>
        <w:spacing w:line="226" w:lineRule="auto"/>
        <w:ind w:left="647"/>
        <w:rPr>
          <w:rFonts w:ascii="黑体" w:hAnsi="黑体" w:eastAsia="黑体" w:cs="黑体"/>
          <w:spacing w:val="-3"/>
          <w:sz w:val="32"/>
          <w:szCs w:val="32"/>
        </w:rPr>
      </w:pPr>
      <w:r>
        <w:rPr>
          <w:rFonts w:hint="eastAsia" w:ascii="黑体" w:hAnsi="黑体" w:eastAsia="黑体" w:cs="黑体"/>
          <w:spacing w:val="-3"/>
          <w:sz w:val="32"/>
          <w:szCs w:val="32"/>
        </w:rPr>
        <w:t>十、其他需要说明的情况</w:t>
      </w:r>
    </w:p>
    <w:p>
      <w:pPr>
        <w:widowControl/>
        <w:spacing w:line="610" w:lineRule="exact"/>
        <w:ind w:firstLine="640" w:firstLineChars="200"/>
        <w:rPr>
          <w:rFonts w:eastAsia="仿宋_GB2312"/>
          <w:sz w:val="32"/>
          <w:szCs w:val="32"/>
        </w:rPr>
      </w:pPr>
      <w:r>
        <w:rPr>
          <w:rFonts w:hint="eastAsia" w:eastAsia="仿宋_GB2312"/>
          <w:sz w:val="32"/>
          <w:szCs w:val="32"/>
        </w:rPr>
        <w:t>无</w:t>
      </w:r>
    </w:p>
    <w:p>
      <w:pPr>
        <w:rPr>
          <w:rFonts w:eastAsia="方正小标宋_GBK"/>
          <w:sz w:val="52"/>
          <w:szCs w:val="52"/>
        </w:rPr>
        <w:sectPr>
          <w:footerReference r:id="rId3" w:type="default"/>
          <w:pgSz w:w="11905" w:h="16838"/>
          <w:pgMar w:top="1984" w:right="1701" w:bottom="1984" w:left="1701" w:header="850" w:footer="992" w:gutter="0"/>
          <w:pgNumType w:fmt="numberInDash"/>
          <w:cols w:space="0" w:num="1"/>
          <w:docGrid w:type="lines" w:linePitch="314"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方正小标宋_GBK">
    <w:panose1 w:val="02000000000000000000"/>
    <w:charset w:val="86"/>
    <w:family w:val="script"/>
    <w:pitch w:val="default"/>
    <w:sig w:usb0="A00002BF" w:usb1="38CF7CFA" w:usb2="00082016" w:usb3="00000000" w:csb0="00040001"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1" w:line="174" w:lineRule="auto"/>
      <w:ind w:left="8576"/>
      <w:rPr>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rPr>
                              <w:rFonts w:ascii="华文仿宋" w:hAnsi="华文仿宋" w:eastAsia="华文仿宋" w:cs="华文仿宋"/>
                              <w:sz w:val="28"/>
                              <w:szCs w:val="28"/>
                            </w:rPr>
                          </w:pPr>
                          <w:r>
                            <w:rPr>
                              <w:rFonts w:hint="eastAsia" w:ascii="华文仿宋" w:hAnsi="华文仿宋" w:eastAsia="华文仿宋" w:cs="华文仿宋"/>
                              <w:sz w:val="28"/>
                              <w:szCs w:val="28"/>
                            </w:rPr>
                            <w:fldChar w:fldCharType="begin"/>
                          </w:r>
                          <w:r>
                            <w:rPr>
                              <w:rFonts w:hint="eastAsia" w:ascii="华文仿宋" w:hAnsi="华文仿宋" w:eastAsia="华文仿宋" w:cs="华文仿宋"/>
                              <w:sz w:val="28"/>
                              <w:szCs w:val="28"/>
                            </w:rPr>
                            <w:instrText xml:space="preserve"> PAGE  \* MERGEFORMAT </w:instrText>
                          </w:r>
                          <w:r>
                            <w:rPr>
                              <w:rFonts w:hint="eastAsia" w:ascii="华文仿宋" w:hAnsi="华文仿宋" w:eastAsia="华文仿宋" w:cs="华文仿宋"/>
                              <w:sz w:val="28"/>
                              <w:szCs w:val="28"/>
                            </w:rPr>
                            <w:fldChar w:fldCharType="separate"/>
                          </w:r>
                          <w:r>
                            <w:rPr>
                              <w:rFonts w:ascii="华文仿宋" w:hAnsi="华文仿宋" w:eastAsia="华文仿宋" w:cs="华文仿宋"/>
                              <w:sz w:val="28"/>
                              <w:szCs w:val="28"/>
                            </w:rPr>
                            <w:t>- 10 -</w:t>
                          </w:r>
                          <w:r>
                            <w:rPr>
                              <w:rFonts w:hint="eastAsia" w:ascii="华文仿宋" w:hAnsi="华文仿宋" w:eastAsia="华文仿宋" w:cs="华文仿宋"/>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tzQzU3AgAAcQ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zqGCvSNPQwkVJXerRCu297&#10;nntTnEHTmW5SvOWbGqVsmQ8PzGE0UD4eT7jHUkqDlKa3KKmM+/Kv8xiPjsFLSYNRy6nGy6JEvtfo&#10;JADDYLjB2A+GPqo7g9lFc1BLMnHBBTmYpTPqM17UKuaAi2mOTDkNg3kXunHHi+RitUpBR+vqQ9Vd&#10;wBxaFrZ6Z3lME6XydnUMkDYpHgXqVEGn4gaTmHrWv5o46n/uU9Tjn2L5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B7c0M1NwIAAHEEAAAOAAAAAAAAAAEAIAAAAB8BAABkcnMvZTJvRG9jLnht&#10;bFBLBQYAAAAABgAGAFkBAADIBQAAAAA=&#10;">
              <v:fill on="f" focussize="0,0"/>
              <v:stroke on="f" weight="0.5pt"/>
              <v:imagedata o:title=""/>
              <o:lock v:ext="edit" aspectratio="f"/>
              <v:textbox inset="0mm,0mm,0mm,0mm" style="mso-fit-shape-to-text:t;">
                <w:txbxContent>
                  <w:p>
                    <w:pPr>
                      <w:pStyle w:val="3"/>
                      <w:rPr>
                        <w:rFonts w:ascii="华文仿宋" w:hAnsi="华文仿宋" w:eastAsia="华文仿宋" w:cs="华文仿宋"/>
                        <w:sz w:val="28"/>
                        <w:szCs w:val="28"/>
                      </w:rPr>
                    </w:pPr>
                    <w:r>
                      <w:rPr>
                        <w:rFonts w:hint="eastAsia" w:ascii="华文仿宋" w:hAnsi="华文仿宋" w:eastAsia="华文仿宋" w:cs="华文仿宋"/>
                        <w:sz w:val="28"/>
                        <w:szCs w:val="28"/>
                      </w:rPr>
                      <w:fldChar w:fldCharType="begin"/>
                    </w:r>
                    <w:r>
                      <w:rPr>
                        <w:rFonts w:hint="eastAsia" w:ascii="华文仿宋" w:hAnsi="华文仿宋" w:eastAsia="华文仿宋" w:cs="华文仿宋"/>
                        <w:sz w:val="28"/>
                        <w:szCs w:val="28"/>
                      </w:rPr>
                      <w:instrText xml:space="preserve"> PAGE  \* MERGEFORMAT </w:instrText>
                    </w:r>
                    <w:r>
                      <w:rPr>
                        <w:rFonts w:hint="eastAsia" w:ascii="华文仿宋" w:hAnsi="华文仿宋" w:eastAsia="华文仿宋" w:cs="华文仿宋"/>
                        <w:sz w:val="28"/>
                        <w:szCs w:val="28"/>
                      </w:rPr>
                      <w:fldChar w:fldCharType="separate"/>
                    </w:r>
                    <w:r>
                      <w:rPr>
                        <w:rFonts w:ascii="华文仿宋" w:hAnsi="华文仿宋" w:eastAsia="华文仿宋" w:cs="华文仿宋"/>
                        <w:sz w:val="28"/>
                        <w:szCs w:val="28"/>
                      </w:rPr>
                      <w:t>- 10 -</w:t>
                    </w:r>
                    <w:r>
                      <w:rPr>
                        <w:rFonts w:hint="eastAsia" w:ascii="华文仿宋" w:hAnsi="华文仿宋" w:eastAsia="华文仿宋" w:cs="华文仿宋"/>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iNTIzNjY4ODUyYTAyNDMyN2VjMjZhN2MxODgxNjkifQ=="/>
    <w:docVar w:name="KSO_WPS_MARK_KEY" w:val="847199bb-01b0-4f9f-bbb6-6e16fef09a8b"/>
  </w:docVars>
  <w:rsids>
    <w:rsidRoot w:val="779466C7"/>
    <w:rsid w:val="09EC7042"/>
    <w:rsid w:val="5A755946"/>
    <w:rsid w:val="779466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eastAsia="en-US"/>
    </w:rPr>
  </w:style>
  <w:style w:type="paragraph" w:styleId="3">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footnote text"/>
    <w:basedOn w:val="1"/>
    <w:next w:val="1"/>
    <w:qFormat/>
    <w:uiPriority w:val="0"/>
    <w:pPr>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Office_11.1.0.14244_F1E327BC-269C-435d-A152-05C5408002CA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2025-05-21T00:37:00Z</dcterms:created>
  <dc:creator>陈艺鑫</dc:creator>
  <cp:lastModifiedBy>陈艺鑫</cp:lastModifiedBy>
  <dcterms:modified xsi:type="dcterms:W3CDTF">2025-05-21T01:50:59Z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2052-11.1.0.14244</vt:lpwstr>
  </property>
  <property fmtid="{D5CDD505-2E9C-101B-9397-08002B2CF9AE}" pid="3" name="ICV">
    <vt:lpwstr>3939B8A4E91742FE9C3EE43B3A2854FB_13</vt:lpwstr>
  </property>
</Properties>
</file>