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  <w:t>2024</w:t>
      </w:r>
      <w:r>
        <w:rPr>
          <w:rFonts w:hint="eastAsia" w:asciiTheme="majorEastAsia" w:hAnsiTheme="majorEastAsia" w:eastAsiaTheme="majorEastAsia" w:cstheme="majorEastAsia"/>
          <w:sz w:val="44"/>
          <w:szCs w:val="44"/>
        </w:rPr>
        <w:t>年度</w:t>
      </w:r>
      <w:r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  <w:t>华容县城乡建设事务中心</w:t>
      </w:r>
    </w:p>
    <w:p>
      <w:pPr>
        <w:pStyle w:val="2"/>
        <w:jc w:val="center"/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  <w:t>城区小街小巷建设及下水道疏洗改造项目</w:t>
      </w:r>
    </w:p>
    <w:p>
      <w:pPr>
        <w:jc w:val="center"/>
        <w:rPr>
          <w:rFonts w:hint="eastAsia" w:asciiTheme="majorEastAsia" w:hAnsiTheme="majorEastAsia" w:eastAsiaTheme="majorEastAsia" w:cstheme="majorEastAsia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sz w:val="44"/>
          <w:szCs w:val="44"/>
        </w:rPr>
        <w:t>项目支出绩效自评报告</w:t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52"/>
          <w:szCs w:val="52"/>
        </w:rPr>
      </w:pPr>
    </w:p>
    <w:p>
      <w:pPr>
        <w:jc w:val="center"/>
        <w:rPr>
          <w:rFonts w:eastAsia="黑体"/>
          <w:sz w:val="32"/>
          <w:szCs w:val="32"/>
        </w:rPr>
      </w:pPr>
    </w:p>
    <w:p>
      <w:pPr>
        <w:pStyle w:val="2"/>
      </w:pPr>
    </w:p>
    <w:p>
      <w:pPr>
        <w:jc w:val="center"/>
        <w:rPr>
          <w:rFonts w:eastAsia="黑体"/>
          <w:sz w:val="32"/>
          <w:szCs w:val="32"/>
        </w:rPr>
      </w:pPr>
    </w:p>
    <w:p>
      <w:pPr>
        <w:jc w:val="center"/>
        <w:rPr>
          <w:rFonts w:eastAsia="黑体"/>
          <w:sz w:val="32"/>
          <w:szCs w:val="32"/>
        </w:rPr>
      </w:pPr>
    </w:p>
    <w:p>
      <w:pPr>
        <w:jc w:val="center"/>
        <w:rPr>
          <w:rFonts w:eastAsia="黑体"/>
          <w:sz w:val="32"/>
          <w:szCs w:val="32"/>
        </w:rPr>
      </w:pPr>
    </w:p>
    <w:p>
      <w:pPr>
        <w:jc w:val="center"/>
        <w:rPr>
          <w:rFonts w:eastAsia="黑体"/>
          <w:sz w:val="32"/>
          <w:szCs w:val="32"/>
        </w:rPr>
      </w:pPr>
    </w:p>
    <w:p>
      <w:pPr>
        <w:rPr>
          <w:rFonts w:eastAsia="黑体"/>
          <w:sz w:val="32"/>
          <w:szCs w:val="32"/>
        </w:rPr>
      </w:pPr>
    </w:p>
    <w:p>
      <w:pPr>
        <w:pStyle w:val="4"/>
        <w:spacing w:before="100" w:line="221" w:lineRule="auto"/>
        <w:ind w:firstLine="600" w:firstLineChars="200"/>
        <w:rPr>
          <w:rFonts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  <w:lang w:eastAsia="zh-CN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lang w:eastAsia="zh-CN"/>
        </w:rPr>
        <w:t>：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  <w:u w:val="single"/>
          <w:lang w:eastAsia="zh-CN"/>
        </w:rPr>
        <w:t>(</w:t>
      </w:r>
      <w:r>
        <w:rPr>
          <w:rFonts w:hint="eastAsia" w:ascii="仿宋_GB2312" w:hAnsi="仿宋_GB2312" w:eastAsia="仿宋_GB2312" w:cs="仿宋_GB2312"/>
          <w:spacing w:val="-118"/>
          <w:sz w:val="32"/>
          <w:szCs w:val="32"/>
          <w:u w:val="single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spacing w:val="-75"/>
          <w:sz w:val="32"/>
          <w:szCs w:val="32"/>
          <w:u w:val="single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spacing w:val="-10"/>
          <w:sz w:val="32"/>
          <w:szCs w:val="32"/>
          <w:u w:val="single"/>
          <w:lang w:eastAsia="zh-CN"/>
        </w:rPr>
        <w:t>盖章）</w:t>
      </w:r>
      <w:r>
        <w:rPr>
          <w:rFonts w:hint="eastAsia" w:ascii="仿宋_GB2312" w:hAnsi="仿宋_GB2312" w:eastAsia="仿宋_GB2312" w:cs="仿宋_GB2312"/>
          <w:sz w:val="32"/>
          <w:szCs w:val="32"/>
          <w:u w:val="single"/>
          <w:lang w:eastAsia="zh-CN"/>
        </w:rPr>
        <w:t xml:space="preserve">              </w:t>
      </w:r>
    </w:p>
    <w:p>
      <w:pPr>
        <w:spacing w:before="228" w:line="222" w:lineRule="auto"/>
        <w:ind w:firstLine="4560" w:firstLineChars="15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</w:rPr>
        <w:t xml:space="preserve"> 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43"/>
          <w:sz w:val="32"/>
          <w:szCs w:val="32"/>
        </w:rPr>
        <w:t xml:space="preserve">  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ascii="仿宋_GB2312" w:hAnsi="仿宋_GB2312" w:eastAsia="仿宋_GB2312" w:cs="仿宋_GB2312"/>
          <w:sz w:val="32"/>
          <w:szCs w:val="32"/>
        </w:rPr>
      </w:pPr>
    </w:p>
    <w:p>
      <w:pPr>
        <w:pStyle w:val="4"/>
        <w:spacing w:before="102" w:line="224" w:lineRule="auto"/>
        <w:ind w:left="3216"/>
        <w:rPr>
          <w:rFonts w:ascii="仿宋_GB2312" w:hAnsi="仿宋_GB2312" w:eastAsia="仿宋_GB2312" w:cs="仿宋_GB2312"/>
          <w:spacing w:val="8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  <w:lang w:eastAsia="zh-CN"/>
        </w:rPr>
        <w:t>（此页为封面）</w:t>
      </w:r>
    </w:p>
    <w:p>
      <w:pPr>
        <w:rPr>
          <w:rFonts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>
      <w:pPr>
        <w:spacing w:line="610" w:lineRule="exact"/>
        <w:jc w:val="center"/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  <w:t>2024</w:t>
      </w:r>
      <w:r>
        <w:rPr>
          <w:rFonts w:hint="eastAsia" w:asciiTheme="majorEastAsia" w:hAnsiTheme="majorEastAsia" w:eastAsiaTheme="majorEastAsia" w:cstheme="majorEastAsia"/>
          <w:sz w:val="44"/>
          <w:szCs w:val="44"/>
        </w:rPr>
        <w:t>年度</w:t>
      </w:r>
      <w:r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  <w:t>华容县城乡建设事务中心</w:t>
      </w:r>
    </w:p>
    <w:p>
      <w:pPr>
        <w:pStyle w:val="2"/>
        <w:jc w:val="center"/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44"/>
          <w:szCs w:val="44"/>
          <w:lang w:eastAsia="zh-CN"/>
        </w:rPr>
        <w:t>城区小街小巷建设及下水道疏洗改造项目</w:t>
      </w:r>
    </w:p>
    <w:p>
      <w:pPr>
        <w:spacing w:line="610" w:lineRule="exact"/>
        <w:jc w:val="center"/>
        <w:rPr>
          <w:rFonts w:hint="eastAsia" w:asciiTheme="majorEastAsia" w:hAnsiTheme="majorEastAsia" w:eastAsiaTheme="majorEastAsia" w:cstheme="majorEastAsia"/>
          <w:sz w:val="44"/>
          <w:szCs w:val="44"/>
        </w:rPr>
      </w:pPr>
      <w:r>
        <w:rPr>
          <w:rFonts w:hint="eastAsia" w:asciiTheme="majorEastAsia" w:hAnsiTheme="majorEastAsia" w:eastAsiaTheme="majorEastAsia" w:cstheme="majorEastAsia"/>
          <w:sz w:val="44"/>
          <w:szCs w:val="44"/>
        </w:rPr>
        <w:t>项目支出绩效自评报告</w:t>
      </w:r>
    </w:p>
    <w:p>
      <w:pPr>
        <w:spacing w:line="610" w:lineRule="exact"/>
        <w:ind w:firstLine="880" w:firstLineChars="200"/>
        <w:jc w:val="center"/>
        <w:rPr>
          <w:rFonts w:hint="eastAsia" w:asciiTheme="majorEastAsia" w:hAnsiTheme="majorEastAsia" w:eastAsiaTheme="majorEastAsia" w:cstheme="majorEastAsia"/>
          <w:sz w:val="44"/>
          <w:szCs w:val="44"/>
        </w:rPr>
      </w:pPr>
    </w:p>
    <w:p>
      <w:pPr>
        <w:spacing w:line="61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>
      <w:pPr>
        <w:spacing w:line="360" w:lineRule="exact"/>
        <w:ind w:firstLine="640" w:firstLineChars="200"/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（一）</w:t>
      </w:r>
      <w:r>
        <w:rPr>
          <w:rFonts w:hint="eastAsia" w:ascii="楷体" w:hAnsi="楷体" w:eastAsia="楷体" w:cs="楷体"/>
          <w:sz w:val="32"/>
          <w:szCs w:val="32"/>
        </w:rPr>
        <w:t>项目概况</w:t>
      </w:r>
    </w:p>
    <w:p>
      <w:pPr>
        <w:spacing w:line="360" w:lineRule="exact"/>
        <w:ind w:firstLine="640" w:firstLineChars="200"/>
        <w:rPr>
          <w:rFonts w:hint="eastAsia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sz w:val="32"/>
          <w:szCs w:val="32"/>
          <w:lang w:eastAsia="zh-CN"/>
        </w:rPr>
        <w:t>城区小街小巷建设及下水道疏洗改造项目聚焦县城区基础设施短板，旨在改善居民生活环境。项目覆盖城区多条老旧小街小巷，实施内容包含路面硬化、绿化美化等建设工程，同步推进下水道破损重建、雨污分流改造。通过系统性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改造，解决道路破损、排水不畅、环境脏乱等问题，提升城市形象与居民幸福感。</w:t>
      </w:r>
    </w:p>
    <w:p>
      <w:pPr>
        <w:spacing w:line="360" w:lineRule="exact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  <w:lang w:eastAsia="zh-CN"/>
        </w:rPr>
        <w:t>2024</w:t>
      </w:r>
      <w:r>
        <w:rPr>
          <w:rFonts w:hint="eastAsia" w:ascii="仿宋" w:hAnsi="仿宋" w:eastAsia="仿宋"/>
          <w:sz w:val="32"/>
          <w:szCs w:val="32"/>
        </w:rPr>
        <w:t>年</w:t>
      </w:r>
      <w:r>
        <w:rPr>
          <w:rFonts w:hint="eastAsia" w:ascii="仿宋" w:hAnsi="仿宋" w:eastAsia="仿宋"/>
          <w:sz w:val="32"/>
          <w:szCs w:val="32"/>
          <w:lang w:eastAsia="zh-CN"/>
        </w:rPr>
        <w:t>我单位</w:t>
      </w:r>
      <w:r>
        <w:rPr>
          <w:rFonts w:hint="eastAsia" w:ascii="仿宋" w:hAnsi="仿宋" w:eastAsia="仿宋"/>
          <w:sz w:val="32"/>
          <w:szCs w:val="32"/>
        </w:rPr>
        <w:t>完成了</w:t>
      </w:r>
      <w:r>
        <w:rPr>
          <w:rFonts w:hint="eastAsia" w:ascii="仿宋" w:hAnsi="仿宋" w:eastAsia="仿宋"/>
          <w:sz w:val="32"/>
          <w:szCs w:val="32"/>
          <w:lang w:eastAsia="zh-CN"/>
        </w:rPr>
        <w:t>建设巷、书院路、党校前进路</w:t>
      </w:r>
      <w:r>
        <w:rPr>
          <w:rFonts w:hint="eastAsia" w:ascii="仿宋" w:hAnsi="仿宋" w:eastAsia="仿宋"/>
          <w:sz w:val="32"/>
          <w:szCs w:val="32"/>
        </w:rPr>
        <w:t>等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多</w:t>
      </w:r>
      <w:r>
        <w:rPr>
          <w:rFonts w:hint="eastAsia" w:ascii="仿宋" w:hAnsi="仿宋" w:eastAsia="仿宋"/>
          <w:sz w:val="32"/>
          <w:szCs w:val="32"/>
        </w:rPr>
        <w:t>处较大部位</w:t>
      </w:r>
      <w:r>
        <w:rPr>
          <w:rFonts w:hint="eastAsia" w:ascii="仿宋" w:hAnsi="仿宋" w:eastAsia="仿宋"/>
          <w:sz w:val="32"/>
          <w:szCs w:val="32"/>
          <w:lang w:eastAsia="zh-CN"/>
        </w:rPr>
        <w:t>路面硬化</w:t>
      </w:r>
      <w:r>
        <w:rPr>
          <w:rFonts w:hint="eastAsia" w:ascii="仿宋" w:hAnsi="仿宋" w:eastAsia="仿宋"/>
          <w:sz w:val="32"/>
          <w:szCs w:val="32"/>
        </w:rPr>
        <w:t>及</w:t>
      </w:r>
      <w:r>
        <w:rPr>
          <w:rFonts w:hint="eastAsia" w:ascii="仿宋" w:hAnsi="仿宋" w:eastAsia="仿宋"/>
          <w:sz w:val="32"/>
          <w:szCs w:val="32"/>
          <w:lang w:eastAsia="zh-CN"/>
        </w:rPr>
        <w:t>下水道管网重建工作</w:t>
      </w:r>
      <w:r>
        <w:rPr>
          <w:rFonts w:hint="eastAsia" w:ascii="仿宋" w:hAnsi="仿宋" w:eastAsia="仿宋"/>
          <w:sz w:val="32"/>
          <w:szCs w:val="32"/>
        </w:rPr>
        <w:t>，完成投资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600</w:t>
      </w:r>
      <w:r>
        <w:rPr>
          <w:rFonts w:hint="eastAsia" w:ascii="仿宋" w:hAnsi="仿宋" w:eastAsia="仿宋"/>
          <w:sz w:val="32"/>
          <w:szCs w:val="32"/>
        </w:rPr>
        <w:t>万元。</w:t>
      </w:r>
    </w:p>
    <w:p>
      <w:pPr>
        <w:spacing w:line="360" w:lineRule="exact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项目资金使用及管理情况：</w:t>
      </w:r>
      <w:r>
        <w:rPr>
          <w:rFonts w:hint="eastAsia" w:ascii="仿宋" w:hAnsi="仿宋" w:eastAsia="仿宋"/>
          <w:sz w:val="32"/>
          <w:szCs w:val="32"/>
        </w:rPr>
        <w:t>项目资金到位情况。财政局下达</w:t>
      </w:r>
      <w:r>
        <w:rPr>
          <w:rFonts w:hint="eastAsia" w:ascii="仿宋" w:hAnsi="仿宋" w:eastAsia="仿宋"/>
          <w:sz w:val="32"/>
          <w:szCs w:val="32"/>
          <w:lang w:eastAsia="zh-CN"/>
        </w:rPr>
        <w:t>城区小街小巷建设及下水道疏洗改造项目</w:t>
      </w:r>
      <w:r>
        <w:rPr>
          <w:rFonts w:hint="eastAsia" w:ascii="仿宋" w:hAnsi="仿宋" w:eastAsia="仿宋"/>
          <w:sz w:val="32"/>
          <w:szCs w:val="32"/>
        </w:rPr>
        <w:t>预算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300</w:t>
      </w:r>
      <w:r>
        <w:rPr>
          <w:rFonts w:hint="eastAsia" w:ascii="仿宋" w:hAnsi="仿宋" w:eastAsia="仿宋"/>
          <w:sz w:val="32"/>
          <w:szCs w:val="32"/>
        </w:rPr>
        <w:t>万元，</w:t>
      </w:r>
      <w:r>
        <w:rPr>
          <w:rFonts w:hint="eastAsia" w:ascii="仿宋" w:hAnsi="仿宋" w:eastAsia="仿宋"/>
          <w:sz w:val="32"/>
          <w:szCs w:val="32"/>
          <w:lang w:eastAsia="zh-CN"/>
        </w:rPr>
        <w:t>年度总投资资金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600万元，资金</w:t>
      </w:r>
      <w:r>
        <w:rPr>
          <w:rFonts w:hint="eastAsia" w:ascii="仿宋" w:hAnsi="仿宋" w:eastAsia="仿宋"/>
          <w:sz w:val="32"/>
          <w:szCs w:val="32"/>
        </w:rPr>
        <w:t>到位率100%。资金主要用于</w:t>
      </w:r>
      <w:r>
        <w:rPr>
          <w:rFonts w:hint="eastAsia" w:ascii="仿宋" w:hAnsi="仿宋" w:eastAsia="仿宋"/>
          <w:sz w:val="32"/>
          <w:szCs w:val="32"/>
          <w:lang w:eastAsia="zh-CN"/>
        </w:rPr>
        <w:t>及城区小街小巷建设、下水道梳洗，2024</w:t>
      </w:r>
      <w:r>
        <w:rPr>
          <w:rFonts w:hint="eastAsia" w:ascii="仿宋" w:hAnsi="仿宋" w:eastAsia="仿宋"/>
          <w:sz w:val="32"/>
          <w:szCs w:val="32"/>
        </w:rPr>
        <w:t>年度实际使用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600</w:t>
      </w:r>
      <w:r>
        <w:rPr>
          <w:rFonts w:hint="eastAsia" w:ascii="仿宋" w:hAnsi="仿宋" w:eastAsia="仿宋"/>
          <w:sz w:val="32"/>
          <w:szCs w:val="32"/>
        </w:rPr>
        <w:t>万元，资金使用率100%。项目资金管理情况。项目资金严格按照项目实施内容，专款专用进行项目资金的管理使用。</w:t>
      </w:r>
    </w:p>
    <w:p>
      <w:pPr>
        <w:spacing w:line="610" w:lineRule="exact"/>
        <w:ind w:firstLine="640" w:firstLineChars="200"/>
        <w:rPr>
          <w:rFonts w:eastAsia="仿宋_GB2312"/>
          <w:sz w:val="32"/>
          <w:szCs w:val="32"/>
        </w:rPr>
      </w:pPr>
    </w:p>
    <w:p>
      <w:pPr>
        <w:numPr>
          <w:ilvl w:val="0"/>
          <w:numId w:val="1"/>
        </w:numPr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项目绩效目标。</w:t>
      </w:r>
    </w:p>
    <w:p>
      <w:pPr>
        <w:spacing w:line="610" w:lineRule="exact"/>
        <w:ind w:firstLine="640" w:firstLineChars="200"/>
        <w:rPr>
          <w:rFonts w:hint="eastAsia" w:eastAsia="仿宋_GB2312"/>
          <w:sz w:val="32"/>
          <w:szCs w:val="32"/>
          <w:lang w:eastAsia="zh-CN"/>
        </w:rPr>
      </w:pPr>
      <w:r>
        <w:rPr>
          <w:rFonts w:hint="eastAsia" w:ascii="仿宋" w:hAnsi="仿宋" w:eastAsia="仿宋"/>
          <w:sz w:val="32"/>
          <w:szCs w:val="32"/>
          <w:lang w:eastAsia="zh-CN"/>
        </w:rPr>
        <w:t>通过小街小巷路面硬化、下水道梳洗等工程，提升城区街巷通行便利性与安全性，实现排水系统通畅，降低内涝隐患，改善居民生活环境，提升群众满意度，助力打造品质城区。</w:t>
      </w:r>
    </w:p>
    <w:p>
      <w:pPr>
        <w:spacing w:line="61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二、绩效评价工作开展情况</w:t>
      </w:r>
    </w:p>
    <w:p>
      <w:pPr>
        <w:spacing w:line="610" w:lineRule="exact"/>
        <w:ind w:firstLine="640" w:firstLineChars="200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（一）绩效评价目的、对象和范围。</w:t>
      </w:r>
    </w:p>
    <w:p>
      <w:pPr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评价</w:t>
      </w:r>
      <w:r>
        <w:rPr>
          <w:rFonts w:hint="eastAsia" w:ascii="仿宋" w:hAnsi="仿宋" w:eastAsia="仿宋"/>
          <w:sz w:val="32"/>
          <w:szCs w:val="32"/>
          <w:lang w:eastAsia="zh-CN"/>
        </w:rPr>
        <w:t>城区小街小巷建设及下水道疏洗改造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项目存在的必要性、项目管理是否规范、项目绩效是否突出，从而为专项决策提供依据，进一步规范专项管理，提高县城区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项目资金使用绩效。</w:t>
      </w:r>
    </w:p>
    <w:p>
      <w:pPr>
        <w:pStyle w:val="2"/>
      </w:pPr>
    </w:p>
    <w:p>
      <w:pPr>
        <w:numPr>
          <w:ilvl w:val="0"/>
          <w:numId w:val="1"/>
        </w:numPr>
        <w:spacing w:line="610" w:lineRule="exact"/>
        <w:ind w:left="0" w:leftChars="0" w:firstLine="640" w:firstLineChars="200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绩效评价原则、评价指标体系（附表说明）、评价方法、评价标准等。</w:t>
      </w:r>
    </w:p>
    <w:p>
      <w:pPr>
        <w:pStyle w:val="2"/>
        <w:numPr>
          <w:ilvl w:val="0"/>
          <w:numId w:val="0"/>
        </w:numPr>
        <w:ind w:leftChars="200" w:firstLine="640" w:firstLineChars="200"/>
      </w:pPr>
      <w:r>
        <w:rPr>
          <w:rFonts w:hint="eastAsia" w:ascii="仿宋" w:hAnsi="仿宋" w:eastAsia="仿宋"/>
          <w:sz w:val="32"/>
          <w:szCs w:val="32"/>
        </w:rPr>
        <w:t>定量与定性分析相结合的原则；真实性、科学性、规范性原则。目标效益分析法和公众评判法。</w:t>
      </w:r>
    </w:p>
    <w:p>
      <w:pPr>
        <w:numPr>
          <w:ilvl w:val="0"/>
          <w:numId w:val="1"/>
        </w:numPr>
        <w:spacing w:line="610" w:lineRule="exact"/>
        <w:ind w:left="0" w:leftChars="0" w:firstLine="640" w:firstLineChars="200"/>
        <w:rPr>
          <w:rFonts w:hint="eastAsia"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绩效评价工作过程。</w:t>
      </w:r>
    </w:p>
    <w:p>
      <w:pPr>
        <w:pStyle w:val="2"/>
        <w:numPr>
          <w:ilvl w:val="0"/>
          <w:numId w:val="2"/>
        </w:numPr>
        <w:ind w:leftChars="200" w:firstLine="960" w:firstLineChars="300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前期准备。县城乡建设事务中心填报了《</w:t>
      </w:r>
      <w:r>
        <w:rPr>
          <w:rFonts w:hint="eastAsia"/>
          <w:sz w:val="32"/>
          <w:szCs w:val="32"/>
          <w:lang w:eastAsia="zh-CN"/>
        </w:rPr>
        <w:t>2024</w:t>
      </w:r>
      <w:r>
        <w:rPr>
          <w:rFonts w:hint="eastAsia" w:ascii="仿宋" w:hAnsi="仿宋" w:eastAsia="仿宋"/>
          <w:sz w:val="32"/>
          <w:szCs w:val="32"/>
        </w:rPr>
        <w:t>年度专项资金预算绩效目标申报表》。</w:t>
      </w:r>
    </w:p>
    <w:p>
      <w:pPr>
        <w:pStyle w:val="2"/>
        <w:numPr>
          <w:ilvl w:val="0"/>
          <w:numId w:val="2"/>
        </w:numPr>
        <w:ind w:left="420" w:leftChars="200" w:firstLine="960" w:firstLineChars="300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组织实施。县城乡建设事务中心成立专门的组织机构—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项目专项资金绩效目标管理工作领导小组依法履行监督考核职能，进行自评。</w:t>
      </w:r>
    </w:p>
    <w:p>
      <w:pPr>
        <w:pStyle w:val="2"/>
        <w:numPr>
          <w:ilvl w:val="0"/>
          <w:numId w:val="0"/>
        </w:numPr>
        <w:ind w:left="638" w:leftChars="304" w:firstLine="640" w:firstLineChars="200"/>
      </w:pPr>
      <w:r>
        <w:rPr>
          <w:rFonts w:hint="eastAsia" w:ascii="仿宋" w:hAnsi="仿宋" w:eastAsia="仿宋"/>
          <w:sz w:val="32"/>
          <w:szCs w:val="32"/>
        </w:rPr>
        <w:t>3、分析评价。通过政策文件、基础数据、资金使用效益和问卷调查分析等多种信息进行分析评价，最后撰写出绩效评价报告。</w:t>
      </w:r>
    </w:p>
    <w:p>
      <w:pPr>
        <w:spacing w:line="61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  <w:rPr>
          <w:rFonts w:ascii="仿宋" w:hAnsi="仿宋" w:eastAsia="仿宋"/>
          <w:kern w:val="2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综合评价情况：</w:t>
      </w:r>
      <w:r>
        <w:rPr>
          <w:rFonts w:hint="eastAsia" w:ascii="仿宋" w:hAnsi="仿宋" w:eastAsia="仿宋"/>
          <w:kern w:val="2"/>
          <w:sz w:val="32"/>
          <w:szCs w:val="32"/>
        </w:rPr>
        <w:t>项目管理做到了管理规范，操作阳光透明，运行有序高效，服务态度优质，群众满意度高，确保了</w:t>
      </w:r>
      <w:r>
        <w:rPr>
          <w:rFonts w:hint="eastAsia" w:ascii="仿宋" w:hAnsi="仿宋" w:eastAsia="仿宋"/>
          <w:kern w:val="2"/>
          <w:sz w:val="32"/>
          <w:szCs w:val="32"/>
          <w:lang w:eastAsia="zh-CN"/>
        </w:rPr>
        <w:t>城区小街小巷环境整洁、排水通畅</w:t>
      </w:r>
      <w:r>
        <w:rPr>
          <w:rFonts w:hint="eastAsia" w:ascii="仿宋" w:hAnsi="仿宋" w:eastAsia="仿宋"/>
          <w:kern w:val="2"/>
          <w:sz w:val="32"/>
          <w:szCs w:val="32"/>
        </w:rPr>
        <w:t>。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  <w:rPr>
          <w:rFonts w:ascii="仿宋" w:hAnsi="仿宋" w:eastAsia="仿宋"/>
          <w:kern w:val="2"/>
          <w:sz w:val="32"/>
          <w:szCs w:val="32"/>
        </w:rPr>
      </w:pPr>
      <w:r>
        <w:rPr>
          <w:rFonts w:hint="eastAsia" w:ascii="仿宋" w:hAnsi="仿宋" w:eastAsia="仿宋"/>
          <w:kern w:val="2"/>
          <w:sz w:val="32"/>
          <w:szCs w:val="32"/>
        </w:rPr>
        <w:t>在项目管理上，通过逐步规范申报审批支付程序，确保了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kern w:val="2"/>
          <w:sz w:val="32"/>
          <w:szCs w:val="32"/>
        </w:rPr>
        <w:t>工作高效运转。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  <w:rPr>
          <w:rFonts w:ascii="仿宋" w:hAnsi="仿宋" w:eastAsia="仿宋"/>
          <w:kern w:val="2"/>
          <w:sz w:val="32"/>
          <w:szCs w:val="32"/>
        </w:rPr>
      </w:pPr>
      <w:r>
        <w:rPr>
          <w:rFonts w:hint="eastAsia" w:ascii="仿宋" w:hAnsi="仿宋" w:eastAsia="仿宋"/>
          <w:kern w:val="2"/>
          <w:sz w:val="32"/>
          <w:szCs w:val="32"/>
        </w:rPr>
        <w:t>在资金管理上，严格按照规定，实行专款专用，确保了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</w:t>
      </w:r>
      <w:r>
        <w:rPr>
          <w:rFonts w:hint="eastAsia" w:ascii="仿宋" w:hAnsi="仿宋" w:eastAsia="仿宋"/>
          <w:kern w:val="2"/>
          <w:sz w:val="32"/>
          <w:szCs w:val="32"/>
        </w:rPr>
        <w:t>专项资金及时支付到位。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  <w:rPr>
          <w:rFonts w:ascii="仿宋" w:hAnsi="仿宋" w:eastAsia="仿宋"/>
          <w:kern w:val="2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评价结论：</w:t>
      </w:r>
      <w:r>
        <w:rPr>
          <w:rFonts w:hint="eastAsia" w:ascii="仿宋" w:hAnsi="仿宋" w:eastAsia="仿宋"/>
          <w:kern w:val="2"/>
          <w:sz w:val="32"/>
          <w:szCs w:val="32"/>
          <w:lang w:eastAsia="zh-CN"/>
        </w:rPr>
        <w:t>2024</w:t>
      </w:r>
      <w:r>
        <w:rPr>
          <w:rFonts w:hint="eastAsia" w:ascii="仿宋" w:hAnsi="仿宋" w:eastAsia="仿宋"/>
          <w:kern w:val="2"/>
          <w:sz w:val="32"/>
          <w:szCs w:val="32"/>
        </w:rPr>
        <w:t>年度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</w:t>
      </w:r>
      <w:r>
        <w:rPr>
          <w:rFonts w:hint="eastAsia" w:ascii="仿宋" w:hAnsi="仿宋" w:eastAsia="仿宋"/>
          <w:kern w:val="2"/>
          <w:sz w:val="32"/>
          <w:szCs w:val="32"/>
        </w:rPr>
        <w:t>专项资金，达到了绩效目标要求，确保了</w:t>
      </w:r>
      <w:r>
        <w:rPr>
          <w:rFonts w:hint="eastAsia" w:ascii="仿宋" w:hAnsi="仿宋" w:eastAsia="仿宋"/>
          <w:kern w:val="2"/>
          <w:sz w:val="32"/>
          <w:szCs w:val="32"/>
          <w:lang w:eastAsia="zh-CN"/>
        </w:rPr>
        <w:t>城区小街小巷环境整洁、排水通畅</w:t>
      </w:r>
      <w:r>
        <w:rPr>
          <w:rFonts w:hint="eastAsia" w:ascii="仿宋" w:hAnsi="仿宋" w:eastAsia="仿宋"/>
          <w:kern w:val="2"/>
          <w:sz w:val="32"/>
          <w:szCs w:val="32"/>
        </w:rPr>
        <w:t>。项目管理规范，资金管理安全，资金拨付及时到位，社会效益比较显著，群众满意率高。</w:t>
      </w:r>
    </w:p>
    <w:p>
      <w:pPr>
        <w:pStyle w:val="2"/>
      </w:pPr>
    </w:p>
    <w:p>
      <w:pPr>
        <w:spacing w:line="61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>
      <w:pPr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（一）项目决策情况。</w:t>
      </w:r>
    </w:p>
    <w:p>
      <w:pPr>
        <w:pStyle w:val="9"/>
        <w:ind w:firstLine="640" w:firstLineChars="200"/>
        <w:rPr>
          <w:rFonts w:hint="eastAsia" w:eastAsia="宋体"/>
          <w:lang w:eastAsia="zh-CN"/>
        </w:rPr>
      </w:pPr>
      <w:r>
        <w:rPr>
          <w:rFonts w:hint="eastAsia" w:ascii="仿宋" w:hAnsi="仿宋" w:eastAsia="仿宋"/>
          <w:sz w:val="32"/>
          <w:szCs w:val="32"/>
          <w:lang w:eastAsia="zh-CN"/>
        </w:rPr>
        <w:t>基于城区小街小巷路面破损及下水道堵塞内涝频发的民生，结合县城区发展规划与民众需求调研，精准立项，经会议研究、多部门联审，明确改造方案与资金预算、制定详细计划，通过公开招投标确定优质施工单位，建立项目决策责任机制，确保程序规范，依据充分，有效回应群众关切，为项目顺利推行奠定坚实基础。</w:t>
      </w:r>
    </w:p>
    <w:p>
      <w:pPr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（二）项目过程情况。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</w:pPr>
      <w:r>
        <w:rPr>
          <w:rFonts w:hint="eastAsia" w:ascii="仿宋" w:hAnsi="仿宋" w:eastAsia="仿宋"/>
          <w:sz w:val="32"/>
          <w:szCs w:val="32"/>
        </w:rPr>
        <w:t>我中心根据市民“12345”热线、各社区反映及中心工作人员日常巡查发现问题，经现场查勘后积极处理，确定问题原因及处理方案后，依规依程序通过</w:t>
      </w:r>
      <w:r>
        <w:rPr>
          <w:rFonts w:hint="eastAsia" w:ascii="仿宋" w:hAnsi="仿宋" w:eastAsia="仿宋"/>
          <w:sz w:val="32"/>
          <w:szCs w:val="32"/>
          <w:lang w:eastAsia="zh-CN"/>
        </w:rPr>
        <w:t>公开招标</w:t>
      </w:r>
      <w:r>
        <w:rPr>
          <w:rFonts w:hint="eastAsia" w:ascii="仿宋" w:hAnsi="仿宋" w:eastAsia="仿宋"/>
          <w:sz w:val="32"/>
          <w:szCs w:val="32"/>
        </w:rPr>
        <w:t>确定施工队进行维护施工，施工完成后组织验收</w:t>
      </w:r>
      <w:r>
        <w:rPr>
          <w:rFonts w:hint="eastAsia" w:ascii="仿宋" w:hAnsi="仿宋" w:eastAsia="仿宋"/>
          <w:sz w:val="32"/>
          <w:szCs w:val="32"/>
          <w:lang w:eastAsia="zh-CN"/>
        </w:rPr>
        <w:t>，</w:t>
      </w:r>
      <w:r>
        <w:rPr>
          <w:rFonts w:hint="eastAsia" w:ascii="仿宋" w:hAnsi="仿宋" w:eastAsia="仿宋"/>
          <w:kern w:val="2"/>
          <w:sz w:val="32"/>
          <w:szCs w:val="32"/>
        </w:rPr>
        <w:t>保了</w:t>
      </w:r>
      <w:r>
        <w:rPr>
          <w:rFonts w:hint="eastAsia" w:ascii="仿宋" w:hAnsi="仿宋" w:eastAsia="仿宋"/>
          <w:kern w:val="2"/>
          <w:sz w:val="32"/>
          <w:szCs w:val="32"/>
          <w:lang w:eastAsia="zh-CN"/>
        </w:rPr>
        <w:t>城区小街小巷环境整洁、排水通畅</w:t>
      </w:r>
      <w:r>
        <w:rPr>
          <w:rFonts w:hint="eastAsia" w:ascii="仿宋" w:hAnsi="仿宋" w:eastAsia="仿宋"/>
          <w:kern w:val="2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40" w:firstLineChars="200"/>
        <w:textAlignment w:val="auto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（三）项目产出情况。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40" w:firstLineChars="200"/>
        <w:textAlignment w:val="auto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  <w:lang w:eastAsia="zh-CN"/>
        </w:rPr>
        <w:t>2024</w:t>
      </w:r>
      <w:r>
        <w:rPr>
          <w:rFonts w:hint="eastAsia" w:ascii="仿宋" w:hAnsi="仿宋" w:eastAsia="仿宋"/>
          <w:sz w:val="32"/>
          <w:szCs w:val="32"/>
        </w:rPr>
        <w:t>年</w:t>
      </w:r>
      <w:r>
        <w:rPr>
          <w:rFonts w:hint="eastAsia" w:ascii="仿宋" w:hAnsi="仿宋" w:eastAsia="仿宋"/>
          <w:sz w:val="32"/>
          <w:szCs w:val="32"/>
          <w:lang w:eastAsia="zh-CN"/>
        </w:rPr>
        <w:t>我单位</w:t>
      </w:r>
      <w:r>
        <w:rPr>
          <w:rFonts w:hint="eastAsia" w:ascii="仿宋" w:hAnsi="仿宋" w:eastAsia="仿宋"/>
          <w:sz w:val="32"/>
          <w:szCs w:val="32"/>
        </w:rPr>
        <w:t>完成了</w:t>
      </w:r>
      <w:r>
        <w:rPr>
          <w:rFonts w:hint="eastAsia" w:ascii="仿宋" w:hAnsi="仿宋" w:eastAsia="仿宋"/>
          <w:sz w:val="32"/>
          <w:szCs w:val="32"/>
          <w:lang w:eastAsia="zh-CN"/>
        </w:rPr>
        <w:t>建设巷、书院路、党校前进路</w:t>
      </w:r>
      <w:r>
        <w:rPr>
          <w:rFonts w:hint="eastAsia" w:ascii="仿宋" w:hAnsi="仿宋" w:eastAsia="仿宋"/>
          <w:sz w:val="32"/>
          <w:szCs w:val="32"/>
        </w:rPr>
        <w:t>等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多</w:t>
      </w:r>
      <w:r>
        <w:rPr>
          <w:rFonts w:hint="eastAsia" w:ascii="仿宋" w:hAnsi="仿宋" w:eastAsia="仿宋"/>
          <w:sz w:val="32"/>
          <w:szCs w:val="32"/>
        </w:rPr>
        <w:t>处较大部位</w:t>
      </w:r>
      <w:r>
        <w:rPr>
          <w:rFonts w:hint="eastAsia" w:ascii="仿宋" w:hAnsi="仿宋" w:eastAsia="仿宋"/>
          <w:sz w:val="32"/>
          <w:szCs w:val="32"/>
          <w:lang w:eastAsia="zh-CN"/>
        </w:rPr>
        <w:t>路面硬化</w:t>
      </w:r>
      <w:r>
        <w:rPr>
          <w:rFonts w:hint="eastAsia" w:ascii="仿宋" w:hAnsi="仿宋" w:eastAsia="仿宋"/>
          <w:sz w:val="32"/>
          <w:szCs w:val="32"/>
        </w:rPr>
        <w:t>及</w:t>
      </w:r>
      <w:r>
        <w:rPr>
          <w:rFonts w:hint="eastAsia" w:ascii="仿宋" w:hAnsi="仿宋" w:eastAsia="仿宋"/>
          <w:sz w:val="32"/>
          <w:szCs w:val="32"/>
          <w:lang w:eastAsia="zh-CN"/>
        </w:rPr>
        <w:t>下水道管网重建工作</w:t>
      </w:r>
      <w:r>
        <w:rPr>
          <w:rFonts w:hint="eastAsia" w:ascii="仿宋" w:hAnsi="仿宋" w:eastAsia="仿宋"/>
          <w:sz w:val="32"/>
          <w:szCs w:val="32"/>
        </w:rPr>
        <w:t>，完成投资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600</w:t>
      </w:r>
      <w:r>
        <w:rPr>
          <w:rFonts w:hint="eastAsia" w:ascii="仿宋" w:hAnsi="仿宋" w:eastAsia="仿宋"/>
          <w:sz w:val="32"/>
          <w:szCs w:val="32"/>
        </w:rPr>
        <w:t>万元。</w:t>
      </w:r>
      <w:r>
        <w:rPr>
          <w:rFonts w:hint="eastAsia" w:ascii="仿宋" w:hAnsi="仿宋" w:eastAsia="仿宋"/>
          <w:sz w:val="32"/>
          <w:szCs w:val="32"/>
          <w:lang w:eastAsia="zh-CN"/>
        </w:rPr>
        <w:t>我单位于年底</w:t>
      </w:r>
      <w:r>
        <w:rPr>
          <w:rFonts w:hint="eastAsia" w:ascii="仿宋" w:hAnsi="仿宋" w:eastAsia="仿宋"/>
          <w:sz w:val="32"/>
          <w:szCs w:val="32"/>
        </w:rPr>
        <w:t>高标准、高要求、保质保量完成该项目工作，严格执行行业相关标准，确保了</w:t>
      </w:r>
      <w:r>
        <w:rPr>
          <w:rFonts w:hint="eastAsia" w:ascii="仿宋" w:hAnsi="仿宋" w:eastAsia="仿宋"/>
          <w:kern w:val="2"/>
          <w:sz w:val="32"/>
          <w:szCs w:val="32"/>
        </w:rPr>
        <w:t>确保了</w:t>
      </w:r>
      <w:r>
        <w:rPr>
          <w:rFonts w:hint="eastAsia" w:ascii="仿宋" w:hAnsi="仿宋" w:eastAsia="仿宋"/>
          <w:kern w:val="2"/>
          <w:sz w:val="32"/>
          <w:szCs w:val="32"/>
          <w:lang w:eastAsia="zh-CN"/>
        </w:rPr>
        <w:t>城区小街小巷环境整洁、排水通畅</w:t>
      </w:r>
      <w:r>
        <w:rPr>
          <w:rFonts w:hint="eastAsia" w:ascii="仿宋" w:hAnsi="仿宋" w:eastAsia="仿宋"/>
          <w:sz w:val="32"/>
          <w:szCs w:val="32"/>
        </w:rPr>
        <w:t>，达到了预期效果。</w:t>
      </w:r>
    </w:p>
    <w:p>
      <w:pPr>
        <w:spacing w:line="610" w:lineRule="exact"/>
        <w:ind w:firstLine="640" w:firstLineChars="200"/>
        <w:rPr>
          <w:rFonts w:eastAsia="仿宋_GB2312"/>
          <w:sz w:val="32"/>
          <w:szCs w:val="32"/>
        </w:rPr>
      </w:pPr>
      <w:r>
        <w:rPr>
          <w:rFonts w:hint="eastAsia" w:eastAsia="仿宋_GB2312"/>
          <w:sz w:val="32"/>
          <w:szCs w:val="32"/>
        </w:rPr>
        <w:t>（四）项目效益情况。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  <w:rPr>
          <w:rFonts w:ascii="仿宋" w:hAnsi="仿宋" w:eastAsia="仿宋"/>
          <w:kern w:val="2"/>
          <w:sz w:val="32"/>
          <w:szCs w:val="32"/>
        </w:rPr>
      </w:pPr>
      <w:r>
        <w:rPr>
          <w:rFonts w:hint="eastAsia" w:ascii="仿宋" w:hAnsi="仿宋" w:eastAsia="仿宋"/>
          <w:kern w:val="2"/>
          <w:sz w:val="32"/>
          <w:szCs w:val="32"/>
        </w:rPr>
        <w:t>（1）项目预期目标完成程度。项目目标实现，建立了资金来源稳定、管理运行规范、效果明显，能够为城区市民提供良好的生态生活环境。</w:t>
      </w:r>
    </w:p>
    <w:p>
      <w:pPr>
        <w:pStyle w:val="8"/>
        <w:widowControl/>
        <w:shd w:val="clear" w:color="auto" w:fill="FFFFFF"/>
        <w:spacing w:beforeAutospacing="0" w:afterAutospacing="0" w:line="33" w:lineRule="atLeast"/>
        <w:ind w:firstLine="420"/>
        <w:jc w:val="both"/>
        <w:rPr>
          <w:rFonts w:ascii="仿宋" w:hAnsi="仿宋" w:eastAsia="仿宋"/>
          <w:kern w:val="2"/>
          <w:sz w:val="32"/>
          <w:szCs w:val="32"/>
        </w:rPr>
      </w:pPr>
      <w:r>
        <w:rPr>
          <w:rFonts w:hint="eastAsia" w:ascii="仿宋" w:hAnsi="仿宋" w:eastAsia="仿宋"/>
          <w:kern w:val="2"/>
          <w:sz w:val="32"/>
          <w:szCs w:val="32"/>
        </w:rPr>
        <w:t>（2）项目实施对经济和社会的影响。通过项目实施有效保护了江河的水体质量，逐步改善生态环境。</w:t>
      </w:r>
    </w:p>
    <w:p>
      <w:pPr>
        <w:spacing w:line="610" w:lineRule="exact"/>
        <w:ind w:firstLine="640" w:firstLineChars="20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>
      <w:pPr>
        <w:pStyle w:val="9"/>
        <w:ind w:left="493" w:firstLine="960" w:firstLineChars="300"/>
        <w:rPr>
          <w:rFonts w:ascii="楷体" w:hAnsi="楷体" w:eastAsia="楷体" w:cs="楷体"/>
          <w:kern w:val="0"/>
          <w:sz w:val="32"/>
          <w:szCs w:val="32"/>
        </w:rPr>
      </w:pPr>
      <w:r>
        <w:rPr>
          <w:rFonts w:hint="eastAsia" w:ascii="楷体" w:hAnsi="楷体" w:eastAsia="楷体" w:cs="楷体"/>
          <w:kern w:val="0"/>
          <w:sz w:val="32"/>
          <w:szCs w:val="32"/>
        </w:rPr>
        <w:t>主要经验：</w:t>
      </w:r>
      <w:r>
        <w:rPr>
          <w:rFonts w:hint="eastAsia" w:ascii="仿宋" w:hAnsi="仿宋" w:eastAsia="仿宋"/>
          <w:sz w:val="32"/>
          <w:szCs w:val="32"/>
        </w:rPr>
        <w:t>在实施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项目工作过程中，我们严格规范财务和稽查考核制度，建立起了一套完善的申报审批监督管理工作制度，形成了严格、科学、高效的运行机制。一是</w:t>
      </w:r>
      <w:r>
        <w:rPr>
          <w:rFonts w:hint="eastAsia" w:ascii="仿宋" w:hAnsi="仿宋" w:eastAsia="仿宋"/>
          <w:sz w:val="32"/>
          <w:szCs w:val="32"/>
          <w:lang w:eastAsia="zh-CN"/>
        </w:rPr>
        <w:t>前期调研，通过走访居民、分析管网数据，靶向锁定改造需求，确保方案科学可行</w:t>
      </w:r>
      <w:r>
        <w:rPr>
          <w:rFonts w:hint="eastAsia" w:ascii="仿宋" w:hAnsi="仿宋" w:eastAsia="仿宋"/>
          <w:sz w:val="32"/>
          <w:szCs w:val="32"/>
        </w:rPr>
        <w:t>。二是</w:t>
      </w:r>
      <w:r>
        <w:rPr>
          <w:rFonts w:hint="eastAsia" w:ascii="仿宋" w:hAnsi="仿宋" w:eastAsia="仿宋"/>
          <w:sz w:val="32"/>
          <w:szCs w:val="32"/>
          <w:lang w:eastAsia="zh-CN"/>
        </w:rPr>
        <w:t>多方协同</w:t>
      </w:r>
      <w:r>
        <w:rPr>
          <w:rFonts w:hint="eastAsia" w:ascii="仿宋" w:hAnsi="仿宋" w:eastAsia="仿宋"/>
          <w:sz w:val="32"/>
          <w:szCs w:val="32"/>
        </w:rPr>
        <w:t>。</w:t>
      </w:r>
      <w:r>
        <w:rPr>
          <w:rFonts w:hint="eastAsia" w:ascii="仿宋" w:hAnsi="仿宋" w:eastAsia="仿宋"/>
          <w:sz w:val="32"/>
          <w:szCs w:val="32"/>
          <w:lang w:eastAsia="zh-CN"/>
        </w:rPr>
        <w:t>建立政府、社区、施工单位联动机制及时化解施工矛盾</w:t>
      </w:r>
      <w:r>
        <w:rPr>
          <w:rFonts w:hint="eastAsia" w:ascii="仿宋" w:hAnsi="仿宋" w:eastAsia="仿宋"/>
          <w:sz w:val="32"/>
          <w:szCs w:val="32"/>
        </w:rPr>
        <w:t>。三是规范资金运行。每季城乡建设事务中心提出用款申请，财政核拨，专款专用，确保资金及时足额到位。</w:t>
      </w:r>
    </w:p>
    <w:p>
      <w:pPr>
        <w:pStyle w:val="9"/>
        <w:ind w:left="493" w:firstLine="0"/>
        <w:rPr>
          <w:rFonts w:ascii="仿宋" w:hAnsi="仿宋" w:eastAsia="仿宋"/>
          <w:sz w:val="32"/>
          <w:szCs w:val="32"/>
        </w:rPr>
      </w:pPr>
      <w:r>
        <w:rPr>
          <w:rFonts w:hint="eastAsia" w:ascii="楷体" w:hAnsi="楷体" w:eastAsia="楷体" w:cs="楷体"/>
          <w:kern w:val="0"/>
          <w:sz w:val="32"/>
          <w:szCs w:val="32"/>
        </w:rPr>
        <w:t>存在的问题：</w:t>
      </w:r>
      <w:r>
        <w:rPr>
          <w:rFonts w:hint="eastAsia" w:ascii="仿宋" w:hAnsi="仿宋" w:eastAsia="仿宋"/>
          <w:sz w:val="32"/>
          <w:szCs w:val="32"/>
        </w:rPr>
        <w:t>随着城区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</w:t>
      </w:r>
      <w:r>
        <w:rPr>
          <w:rFonts w:hint="eastAsia" w:ascii="仿宋" w:hAnsi="仿宋" w:eastAsia="仿宋"/>
          <w:sz w:val="32"/>
          <w:szCs w:val="32"/>
        </w:rPr>
        <w:t>建设时间越来越久，城区</w:t>
      </w:r>
      <w:r>
        <w:rPr>
          <w:rFonts w:hint="eastAsia" w:ascii="仿宋" w:hAnsi="仿宋" w:eastAsia="仿宋"/>
          <w:sz w:val="32"/>
          <w:szCs w:val="32"/>
          <w:lang w:eastAsia="zh-CN"/>
        </w:rPr>
        <w:t>问题小街小巷</w:t>
      </w:r>
      <w:r>
        <w:rPr>
          <w:rFonts w:hint="eastAsia" w:ascii="仿宋" w:hAnsi="仿宋" w:eastAsia="仿宋"/>
          <w:sz w:val="32"/>
          <w:szCs w:val="32"/>
        </w:rPr>
        <w:t>面积的不断扩大，管理难度也越来越大。</w:t>
      </w:r>
    </w:p>
    <w:p>
      <w:pPr>
        <w:pStyle w:val="2"/>
      </w:pPr>
      <w:r>
        <w:rPr>
          <w:rFonts w:hint="eastAsia" w:ascii="楷体" w:hAnsi="楷体" w:eastAsia="楷体" w:cs="楷体"/>
          <w:kern w:val="0"/>
          <w:sz w:val="32"/>
          <w:szCs w:val="32"/>
        </w:rPr>
        <w:t>建议和意见：</w:t>
      </w:r>
      <w:r>
        <w:rPr>
          <w:rFonts w:hint="eastAsia" w:ascii="仿宋" w:hAnsi="仿宋" w:eastAsia="仿宋"/>
          <w:sz w:val="32"/>
          <w:szCs w:val="32"/>
        </w:rPr>
        <w:t>建议增</w:t>
      </w:r>
      <w:r>
        <w:rPr>
          <w:rFonts w:hint="eastAsia" w:ascii="仿宋" w:hAnsi="仿宋" w:eastAsia="仿宋"/>
          <w:sz w:val="32"/>
          <w:szCs w:val="32"/>
          <w:lang w:eastAsia="zh-CN"/>
        </w:rPr>
        <w:t>小街小巷建设及下水道疏洗改造</w:t>
      </w:r>
      <w:r>
        <w:rPr>
          <w:rFonts w:hint="eastAsia" w:ascii="仿宋" w:hAnsi="仿宋" w:eastAsia="仿宋"/>
          <w:sz w:val="32"/>
          <w:szCs w:val="32"/>
        </w:rPr>
        <w:t>项目专项资金。</w:t>
      </w:r>
    </w:p>
    <w:p>
      <w:pPr>
        <w:widowControl/>
        <w:spacing w:line="61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六、其他需要说明的问题</w:t>
      </w:r>
    </w:p>
    <w:p>
      <w:pPr>
        <w:rPr>
          <w:rFonts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br w:type="page"/>
      </w:r>
    </w:p>
    <w:p>
      <w:pPr>
        <w:spacing w:before="181" w:line="171" w:lineRule="auto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附件6</w:t>
      </w:r>
    </w:p>
    <w:p>
      <w:pPr>
        <w:spacing w:afterLines="50" w:line="580" w:lineRule="exact"/>
        <w:jc w:val="center"/>
        <w:rPr>
          <w:rFonts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  <w:lang w:eastAsia="zh-CN"/>
        </w:rPr>
        <w:t>2024</w:t>
      </w: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年度项目支出绩效自评表</w:t>
      </w:r>
    </w:p>
    <w:tbl>
      <w:tblPr>
        <w:tblStyle w:val="17"/>
        <w:tblW w:w="8543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05"/>
        <w:gridCol w:w="901"/>
        <w:gridCol w:w="1104"/>
        <w:gridCol w:w="941"/>
        <w:gridCol w:w="976"/>
        <w:gridCol w:w="1100"/>
        <w:gridCol w:w="598"/>
        <w:gridCol w:w="702"/>
        <w:gridCol w:w="1316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2910" w:type="dxa"/>
            <w:gridSpan w:val="3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项目支出名称</w:t>
            </w:r>
          </w:p>
        </w:tc>
        <w:tc>
          <w:tcPr>
            <w:tcW w:w="5633" w:type="dxa"/>
            <w:gridSpan w:val="6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县城区排水管网及其附属设施日常管理、维护和养护项目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主管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部门</w:t>
            </w:r>
          </w:p>
        </w:tc>
        <w:tc>
          <w:tcPr>
            <w:tcW w:w="3922" w:type="dxa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Cs w:val="21"/>
                <w:lang w:eastAsia="zh-CN"/>
              </w:rPr>
              <w:t>华容县住房和城乡建设局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实施单位</w:t>
            </w:r>
          </w:p>
        </w:tc>
        <w:tc>
          <w:tcPr>
            <w:tcW w:w="2616" w:type="dxa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Cs w:val="21"/>
                <w:lang w:eastAsia="zh-CN"/>
              </w:rPr>
              <w:t>华容县城乡建设事务中心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项目资金（万元）</w:t>
            </w:r>
          </w:p>
        </w:tc>
        <w:tc>
          <w:tcPr>
            <w:tcW w:w="2005" w:type="dxa"/>
            <w:gridSpan w:val="2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年初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预算数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全年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预算数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全年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执行数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分值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执行率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2005" w:type="dxa"/>
            <w:gridSpan w:val="2"/>
            <w:vAlign w:val="center"/>
          </w:tcPr>
          <w:p>
            <w:pPr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年度资金总额</w:t>
            </w: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0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360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600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2005" w:type="dxa"/>
            <w:gridSpan w:val="2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其中：当年财政拨款</w:t>
            </w: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0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360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600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2005" w:type="dxa"/>
            <w:gridSpan w:val="2"/>
            <w:vAlign w:val="center"/>
          </w:tcPr>
          <w:p>
            <w:pPr>
              <w:ind w:firstLine="619" w:firstLineChars="295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上年结转资金</w:t>
            </w: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0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0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2005" w:type="dxa"/>
            <w:gridSpan w:val="2"/>
            <w:vAlign w:val="center"/>
          </w:tcPr>
          <w:p>
            <w:pPr>
              <w:ind w:firstLine="619" w:firstLineChars="295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其他资金</w:t>
            </w: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0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0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年度总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体目标</w:t>
            </w:r>
          </w:p>
        </w:tc>
        <w:tc>
          <w:tcPr>
            <w:tcW w:w="3922" w:type="dxa"/>
            <w:gridSpan w:val="4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预期目标</w:t>
            </w:r>
          </w:p>
        </w:tc>
        <w:tc>
          <w:tcPr>
            <w:tcW w:w="3716" w:type="dxa"/>
            <w:gridSpan w:val="4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905" w:type="dxa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3922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通过系统性改造，解决道路破损、排水不畅、环境脏乱等问题，提升城市形象与居民幸福感。</w:t>
            </w:r>
          </w:p>
        </w:tc>
        <w:tc>
          <w:tcPr>
            <w:tcW w:w="3716" w:type="dxa"/>
            <w:gridSpan w:val="4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2024年我单位完成了建设巷、书院路、党校前进路等多处较大部位路面硬化及下水道管网重建工作，完成投资600万元。</w:t>
            </w:r>
            <w:bookmarkStart w:id="0" w:name="_GoBack"/>
            <w:bookmarkEnd w:id="0"/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905" w:type="dxa"/>
            <w:vMerge w:val="restart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绩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效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指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标</w:t>
            </w:r>
          </w:p>
        </w:tc>
        <w:tc>
          <w:tcPr>
            <w:tcW w:w="901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一级指标</w:t>
            </w:r>
          </w:p>
        </w:tc>
        <w:tc>
          <w:tcPr>
            <w:tcW w:w="1104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二级指标</w:t>
            </w: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三级指标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年度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指标值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实际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完成值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分值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自评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得分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</w:p>
        </w:tc>
        <w:tc>
          <w:tcPr>
            <w:tcW w:w="901" w:type="dxa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产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出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(30分）</w:t>
            </w:r>
          </w:p>
        </w:tc>
        <w:tc>
          <w:tcPr>
            <w:tcW w:w="1104" w:type="dxa"/>
            <w:tcBorders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数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量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 w:asciiTheme="minorEastAsia" w:hAnsi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工作完成及时率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95%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质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量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小街小巷建设及下水道清淤改造合格率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95%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时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效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小街小巷建设及下水道清淤改造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20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restart"/>
            <w:vAlign w:val="center"/>
          </w:tcPr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绩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效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指</w:t>
            </w:r>
          </w:p>
          <w:p>
            <w:pPr>
              <w:jc w:val="center"/>
              <w:rPr>
                <w:rFonts w:ascii="黑体" w:hAnsi="黑体" w:eastAsia="黑体" w:cs="黑体"/>
                <w:szCs w:val="21"/>
              </w:rPr>
            </w:pPr>
            <w:r>
              <w:rPr>
                <w:rFonts w:hint="eastAsia" w:ascii="黑体" w:hAnsi="黑体" w:eastAsia="黑体" w:cs="黑体"/>
                <w:szCs w:val="21"/>
              </w:rPr>
              <w:t>标</w:t>
            </w:r>
          </w:p>
        </w:tc>
        <w:tc>
          <w:tcPr>
            <w:tcW w:w="90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效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益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（30分）</w:t>
            </w:r>
          </w:p>
        </w:tc>
        <w:tc>
          <w:tcPr>
            <w:tcW w:w="1104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经济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效益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保障施工材料对环境影响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保障施工材料对环境影响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1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社会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效益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 w:asciiTheme="minorEastAsia" w:hAnsi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提高居民生活质量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提高居民生活质量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生态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效益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保障群众安全出行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保障群众安全出行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可持续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影响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维护城市的市容市貌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维护城市的市容市貌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满意度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（10分）</w:t>
            </w:r>
          </w:p>
        </w:tc>
        <w:tc>
          <w:tcPr>
            <w:tcW w:w="1104" w:type="dxa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服务对象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满意度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eastAsia="zh-CN"/>
              </w:rPr>
              <w:t>受益群众满意度</w:t>
            </w:r>
          </w:p>
        </w:tc>
        <w:tc>
          <w:tcPr>
            <w:tcW w:w="976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95%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成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本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标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（20分）</w:t>
            </w:r>
          </w:p>
        </w:tc>
        <w:tc>
          <w:tcPr>
            <w:tcW w:w="1104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经济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成本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eastAsia="宋体" w:asciiTheme="minorEastAsia" w:hAnsi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提高市民的幸福生活指数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Theme="minorEastAsia" w:hAnsiTheme="minorEastAsia" w:eastAsiaTheme="minorEastAsia" w:cstheme="minorEastAsia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提升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社会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成本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提高当地人居环境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提升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905" w:type="dxa"/>
            <w:vMerge w:val="continue"/>
            <w:textDirection w:val="tbRlV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901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104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生态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环境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成本</w:t>
            </w:r>
          </w:p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指标</w:t>
            </w:r>
          </w:p>
        </w:tc>
        <w:tc>
          <w:tcPr>
            <w:tcW w:w="941" w:type="dxa"/>
            <w:tcBorders>
              <w:left w:val="single" w:color="auto" w:sz="4" w:space="0"/>
            </w:tcBorders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小街小巷专项经费</w:t>
            </w:r>
          </w:p>
        </w:tc>
        <w:tc>
          <w:tcPr>
            <w:tcW w:w="976" w:type="dxa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ascii="宋体" w:hAnsi="宋体" w:eastAsia="宋体" w:cs="宋体"/>
                <w:sz w:val="18"/>
                <w:szCs w:val="18"/>
              </w:rPr>
              <w:t>300</w:t>
            </w:r>
          </w:p>
        </w:tc>
        <w:tc>
          <w:tcPr>
            <w:tcW w:w="1100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100%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  <w:lang w:val="en-US" w:eastAsia="zh-CN"/>
              </w:rPr>
              <w:t>5</w:t>
            </w: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927" w:type="dxa"/>
            <w:gridSpan w:val="6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总分</w:t>
            </w:r>
          </w:p>
        </w:tc>
        <w:tc>
          <w:tcPr>
            <w:tcW w:w="598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Cs w:val="21"/>
              </w:rPr>
              <w:t>100</w:t>
            </w:r>
          </w:p>
        </w:tc>
        <w:tc>
          <w:tcPr>
            <w:tcW w:w="702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  <w:tc>
          <w:tcPr>
            <w:tcW w:w="1316" w:type="dxa"/>
            <w:vAlign w:val="center"/>
          </w:tcPr>
          <w:p>
            <w:pPr>
              <w:jc w:val="center"/>
              <w:rPr>
                <w:rFonts w:asciiTheme="minorEastAsia" w:hAnsiTheme="minorEastAsia" w:eastAsiaTheme="minorEastAsia" w:cstheme="minorEastAsia"/>
                <w:szCs w:val="21"/>
              </w:rPr>
            </w:pPr>
          </w:p>
        </w:tc>
      </w:tr>
    </w:tbl>
    <w:p>
      <w:r>
        <w:rPr>
          <w:rFonts w:hint="eastAsia"/>
        </w:rPr>
        <w:t>备注：每个一级项目支出一张表。如，业务工作经费，运行维护经费，其他事业发展类资金各一张表。</w:t>
      </w:r>
    </w:p>
    <w:p/>
    <w:p>
      <w:r>
        <w:rPr>
          <w:rFonts w:hint="eastAsia"/>
        </w:rPr>
        <w:t>填表人：</w:t>
      </w:r>
      <w:r>
        <w:rPr>
          <w:rFonts w:hint="eastAsia"/>
          <w:lang w:eastAsia="zh-CN"/>
        </w:rPr>
        <w:t>付思瑶</w:t>
      </w:r>
      <w:r>
        <w:rPr>
          <w:rFonts w:hint="eastAsia"/>
        </w:rPr>
        <w:t xml:space="preserve">  填报日期：</w:t>
      </w:r>
      <w:r>
        <w:rPr>
          <w:rFonts w:hint="eastAsia"/>
          <w:lang w:val="en-US" w:eastAsia="zh-CN"/>
        </w:rPr>
        <w:t>2025.5.28</w:t>
      </w:r>
      <w:r>
        <w:rPr>
          <w:rFonts w:hint="eastAsia"/>
        </w:rPr>
        <w:t xml:space="preserve">     联系电话：</w:t>
      </w:r>
      <w:r>
        <w:rPr>
          <w:rFonts w:hint="eastAsia"/>
          <w:lang w:val="en-US" w:eastAsia="zh-CN"/>
        </w:rPr>
        <w:t>4186299</w:t>
      </w:r>
      <w:r>
        <w:rPr>
          <w:rFonts w:hint="eastAsia"/>
        </w:rPr>
        <w:t xml:space="preserve">  单位负责人签字：</w:t>
      </w:r>
    </w:p>
    <w:sectPr>
      <w:headerReference r:id="rId3" w:type="default"/>
      <w:footerReference r:id="rId4" w:type="default"/>
      <w:pgSz w:w="11905" w:h="16838"/>
      <w:pgMar w:top="1984" w:right="1701" w:bottom="1984" w:left="1701" w:header="850" w:footer="1587" w:gutter="0"/>
      <w:pgNumType w:fmt="numberInDash"/>
      <w:cols w:space="0" w:num="1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8C30FF29-4CB9-42E1-8DBF-CBFBA517BC36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DFA6CF8D-30DC-4C1D-B452-C401FB6C84E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2799AE05-5F27-4490-A54F-3FFD535E9E34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B5957E90-2D06-46EB-B49C-DEECEDF3FF3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C2846582-6103-461A-A347-760AEFDC6225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CC526DA3-667F-42FD-9D36-4EF91A41F76F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14EAAD7C-F15E-41BC-957C-FC07CD4F427B}"/>
  </w:font>
  <w:font w:name="仿宋_GB2312">
    <w:panose1 w:val="02010609030101010101"/>
    <w:charset w:val="86"/>
    <w:family w:val="auto"/>
    <w:pitch w:val="default"/>
    <w:sig w:usb0="00000000" w:usb1="00000000" w:usb2="00000000" w:usb3="00000000" w:csb0="00000000" w:csb1="00000000"/>
    <w:embedRegular r:id="rId8" w:fontKey="{5B66E701-088C-4231-9100-D9A4B039691C}"/>
  </w:font>
  <w:font w:name="方正小标宋简体">
    <w:panose1 w:val="03000509000000000000"/>
    <w:charset w:val="86"/>
    <w:family w:val="auto"/>
    <w:pitch w:val="default"/>
    <w:sig w:usb0="00000000" w:usb1="00000000" w:usb2="00000000" w:usb3="00000000" w:csb0="00000000" w:csb1="00000000"/>
    <w:embedRegular r:id="rId9" w:fontKey="{8751AB9E-18A8-46B4-B690-EFC0A4B57086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6DB09511-5448-4066-BFBA-7E592BE8BF03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6C497EF0-87C0-4ADA-A7DB-F00AE722581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w:pict>
        <v:shape id="_x0000_s3073" o:spid="_x0000_s3073" o:spt="202" type="#_x0000_t202" style="position:absolute;left:0pt;margin-top:0pt;height:144pt;width:144pt;mso-position-horizontal:outside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<v:path/>
          <v:fill on="f" focussize="0,0"/>
          <v:stroke on="f" weight="0.5pt" joinstyle="miter"/>
          <v:imagedata o:title=""/>
          <o:lock v:ext="edit"/>
          <v:textbox inset="0mm,0mm,0mm,0mm" style="mso-fit-shape-to-text:t;">
            <w:txbxContent>
              <w:p>
                <w:pPr>
                  <w:pStyle w:val="6"/>
                  <w:ind w:left="525" w:leftChars="250" w:right="525" w:rightChars="250"/>
                  <w:rPr>
                    <w:rFonts w:ascii="华文仿宋" w:hAnsi="华文仿宋" w:eastAsia="华文仿宋" w:cs="华文仿宋"/>
                    <w:sz w:val="28"/>
                    <w:szCs w:val="28"/>
                  </w:rPr>
                </w:pPr>
                <w:r>
                  <w:rPr>
                    <w:rFonts w:hint="eastAsia" w:ascii="华文仿宋" w:hAnsi="华文仿宋" w:eastAsia="华文仿宋" w:cs="华文仿宋"/>
                    <w:sz w:val="28"/>
                    <w:szCs w:val="28"/>
                  </w:rPr>
                  <w:fldChar w:fldCharType="begin"/>
                </w:r>
                <w:r>
                  <w:rPr>
                    <w:rFonts w:hint="eastAsia" w:ascii="华文仿宋" w:hAnsi="华文仿宋" w:eastAsia="华文仿宋" w:cs="华文仿宋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hint="eastAsia" w:ascii="华文仿宋" w:hAnsi="华文仿宋" w:eastAsia="华文仿宋" w:cs="华文仿宋"/>
                    <w:sz w:val="28"/>
                    <w:szCs w:val="28"/>
                  </w:rPr>
                  <w:fldChar w:fldCharType="separate"/>
                </w:r>
                <w:r>
                  <w:rPr>
                    <w:rFonts w:ascii="华文仿宋" w:hAnsi="华文仿宋" w:eastAsia="华文仿宋" w:cs="华文仿宋"/>
                    <w:sz w:val="28"/>
                    <w:szCs w:val="28"/>
                  </w:rPr>
                  <w:t>- 23 -</w:t>
                </w:r>
                <w:r>
                  <w:rPr>
                    <w:rFonts w:hint="eastAsia" w:ascii="华文仿宋" w:hAnsi="华文仿宋" w:eastAsia="华文仿宋" w:cs="华文仿宋"/>
                    <w:sz w:val="28"/>
                    <w:szCs w:val="28"/>
                  </w:rPr>
                  <w:fldChar w:fldCharType="end"/>
                </w:r>
              </w:p>
            </w:txbxContent>
          </v:textbox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81360"/>
    <w:multiLevelType w:val="singleLevel"/>
    <w:tmpl w:val="04B81360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33EF661C"/>
    <w:multiLevelType w:val="singleLevel"/>
    <w:tmpl w:val="33EF661C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1,3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underlineTabInNumList/>
    <w:compatSetting w:name="compatibilityMode" w:uri="http://schemas.microsoft.com/office/word" w:val="12"/>
  </w:compat>
  <w:docVars>
    <w:docVar w:name="commondata" w:val="eyJoZGlkIjoiZDQzZjc5NTllMGFiYmY5NmVhMTllZTJlYTQ3YTVjMjgifQ=="/>
  </w:docVars>
  <w:rsids>
    <w:rsidRoot w:val="0CCB7736"/>
    <w:rsid w:val="00040149"/>
    <w:rsid w:val="00047FEF"/>
    <w:rsid w:val="000A3906"/>
    <w:rsid w:val="000F76C1"/>
    <w:rsid w:val="001776F1"/>
    <w:rsid w:val="002201B5"/>
    <w:rsid w:val="003074A2"/>
    <w:rsid w:val="00530958"/>
    <w:rsid w:val="0065446C"/>
    <w:rsid w:val="006F0A16"/>
    <w:rsid w:val="0076063D"/>
    <w:rsid w:val="00773328"/>
    <w:rsid w:val="00821883"/>
    <w:rsid w:val="008B0873"/>
    <w:rsid w:val="00917857"/>
    <w:rsid w:val="00951882"/>
    <w:rsid w:val="00A07C10"/>
    <w:rsid w:val="00A755C2"/>
    <w:rsid w:val="00C65858"/>
    <w:rsid w:val="00C847E8"/>
    <w:rsid w:val="00CB0F0D"/>
    <w:rsid w:val="00D06DD6"/>
    <w:rsid w:val="00E87E6E"/>
    <w:rsid w:val="011D2710"/>
    <w:rsid w:val="016A347B"/>
    <w:rsid w:val="01B42948"/>
    <w:rsid w:val="01BF20E7"/>
    <w:rsid w:val="01E4322D"/>
    <w:rsid w:val="021138F7"/>
    <w:rsid w:val="02B50488"/>
    <w:rsid w:val="0338470A"/>
    <w:rsid w:val="033C7E22"/>
    <w:rsid w:val="034822A9"/>
    <w:rsid w:val="03D86621"/>
    <w:rsid w:val="04EE6171"/>
    <w:rsid w:val="05315F6B"/>
    <w:rsid w:val="05395EA9"/>
    <w:rsid w:val="054E58C7"/>
    <w:rsid w:val="0616597F"/>
    <w:rsid w:val="06210604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6C39D7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3926B8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3150F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563D54"/>
    <w:rsid w:val="20D30097"/>
    <w:rsid w:val="20D76C5F"/>
    <w:rsid w:val="20E55C2B"/>
    <w:rsid w:val="21057490"/>
    <w:rsid w:val="214A230E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91299C"/>
    <w:rsid w:val="25FE2B31"/>
    <w:rsid w:val="260D5D83"/>
    <w:rsid w:val="260E1D77"/>
    <w:rsid w:val="26C93036"/>
    <w:rsid w:val="277A77CA"/>
    <w:rsid w:val="28043432"/>
    <w:rsid w:val="284A2254"/>
    <w:rsid w:val="29165294"/>
    <w:rsid w:val="292635E7"/>
    <w:rsid w:val="292F1467"/>
    <w:rsid w:val="29786927"/>
    <w:rsid w:val="297B51B4"/>
    <w:rsid w:val="29B575FF"/>
    <w:rsid w:val="29E40467"/>
    <w:rsid w:val="29F527E2"/>
    <w:rsid w:val="2A9A1E2C"/>
    <w:rsid w:val="2BF35971"/>
    <w:rsid w:val="2C487650"/>
    <w:rsid w:val="2C5A7AC4"/>
    <w:rsid w:val="2CAD1112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58756B"/>
    <w:rsid w:val="367A0610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E906719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0F24F3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63F60FC"/>
    <w:rsid w:val="4716830A"/>
    <w:rsid w:val="47BF53CA"/>
    <w:rsid w:val="48B126BB"/>
    <w:rsid w:val="49CF255F"/>
    <w:rsid w:val="4A133F49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7C3A36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7A388A"/>
    <w:rsid w:val="51CA7471"/>
    <w:rsid w:val="521C2FA3"/>
    <w:rsid w:val="522529B2"/>
    <w:rsid w:val="524806C4"/>
    <w:rsid w:val="5301082D"/>
    <w:rsid w:val="5387476B"/>
    <w:rsid w:val="53910AF4"/>
    <w:rsid w:val="53FBDA3F"/>
    <w:rsid w:val="54663E24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416711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C986325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2F6CD2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EF27B1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661605"/>
    <w:rsid w:val="6AC56475"/>
    <w:rsid w:val="6AD35263"/>
    <w:rsid w:val="6B8D38AE"/>
    <w:rsid w:val="6BA1010E"/>
    <w:rsid w:val="6BC80F42"/>
    <w:rsid w:val="6CE47E41"/>
    <w:rsid w:val="6CED5810"/>
    <w:rsid w:val="6CF64EF6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4B52B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465956"/>
    <w:rsid w:val="7951325E"/>
    <w:rsid w:val="799536BA"/>
    <w:rsid w:val="7A171ECB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EB251DC"/>
    <w:rsid w:val="7EFC3B57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99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0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iPriority="1" w:semiHidden="0" w:name="Default Paragraph Font"/>
    <w:lsdException w:qFormat="1" w:unhideWhenUsed="0" w:uiPriority="0" w:name="Body Text"/>
    <w:lsdException w:qFormat="1" w:unhideWhenUsed="0" w:uiPriority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12">
    <w:name w:val="Default Paragraph Font"/>
    <w:unhideWhenUsed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link w:val="19"/>
    <w:qFormat/>
    <w:uiPriority w:val="99"/>
    <w:pPr>
      <w:snapToGrid w:val="0"/>
      <w:jc w:val="left"/>
    </w:pPr>
    <w:rPr>
      <w:rFonts w:ascii="仿宋" w:hAnsi="仿宋" w:eastAsia="仿宋"/>
      <w:sz w:val="32"/>
      <w:szCs w:val="32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eastAsia="en-US"/>
    </w:rPr>
  </w:style>
  <w:style w:type="paragraph" w:styleId="5">
    <w:name w:val="Body Text Indent"/>
    <w:basedOn w:val="1"/>
    <w:semiHidden/>
    <w:qFormat/>
    <w:uiPriority w:val="0"/>
    <w:pPr>
      <w:ind w:left="659" w:leftChars="314"/>
    </w:pPr>
    <w:rPr>
      <w:rFonts w:ascii="仿宋_GB2312" w:eastAsia="仿宋_GB2312"/>
      <w:sz w:val="24"/>
    </w:rPr>
  </w:style>
  <w:style w:type="paragraph" w:styleId="6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Normal (Web)"/>
    <w:basedOn w:val="1"/>
    <w:semiHidden/>
    <w:unhideWhenUsed/>
    <w:uiPriority w:val="99"/>
    <w:pPr>
      <w:spacing w:beforeAutospacing="1" w:afterAutospacing="1"/>
      <w:jc w:val="left"/>
    </w:pPr>
    <w:rPr>
      <w:kern w:val="0"/>
      <w:sz w:val="24"/>
    </w:rPr>
  </w:style>
  <w:style w:type="paragraph" w:styleId="9">
    <w:name w:val="Body Text First Indent 2"/>
    <w:basedOn w:val="5"/>
    <w:semiHidden/>
    <w:qFormat/>
    <w:uiPriority w:val="0"/>
    <w:pPr>
      <w:spacing w:after="120"/>
      <w:ind w:left="283" w:leftChars="0" w:firstLine="210"/>
    </w:pPr>
    <w:rPr>
      <w:rFonts w:ascii="Times New Roman" w:eastAsia="宋体"/>
      <w:sz w:val="21"/>
    </w:rPr>
  </w:style>
  <w:style w:type="table" w:styleId="11">
    <w:name w:val="Table Grid"/>
    <w:basedOn w:val="10"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3">
    <w:name w:val="page number"/>
    <w:basedOn w:val="12"/>
    <w:qFormat/>
    <w:uiPriority w:val="99"/>
    <w:rPr>
      <w:rFonts w:cs="Times New Roman"/>
    </w:rPr>
  </w:style>
  <w:style w:type="character" w:customStyle="1" w:styleId="14">
    <w:name w:val="页脚 Char"/>
    <w:basedOn w:val="12"/>
    <w:link w:val="6"/>
    <w:semiHidden/>
    <w:qFormat/>
    <w:uiPriority w:val="99"/>
    <w:rPr>
      <w:sz w:val="18"/>
      <w:szCs w:val="18"/>
    </w:rPr>
  </w:style>
  <w:style w:type="character" w:customStyle="1" w:styleId="15">
    <w:name w:val="页眉 Char"/>
    <w:basedOn w:val="12"/>
    <w:link w:val="7"/>
    <w:semiHidden/>
    <w:qFormat/>
    <w:uiPriority w:val="99"/>
    <w:rPr>
      <w:sz w:val="18"/>
      <w:szCs w:val="18"/>
    </w:rPr>
  </w:style>
  <w:style w:type="paragraph" w:styleId="16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7">
    <w:name w:val="Table Normal"/>
    <w:semiHidden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8">
    <w:name w:val="Table Text"/>
    <w:basedOn w:val="1"/>
    <w:semiHidden/>
    <w:qFormat/>
    <w:uiPriority w:val="0"/>
    <w:rPr>
      <w:rFonts w:ascii="Arial" w:hAnsi="Arial" w:eastAsia="Arial" w:cs="Arial"/>
      <w:szCs w:val="21"/>
      <w:lang w:eastAsia="en-US"/>
    </w:rPr>
  </w:style>
  <w:style w:type="character" w:customStyle="1" w:styleId="19">
    <w:name w:val="脚注文本 Char"/>
    <w:basedOn w:val="12"/>
    <w:link w:val="2"/>
    <w:uiPriority w:val="99"/>
    <w:rPr>
      <w:rFonts w:ascii="仿宋" w:hAnsi="仿宋" w:eastAsia="仿宋"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17</Pages>
  <Words>3582</Words>
  <Characters>1518</Characters>
  <Lines>12</Lines>
  <Paragraphs>10</Paragraphs>
  <TotalTime>0</TotalTime>
  <ScaleCrop>false</ScaleCrop>
  <LinksUpToDate>false</LinksUpToDate>
  <CharactersWithSpaces>5090</CharactersWithSpaces>
  <Application>WPS Office_11.1.0.8919_F1E327BC-269C-435d-A152-05C5408002CA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Administrator</cp:lastModifiedBy>
  <cp:lastPrinted>2024-06-03T08:03:00Z</cp:lastPrinted>
  <dcterms:modified xsi:type="dcterms:W3CDTF">2025-05-28T03:47:10Z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2052-11.1.0.8919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</Properties>
</file>