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C9099" w14:textId="77777777" w:rsidR="00D95662" w:rsidRPr="00D95662" w:rsidRDefault="00D95662" w:rsidP="00D95662">
      <w:pPr>
        <w:widowControl/>
        <w:shd w:val="clear" w:color="auto" w:fill="FFFFFF"/>
        <w:spacing w:after="180" w:line="540" w:lineRule="atLeast"/>
        <w:jc w:val="left"/>
        <w:outlineLvl w:val="0"/>
        <w:rPr>
          <w:rFonts w:ascii="Montserrat" w:eastAsia="宋体" w:hAnsi="Montserrat" w:cs="宋体"/>
          <w:b/>
          <w:bCs/>
          <w:color w:val="000000"/>
          <w:kern w:val="36"/>
          <w:sz w:val="39"/>
          <w:szCs w:val="39"/>
        </w:rPr>
      </w:pPr>
      <w:r w:rsidRPr="00D95662">
        <w:rPr>
          <w:rFonts w:ascii="Montserrat" w:eastAsia="宋体" w:hAnsi="Montserrat" w:cs="宋体"/>
          <w:b/>
          <w:bCs/>
          <w:color w:val="000000"/>
          <w:kern w:val="36"/>
          <w:sz w:val="39"/>
          <w:szCs w:val="39"/>
        </w:rPr>
        <w:t>《华容县开放大学</w:t>
      </w:r>
      <w:r w:rsidRPr="00D95662">
        <w:rPr>
          <w:rFonts w:ascii="Montserrat" w:eastAsia="宋体" w:hAnsi="Montserrat" w:cs="宋体"/>
          <w:b/>
          <w:bCs/>
          <w:color w:val="000000"/>
          <w:kern w:val="36"/>
          <w:sz w:val="39"/>
          <w:szCs w:val="39"/>
        </w:rPr>
        <w:t xml:space="preserve"> 2024 </w:t>
      </w:r>
      <w:r w:rsidRPr="00D95662">
        <w:rPr>
          <w:rFonts w:ascii="Montserrat" w:eastAsia="宋体" w:hAnsi="Montserrat" w:cs="宋体"/>
          <w:b/>
          <w:bCs/>
          <w:color w:val="000000"/>
          <w:kern w:val="36"/>
          <w:sz w:val="39"/>
          <w:szCs w:val="39"/>
        </w:rPr>
        <w:t>年绩效自评报告》</w:t>
      </w:r>
    </w:p>
    <w:p w14:paraId="06E43A7E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一、基本概况</w:t>
      </w:r>
    </w:p>
    <w:p w14:paraId="7CA49F74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（一）单位基本情况</w:t>
      </w:r>
    </w:p>
    <w:p w14:paraId="5286215F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华容县开放大学致力于开展各类教育教学活动，涵盖农民大学生教育、开放教育等项目，承担着保障教师工资福利发放、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“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四险两金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”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缴纳以及维持学校日常教学工作的重要职责。</w:t>
      </w:r>
    </w:p>
    <w:p w14:paraId="7EBB19A4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（二）年度预算情况</w:t>
      </w:r>
    </w:p>
    <w:p w14:paraId="6AD3AA80" w14:textId="77777777" w:rsidR="00D95662" w:rsidRPr="00D95662" w:rsidRDefault="00D95662" w:rsidP="00D95662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预算申请与执行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：年初预算数为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186.42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万元，全年预算</w:t>
      </w:r>
      <w:proofErr w:type="gramStart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数调整</w:t>
      </w:r>
      <w:proofErr w:type="gramEnd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417.69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万元，全年执行数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401.26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万元，执行率达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96.06%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，得分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9.61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分（满分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分）。</w:t>
      </w:r>
    </w:p>
    <w:p w14:paraId="5540EF81" w14:textId="77777777" w:rsidR="00D95662" w:rsidRPr="00D95662" w:rsidRDefault="00D95662" w:rsidP="00D95662">
      <w:pPr>
        <w:widowControl/>
        <w:numPr>
          <w:ilvl w:val="0"/>
          <w:numId w:val="1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收入性质构成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：一般公共预算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321.49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万元，纳入专户管理的非税收入拨款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57.38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万元，其他资金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38.81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万元，政府性基金拨款为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万元。</w:t>
      </w:r>
    </w:p>
    <w:p w14:paraId="3730FD35" w14:textId="77777777" w:rsidR="00D95662" w:rsidRPr="00D95662" w:rsidRDefault="00D95662" w:rsidP="00D95662">
      <w:pPr>
        <w:widowControl/>
        <w:numPr>
          <w:ilvl w:val="0"/>
          <w:numId w:val="1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支出性质构成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：基本支出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168.37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万元，主要用于保障教师工资福利及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“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四险两金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”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等；项目支出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232.88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万元，用于支持学校日常教学工作开展及各类教育项目实施。</w:t>
      </w:r>
    </w:p>
    <w:p w14:paraId="6D6EAFD2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（三）财政供养人员情况</w:t>
      </w:r>
    </w:p>
    <w:p w14:paraId="4A5BF5C3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2024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年编制数为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13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人，实际在职人数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13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人，控制率达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100%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。</w:t>
      </w:r>
    </w:p>
    <w:p w14:paraId="44F01806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（四）经费控制情况</w:t>
      </w:r>
    </w:p>
    <w:p w14:paraId="49D68462" w14:textId="77777777" w:rsidR="00D95662" w:rsidRPr="00D95662" w:rsidRDefault="00D95662" w:rsidP="00D95662">
      <w:pPr>
        <w:widowControl/>
        <w:numPr>
          <w:ilvl w:val="0"/>
          <w:numId w:val="2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lastRenderedPageBreak/>
        <w:t>三公经费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2023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年决算数、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2024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年预算数及决算数均为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万元，严格控制三</w:t>
      </w:r>
      <w:proofErr w:type="gramStart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公经费</w:t>
      </w:r>
      <w:proofErr w:type="gramEnd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支出。</w:t>
      </w:r>
    </w:p>
    <w:p w14:paraId="45A17426" w14:textId="77777777" w:rsidR="00D95662" w:rsidRPr="00D95662" w:rsidRDefault="00D95662" w:rsidP="00D95662">
      <w:pPr>
        <w:widowControl/>
        <w:numPr>
          <w:ilvl w:val="0"/>
          <w:numId w:val="2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项目支出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2023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年决算数为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2024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年预算数和决算数均为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4.4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万元，主要为事业发展资金。</w:t>
      </w:r>
    </w:p>
    <w:p w14:paraId="5DF1B9C2" w14:textId="77777777" w:rsidR="00D95662" w:rsidRPr="00D95662" w:rsidRDefault="00D95662" w:rsidP="00D95662">
      <w:pPr>
        <w:widowControl/>
        <w:numPr>
          <w:ilvl w:val="0"/>
          <w:numId w:val="2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公用经费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2023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年决算数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231.815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2024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年预算数和决算数均为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232.88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万元，涵盖办公经费、水电费、差旅费、会议费、培训费等各项日常运营费用。</w:t>
      </w:r>
    </w:p>
    <w:p w14:paraId="1D702D28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（五）楼堂馆所控制情况</w:t>
      </w:r>
    </w:p>
    <w:p w14:paraId="73811DA9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2024 </w:t>
      </w:r>
      <w:proofErr w:type="gramStart"/>
      <w:r w:rsidRPr="00D95662">
        <w:rPr>
          <w:rFonts w:ascii="Segoe UI" w:eastAsia="宋体" w:hAnsi="Segoe UI" w:cs="Segoe UI"/>
          <w:kern w:val="0"/>
          <w:sz w:val="24"/>
          <w:szCs w:val="24"/>
        </w:rPr>
        <w:t>年学校</w:t>
      </w:r>
      <w:proofErr w:type="gramEnd"/>
      <w:r w:rsidRPr="00D95662">
        <w:rPr>
          <w:rFonts w:ascii="Segoe UI" w:eastAsia="宋体" w:hAnsi="Segoe UI" w:cs="Segoe UI"/>
          <w:kern w:val="0"/>
          <w:sz w:val="24"/>
          <w:szCs w:val="24"/>
        </w:rPr>
        <w:t>未新增楼堂馆所新建项目，批复规模和实际规模均为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0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㎡，预算投资和实际投资均为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0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万元，严格遵守楼堂馆所控制规定。</w:t>
      </w:r>
    </w:p>
    <w:p w14:paraId="3B5BDD32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（六）厉行节约保障措施</w:t>
      </w:r>
    </w:p>
    <w:p w14:paraId="4E41AA4B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2024 </w:t>
      </w:r>
      <w:proofErr w:type="gramStart"/>
      <w:r w:rsidRPr="00D95662">
        <w:rPr>
          <w:rFonts w:ascii="Segoe UI" w:eastAsia="宋体" w:hAnsi="Segoe UI" w:cs="Segoe UI"/>
          <w:kern w:val="0"/>
          <w:sz w:val="24"/>
          <w:szCs w:val="24"/>
        </w:rPr>
        <w:t>年学校</w:t>
      </w:r>
      <w:proofErr w:type="gramEnd"/>
      <w:r w:rsidRPr="00D95662">
        <w:rPr>
          <w:rFonts w:ascii="Segoe UI" w:eastAsia="宋体" w:hAnsi="Segoe UI" w:cs="Segoe UI"/>
          <w:kern w:val="0"/>
          <w:sz w:val="24"/>
          <w:szCs w:val="24"/>
        </w:rPr>
        <w:t>实行应修则修，无需维修则保持日常维护的原则，有效保障了厉行节约的工作要求。</w:t>
      </w:r>
    </w:p>
    <w:p w14:paraId="482EE500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二、绩效自评工作开展情况</w:t>
      </w:r>
    </w:p>
    <w:p w14:paraId="4A13FE1A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（一）自评目的</w:t>
      </w:r>
    </w:p>
    <w:p w14:paraId="7C0801C2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通过对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2024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年度学校预算执行情况、绩效目标完成情况进行全面自评，总结经验，发现问题，为优化后续预算安排和提升学校管理水平提供依据。</w:t>
      </w:r>
    </w:p>
    <w:p w14:paraId="5A387945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（二）自评原则、组织过程与方法</w:t>
      </w:r>
    </w:p>
    <w:p w14:paraId="43912767" w14:textId="77777777" w:rsidR="00D95662" w:rsidRPr="00D95662" w:rsidRDefault="00D95662" w:rsidP="00D95662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lastRenderedPageBreak/>
        <w:t>自评原则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：遵循客观公正、全面系统、科学合理的原则。</w:t>
      </w:r>
    </w:p>
    <w:p w14:paraId="32A1845E" w14:textId="77777777" w:rsidR="00D95662" w:rsidRPr="00D95662" w:rsidRDefault="00D95662" w:rsidP="00D95662">
      <w:pPr>
        <w:widowControl/>
        <w:numPr>
          <w:ilvl w:val="0"/>
          <w:numId w:val="3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组织过程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：学校成立了绩效自评工作小组，由校领导牵头，各部门负责人参与，明确职责分工，共同开展自评工作。</w:t>
      </w:r>
    </w:p>
    <w:p w14:paraId="795FDDD7" w14:textId="77777777" w:rsidR="00D95662" w:rsidRPr="00D95662" w:rsidRDefault="00D95662" w:rsidP="00D95662">
      <w:pPr>
        <w:widowControl/>
        <w:numPr>
          <w:ilvl w:val="0"/>
          <w:numId w:val="3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自评方法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：采用定量与定性相结合的方法，对各项绩效指标进行逐一评估。</w:t>
      </w:r>
    </w:p>
    <w:p w14:paraId="6DCE7D2F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（三）自评依据</w:t>
      </w:r>
    </w:p>
    <w:p w14:paraId="25A56C7C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依据学校年初制定的绩效目标、年度预算安排、相关财务制度以及教育教学工作记录等进行自评。</w:t>
      </w:r>
    </w:p>
    <w:p w14:paraId="563FA6FD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三、综合评价结论</w:t>
      </w:r>
    </w:p>
    <w:p w14:paraId="62F61EDC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华容县开放大学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2024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年度绩效自评总得分为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99.61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分，评价等级为优秀。学校在预算执行、绩效目标完成等方面表现良好，各项工作取得了显著成效。</w:t>
      </w:r>
    </w:p>
    <w:p w14:paraId="170ACDCB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四、绩效目标实现情况分析</w:t>
      </w:r>
    </w:p>
    <w:p w14:paraId="14859F7E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（一）年度总体目标完成情况</w:t>
      </w:r>
    </w:p>
    <w:p w14:paraId="0C504607" w14:textId="4CEF02FB" w:rsidR="00D95662" w:rsidRPr="00D95662" w:rsidRDefault="00D95662" w:rsidP="00D95662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预期目标</w:t>
      </w:r>
    </w:p>
    <w:p w14:paraId="7E9B2061" w14:textId="77777777" w:rsidR="00D95662" w:rsidRPr="00D95662" w:rsidRDefault="00D95662" w:rsidP="00D95662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保障教师工资福利发放；</w:t>
      </w:r>
    </w:p>
    <w:p w14:paraId="20361F07" w14:textId="77777777" w:rsidR="00D95662" w:rsidRPr="00D95662" w:rsidRDefault="00D95662" w:rsidP="00D95662">
      <w:pPr>
        <w:widowControl/>
        <w:numPr>
          <w:ilvl w:val="0"/>
          <w:numId w:val="5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保障教师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“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四险两金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”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缴纳；</w:t>
      </w:r>
    </w:p>
    <w:p w14:paraId="575117B3" w14:textId="77777777" w:rsidR="00D95662" w:rsidRPr="00D95662" w:rsidRDefault="00D95662" w:rsidP="00D95662">
      <w:pPr>
        <w:widowControl/>
        <w:numPr>
          <w:ilvl w:val="0"/>
          <w:numId w:val="5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保障学校日常教学工作开展；</w:t>
      </w:r>
    </w:p>
    <w:p w14:paraId="714FC69F" w14:textId="786D1920" w:rsidR="00D95662" w:rsidRPr="00D95662" w:rsidRDefault="00D95662" w:rsidP="00D95662">
      <w:pPr>
        <w:widowControl/>
        <w:numPr>
          <w:ilvl w:val="0"/>
          <w:numId w:val="5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实施农民大学生教育、开放教育。</w:t>
      </w:r>
    </w:p>
    <w:p w14:paraId="0236FAA0" w14:textId="02E7F2F9" w:rsidR="00D95662" w:rsidRPr="00D95662" w:rsidRDefault="00D95662" w:rsidP="00D95662">
      <w:pPr>
        <w:widowControl/>
        <w:numPr>
          <w:ilvl w:val="0"/>
          <w:numId w:val="6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lastRenderedPageBreak/>
        <w:t>实际完成情况</w:t>
      </w:r>
    </w:p>
    <w:p w14:paraId="12398ED0" w14:textId="77777777" w:rsidR="00D95662" w:rsidRPr="00D95662" w:rsidRDefault="00D95662" w:rsidP="00D95662">
      <w:pPr>
        <w:widowControl/>
        <w:numPr>
          <w:ilvl w:val="0"/>
          <w:numId w:val="7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完全保障教师工资福利发放；</w:t>
      </w:r>
    </w:p>
    <w:p w14:paraId="45288E5E" w14:textId="77777777" w:rsidR="00D95662" w:rsidRPr="00D95662" w:rsidRDefault="00D95662" w:rsidP="00D95662">
      <w:pPr>
        <w:widowControl/>
        <w:numPr>
          <w:ilvl w:val="0"/>
          <w:numId w:val="7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完全保障教师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“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四险两金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”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缴纳；</w:t>
      </w:r>
    </w:p>
    <w:p w14:paraId="3FEA7D99" w14:textId="77777777" w:rsidR="00D95662" w:rsidRPr="00D95662" w:rsidRDefault="00D95662" w:rsidP="00D95662">
      <w:pPr>
        <w:widowControl/>
        <w:numPr>
          <w:ilvl w:val="0"/>
          <w:numId w:val="7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基本保障了学校日常教学工作开展；</w:t>
      </w:r>
    </w:p>
    <w:p w14:paraId="21E11B12" w14:textId="77777777" w:rsidR="00D95662" w:rsidRPr="00D95662" w:rsidRDefault="00D95662" w:rsidP="00D95662">
      <w:pPr>
        <w:widowControl/>
        <w:numPr>
          <w:ilvl w:val="0"/>
          <w:numId w:val="7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农民大学生教育和开放教育工作开展顺利。</w:t>
      </w:r>
    </w:p>
    <w:p w14:paraId="53D835C3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（二）绩效指标完成情况</w:t>
      </w:r>
    </w:p>
    <w:p w14:paraId="3A7643EC" w14:textId="4A793F0B" w:rsidR="00D95662" w:rsidRPr="00D95662" w:rsidRDefault="00D95662" w:rsidP="00D95662">
      <w:pPr>
        <w:widowControl/>
        <w:numPr>
          <w:ilvl w:val="0"/>
          <w:numId w:val="8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产出指标</w:t>
      </w:r>
    </w:p>
    <w:p w14:paraId="661886B4" w14:textId="77777777" w:rsidR="00D95662" w:rsidRPr="00D95662" w:rsidRDefault="00D95662" w:rsidP="00D95662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数量指标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</w:t>
      </w:r>
      <w:proofErr w:type="gramStart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四险两</w:t>
      </w:r>
      <w:proofErr w:type="gramEnd"/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金缴纳率和工资福利发放率均达到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100%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55F49CA7" w14:textId="77777777" w:rsidR="00D95662" w:rsidRPr="00D95662" w:rsidRDefault="00D95662" w:rsidP="00D95662">
      <w:pPr>
        <w:widowControl/>
        <w:numPr>
          <w:ilvl w:val="0"/>
          <w:numId w:val="9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质量指标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：开放教育生毕业率和农民大学生毕业率均达到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100%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10E6F72F" w14:textId="3EDB9506" w:rsidR="00D95662" w:rsidRPr="00D95662" w:rsidRDefault="00D95662" w:rsidP="00D95662">
      <w:pPr>
        <w:widowControl/>
        <w:numPr>
          <w:ilvl w:val="0"/>
          <w:numId w:val="9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时效指标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：教育教学计划按时完成率达到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100%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73C475EA" w14:textId="193DD9C5" w:rsidR="00D95662" w:rsidRPr="00D95662" w:rsidRDefault="00D95662" w:rsidP="00D95662">
      <w:pPr>
        <w:widowControl/>
        <w:numPr>
          <w:ilvl w:val="0"/>
          <w:numId w:val="10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效益指标</w:t>
      </w:r>
    </w:p>
    <w:p w14:paraId="52EC9462" w14:textId="77777777" w:rsidR="00D95662" w:rsidRPr="00D95662" w:rsidRDefault="00D95662" w:rsidP="00D95662">
      <w:pPr>
        <w:widowControl/>
        <w:numPr>
          <w:ilvl w:val="0"/>
          <w:numId w:val="11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经济效益指标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：学校正常开展各项业务，满分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3BC9361A" w14:textId="74D80D84" w:rsidR="00D95662" w:rsidRPr="00D95662" w:rsidRDefault="00D95662" w:rsidP="00D95662">
      <w:pPr>
        <w:widowControl/>
        <w:numPr>
          <w:ilvl w:val="0"/>
          <w:numId w:val="11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生态效益指标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：校园环境美化提升率达到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5%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的要求，满分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312D5C89" w14:textId="77777777" w:rsidR="00D95662" w:rsidRPr="00D95662" w:rsidRDefault="00D95662" w:rsidP="00D95662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t>满意度指标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：学员对学校满意度达到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95%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3443CC7C" w14:textId="77777777" w:rsidR="00D95662" w:rsidRPr="00D95662" w:rsidRDefault="00D95662" w:rsidP="00D95662">
      <w:pPr>
        <w:widowControl/>
        <w:numPr>
          <w:ilvl w:val="0"/>
          <w:numId w:val="13"/>
        </w:numPr>
        <w:shd w:val="clear" w:color="auto" w:fill="FFFFFF"/>
        <w:spacing w:before="120" w:after="100" w:afterAutospacing="1" w:line="420" w:lineRule="atLeast"/>
        <w:ind w:left="720" w:hanging="360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4"/>
          <w:szCs w:val="24"/>
        </w:rPr>
        <w:lastRenderedPageBreak/>
        <w:t>成本指标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：工资福利到位率达到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95%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，满分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 xml:space="preserve"> 10 </w:t>
      </w: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分。</w:t>
      </w:r>
    </w:p>
    <w:p w14:paraId="28088D49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五、偏离绩效目标的原因和改进措施</w:t>
      </w:r>
    </w:p>
    <w:p w14:paraId="6B20F3FF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学校在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2024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年度各项绩效指标基本完成，未出现明显偏离绩效目标的情况。若后续出现类似情况，将深入分析原因，可能包括预算编制不合理、外部环境变化、内部管理不善等，并针对性地采取调整预算安排、优化工作流程、加强人员培训等改进措施。</w:t>
      </w:r>
    </w:p>
    <w:p w14:paraId="6A3D6C9A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六、绩效自评结果应用和公开</w:t>
      </w:r>
    </w:p>
    <w:p w14:paraId="517C5099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（一）结果应用</w:t>
      </w:r>
    </w:p>
    <w:p w14:paraId="292CD2B4" w14:textId="77777777" w:rsidR="00D95662" w:rsidRPr="00D95662" w:rsidRDefault="00D95662" w:rsidP="00D95662">
      <w:pPr>
        <w:widowControl/>
        <w:numPr>
          <w:ilvl w:val="0"/>
          <w:numId w:val="14"/>
        </w:numPr>
        <w:shd w:val="clear" w:color="auto" w:fill="FFFFFF"/>
        <w:spacing w:before="100" w:beforeAutospacing="1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预算安排：将绩效自评结果作为下一年度预算编制的重要参考依据，优化预算分配结构，提高资金使用效益。</w:t>
      </w:r>
    </w:p>
    <w:p w14:paraId="379C040E" w14:textId="77777777" w:rsidR="00D95662" w:rsidRPr="00D95662" w:rsidRDefault="00D95662" w:rsidP="00D95662">
      <w:pPr>
        <w:widowControl/>
        <w:numPr>
          <w:ilvl w:val="0"/>
          <w:numId w:val="14"/>
        </w:numPr>
        <w:shd w:val="clear" w:color="auto" w:fill="FFFFFF"/>
        <w:spacing w:before="120" w:after="100" w:afterAutospacing="1" w:line="420" w:lineRule="atLeast"/>
        <w:jc w:val="left"/>
        <w:rPr>
          <w:rFonts w:ascii="Segoe UI" w:eastAsia="宋体" w:hAnsi="Segoe UI" w:cs="Segoe UI"/>
          <w:color w:val="000000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color w:val="000000"/>
          <w:kern w:val="0"/>
          <w:sz w:val="24"/>
          <w:szCs w:val="24"/>
        </w:rPr>
        <w:t>学校管理：根据自评结果总结经验教训，改进教育教学管理工作，提升学校整体管理水平。</w:t>
      </w:r>
    </w:p>
    <w:p w14:paraId="77545D8E" w14:textId="77777777" w:rsidR="00D95662" w:rsidRPr="00D95662" w:rsidRDefault="00D95662" w:rsidP="00D95662">
      <w:pPr>
        <w:widowControl/>
        <w:shd w:val="clear" w:color="auto" w:fill="FFFFFF"/>
        <w:spacing w:before="420" w:after="180" w:line="420" w:lineRule="atLeast"/>
        <w:jc w:val="left"/>
        <w:outlineLvl w:val="2"/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27"/>
          <w:szCs w:val="27"/>
        </w:rPr>
        <w:t>（二）结果公开</w:t>
      </w:r>
    </w:p>
    <w:p w14:paraId="7A9613EF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按照相关规定，将绩效自评结果在学校内部进行公开，接受全体教职工的监督，并按要求向财政部门和社会公开，增强预算透明度和公信力。</w:t>
      </w:r>
    </w:p>
    <w:p w14:paraId="6A87A1B2" w14:textId="77777777" w:rsidR="00D95662" w:rsidRPr="00D95662" w:rsidRDefault="00D95662" w:rsidP="00D95662">
      <w:pPr>
        <w:widowControl/>
        <w:shd w:val="clear" w:color="auto" w:fill="FFFFFF"/>
        <w:spacing w:before="600" w:after="180" w:line="480" w:lineRule="atLeast"/>
        <w:jc w:val="left"/>
        <w:outlineLvl w:val="1"/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</w:pPr>
      <w:r w:rsidRPr="00D95662">
        <w:rPr>
          <w:rFonts w:ascii="Segoe UI" w:eastAsia="宋体" w:hAnsi="Segoe UI" w:cs="Segoe UI"/>
          <w:b/>
          <w:bCs/>
          <w:color w:val="000000"/>
          <w:kern w:val="0"/>
          <w:sz w:val="30"/>
          <w:szCs w:val="30"/>
        </w:rPr>
        <w:t>七、其他需要说明的问题</w:t>
      </w:r>
    </w:p>
    <w:p w14:paraId="70531CD4" w14:textId="77777777" w:rsidR="00D95662" w:rsidRPr="00D95662" w:rsidRDefault="00D95662" w:rsidP="00D95662">
      <w:pPr>
        <w:widowControl/>
        <w:shd w:val="clear" w:color="auto" w:fill="FFFFFF"/>
        <w:spacing w:line="420" w:lineRule="atLeast"/>
        <w:jc w:val="left"/>
        <w:rPr>
          <w:rFonts w:ascii="Segoe UI" w:eastAsia="宋体" w:hAnsi="Segoe UI" w:cs="Segoe UI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无其他需要说明的问题。</w:t>
      </w:r>
    </w:p>
    <w:p w14:paraId="3F85D1D3" w14:textId="77777777" w:rsidR="00D95662" w:rsidRPr="00D95662" w:rsidRDefault="00D95662" w:rsidP="00D9566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9406D8C" w14:textId="08522ABB" w:rsidR="00771497" w:rsidRPr="00D95662" w:rsidRDefault="00D95662" w:rsidP="00D95662">
      <w:pPr>
        <w:widowControl/>
        <w:shd w:val="clear" w:color="auto" w:fill="FFFFFF"/>
        <w:spacing w:line="420" w:lineRule="atLeast"/>
        <w:ind w:right="240"/>
        <w:jc w:val="right"/>
        <w:rPr>
          <w:rFonts w:ascii="Segoe UI" w:eastAsia="宋体" w:hAnsi="Segoe UI" w:cs="Segoe UI" w:hint="eastAsia"/>
          <w:kern w:val="0"/>
          <w:sz w:val="24"/>
          <w:szCs w:val="24"/>
        </w:rPr>
      </w:pPr>
      <w:r w:rsidRPr="00D95662">
        <w:rPr>
          <w:rFonts w:ascii="Segoe UI" w:eastAsia="宋体" w:hAnsi="Segoe UI" w:cs="Segoe UI"/>
          <w:kern w:val="0"/>
          <w:sz w:val="24"/>
          <w:szCs w:val="24"/>
        </w:rPr>
        <w:t>华容县开放大学</w:t>
      </w:r>
      <w:r w:rsidRPr="00D95662">
        <w:rPr>
          <w:rFonts w:ascii="Segoe UI" w:eastAsia="宋体" w:hAnsi="Segoe UI" w:cs="Segoe UI"/>
          <w:kern w:val="0"/>
          <w:sz w:val="30"/>
          <w:szCs w:val="30"/>
        </w:rPr>
        <w:br/>
      </w:r>
      <w:r>
        <w:rPr>
          <w:rFonts w:ascii="Segoe UI" w:eastAsia="宋体" w:hAnsi="Segoe UI" w:cs="Segoe UI" w:hint="eastAsia"/>
          <w:kern w:val="0"/>
          <w:sz w:val="24"/>
          <w:szCs w:val="24"/>
        </w:rPr>
        <w:t xml:space="preserve">  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202</w:t>
      </w:r>
      <w:r>
        <w:rPr>
          <w:rFonts w:ascii="Segoe UI" w:eastAsia="宋体" w:hAnsi="Segoe UI" w:cs="Segoe UI" w:hint="eastAsia"/>
          <w:kern w:val="0"/>
          <w:sz w:val="24"/>
          <w:szCs w:val="24"/>
        </w:rPr>
        <w:t>5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 xml:space="preserve"> </w:t>
      </w:r>
      <w:r w:rsidRPr="00D95662">
        <w:rPr>
          <w:rFonts w:ascii="Segoe UI" w:eastAsia="宋体" w:hAnsi="Segoe UI" w:cs="Segoe UI"/>
          <w:kern w:val="0"/>
          <w:sz w:val="24"/>
          <w:szCs w:val="24"/>
        </w:rPr>
        <w:t>年</w:t>
      </w:r>
      <w:r>
        <w:rPr>
          <w:rFonts w:ascii="Segoe UI" w:eastAsia="宋体" w:hAnsi="Segoe UI" w:cs="Segoe UI" w:hint="eastAsia"/>
          <w:kern w:val="0"/>
          <w:sz w:val="24"/>
          <w:szCs w:val="24"/>
        </w:rPr>
        <w:t>5</w:t>
      </w:r>
      <w:r>
        <w:rPr>
          <w:rFonts w:ascii="Segoe UI" w:eastAsia="宋体" w:hAnsi="Segoe UI" w:cs="Segoe UI" w:hint="eastAsia"/>
          <w:kern w:val="0"/>
          <w:sz w:val="24"/>
          <w:szCs w:val="24"/>
        </w:rPr>
        <w:t>月</w:t>
      </w:r>
      <w:r>
        <w:rPr>
          <w:rFonts w:ascii="Segoe UI" w:eastAsia="宋体" w:hAnsi="Segoe UI" w:cs="Segoe UI" w:hint="eastAsia"/>
          <w:kern w:val="0"/>
          <w:sz w:val="24"/>
          <w:szCs w:val="24"/>
        </w:rPr>
        <w:t>27</w:t>
      </w:r>
      <w:r>
        <w:rPr>
          <w:rFonts w:ascii="Segoe UI" w:eastAsia="宋体" w:hAnsi="Segoe UI" w:cs="Segoe UI" w:hint="eastAsia"/>
          <w:kern w:val="0"/>
          <w:sz w:val="24"/>
          <w:szCs w:val="24"/>
        </w:rPr>
        <w:t>日</w:t>
      </w:r>
    </w:p>
    <w:sectPr w:rsidR="00771497" w:rsidRPr="00D95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67FFF" w14:textId="77777777" w:rsidR="008D2911" w:rsidRDefault="008D2911" w:rsidP="00D95662">
      <w:pPr>
        <w:rPr>
          <w:rFonts w:hint="eastAsia"/>
        </w:rPr>
      </w:pPr>
      <w:r>
        <w:separator/>
      </w:r>
    </w:p>
  </w:endnote>
  <w:endnote w:type="continuationSeparator" w:id="0">
    <w:p w14:paraId="0BCA7DB5" w14:textId="77777777" w:rsidR="008D2911" w:rsidRDefault="008D2911" w:rsidP="00D956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5AC22" w14:textId="77777777" w:rsidR="008D2911" w:rsidRDefault="008D2911" w:rsidP="00D95662">
      <w:pPr>
        <w:rPr>
          <w:rFonts w:hint="eastAsia"/>
        </w:rPr>
      </w:pPr>
      <w:r>
        <w:separator/>
      </w:r>
    </w:p>
  </w:footnote>
  <w:footnote w:type="continuationSeparator" w:id="0">
    <w:p w14:paraId="6C5B0AB9" w14:textId="77777777" w:rsidR="008D2911" w:rsidRDefault="008D2911" w:rsidP="00D9566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5F6"/>
    <w:multiLevelType w:val="multilevel"/>
    <w:tmpl w:val="EAF4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E4A07"/>
    <w:multiLevelType w:val="multilevel"/>
    <w:tmpl w:val="5AE8FA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CA7A33"/>
    <w:multiLevelType w:val="multilevel"/>
    <w:tmpl w:val="ABF2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D38AC"/>
    <w:multiLevelType w:val="multilevel"/>
    <w:tmpl w:val="BBB45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6F24A3"/>
    <w:multiLevelType w:val="multilevel"/>
    <w:tmpl w:val="51DE2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D06A4B"/>
    <w:multiLevelType w:val="multilevel"/>
    <w:tmpl w:val="08E46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D4245F"/>
    <w:multiLevelType w:val="multilevel"/>
    <w:tmpl w:val="38E4D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A21853"/>
    <w:multiLevelType w:val="multilevel"/>
    <w:tmpl w:val="A778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B0F1C"/>
    <w:multiLevelType w:val="multilevel"/>
    <w:tmpl w:val="947E0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4C2B22"/>
    <w:multiLevelType w:val="multilevel"/>
    <w:tmpl w:val="C62C3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5A5659"/>
    <w:multiLevelType w:val="multilevel"/>
    <w:tmpl w:val="C4CE93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2759ED"/>
    <w:multiLevelType w:val="multilevel"/>
    <w:tmpl w:val="559A9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1B62DF"/>
    <w:multiLevelType w:val="multilevel"/>
    <w:tmpl w:val="8086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9118774">
    <w:abstractNumId w:val="5"/>
  </w:num>
  <w:num w:numId="2" w16cid:durableId="553008288">
    <w:abstractNumId w:val="9"/>
  </w:num>
  <w:num w:numId="3" w16cid:durableId="222907972">
    <w:abstractNumId w:val="8"/>
  </w:num>
  <w:num w:numId="4" w16cid:durableId="1119296116">
    <w:abstractNumId w:val="3"/>
  </w:num>
  <w:num w:numId="5" w16cid:durableId="1069696711">
    <w:abstractNumId w:val="2"/>
  </w:num>
  <w:num w:numId="6" w16cid:durableId="1861747306">
    <w:abstractNumId w:val="1"/>
    <w:lvlOverride w:ilvl="0">
      <w:lvl w:ilvl="0">
        <w:numFmt w:val="decimal"/>
        <w:lvlText w:val="%1."/>
        <w:lvlJc w:val="left"/>
      </w:lvl>
    </w:lvlOverride>
  </w:num>
  <w:num w:numId="7" w16cid:durableId="941453306">
    <w:abstractNumId w:val="12"/>
  </w:num>
  <w:num w:numId="8" w16cid:durableId="1013192476">
    <w:abstractNumId w:val="4"/>
  </w:num>
  <w:num w:numId="9" w16cid:durableId="1861426923">
    <w:abstractNumId w:val="7"/>
  </w:num>
  <w:num w:numId="10" w16cid:durableId="1533613458">
    <w:abstractNumId w:val="10"/>
    <w:lvlOverride w:ilvl="0">
      <w:lvl w:ilvl="0">
        <w:numFmt w:val="decimal"/>
        <w:lvlText w:val="%1."/>
        <w:lvlJc w:val="left"/>
      </w:lvl>
    </w:lvlOverride>
  </w:num>
  <w:num w:numId="11" w16cid:durableId="1831410231">
    <w:abstractNumId w:val="0"/>
  </w:num>
  <w:num w:numId="12" w16cid:durableId="819804766">
    <w:abstractNumId w:val="11"/>
    <w:lvlOverride w:ilvl="0">
      <w:lvl w:ilvl="0">
        <w:numFmt w:val="decimal"/>
        <w:lvlText w:val="%1."/>
        <w:lvlJc w:val="left"/>
      </w:lvl>
    </w:lvlOverride>
  </w:num>
  <w:num w:numId="13" w16cid:durableId="69349403">
    <w:abstractNumId w:val="11"/>
    <w:lvlOverride w:ilvl="0">
      <w:lvl w:ilvl="0">
        <w:numFmt w:val="decimal"/>
        <w:lvlText w:val="%1."/>
        <w:lvlJc w:val="left"/>
      </w:lvl>
    </w:lvlOverride>
  </w:num>
  <w:num w:numId="14" w16cid:durableId="1876118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065"/>
    <w:rsid w:val="00017D37"/>
    <w:rsid w:val="00101FB6"/>
    <w:rsid w:val="003E15DA"/>
    <w:rsid w:val="004F0749"/>
    <w:rsid w:val="00771497"/>
    <w:rsid w:val="008D2911"/>
    <w:rsid w:val="00AB6E5B"/>
    <w:rsid w:val="00B72065"/>
    <w:rsid w:val="00D9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6788AB"/>
  <w15:chartTrackingRefBased/>
  <w15:docId w15:val="{E4500F80-CDA9-4FC4-946F-C5FA7D71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206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206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206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06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06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206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06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206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7206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72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72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7206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7206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7206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7206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7206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7206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7206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72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206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7206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20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720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206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206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2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7206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206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9566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9566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956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956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934</Words>
  <Characters>973</Characters>
  <Application>Microsoft Office Word</Application>
  <DocSecurity>0</DocSecurity>
  <Lines>42</Lines>
  <Paragraphs>30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永盛 戴</dc:creator>
  <cp:keywords/>
  <dc:description/>
  <cp:lastModifiedBy>永盛 戴</cp:lastModifiedBy>
  <cp:revision>2</cp:revision>
  <dcterms:created xsi:type="dcterms:W3CDTF">2025-05-27T09:09:00Z</dcterms:created>
  <dcterms:modified xsi:type="dcterms:W3CDTF">2025-05-27T09:11:00Z</dcterms:modified>
</cp:coreProperties>
</file>