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1" w:lineRule="auto"/>
        <w:rPr>
          <w:rFonts w:ascii="Arial"/>
          <w:sz w:val="21"/>
        </w:rPr>
      </w:pPr>
    </w:p>
    <w:p>
      <w:pPr>
        <w:spacing w:line="251" w:lineRule="auto"/>
        <w:rPr>
          <w:rFonts w:ascii="Arial"/>
          <w:sz w:val="21"/>
        </w:rPr>
      </w:pPr>
    </w:p>
    <w:p>
      <w:pPr>
        <w:rPr>
          <w:rFonts w:ascii="Arial"/>
          <w:sz w:val="21"/>
        </w:rPr>
      </w:pPr>
    </w:p>
    <w:p>
      <w:pPr>
        <w:pStyle w:val="2"/>
      </w:pPr>
    </w:p>
    <w:p/>
    <w:p>
      <w:pPr>
        <w:spacing w:before="223" w:line="218" w:lineRule="auto"/>
        <w:jc w:val="center"/>
        <w:rPr>
          <w:rFonts w:hint="eastAsia" w:ascii="方正小标宋简体" w:hAnsi="方正小标宋简体" w:eastAsia="方正小标宋简体" w:cs="方正小标宋简体"/>
          <w:spacing w:val="-1"/>
          <w:sz w:val="52"/>
          <w:szCs w:val="52"/>
        </w:rPr>
      </w:pPr>
      <w:r>
        <w:rPr>
          <w:rFonts w:hint="eastAsia" w:ascii="方正小标宋简体" w:hAnsi="方正小标宋简体" w:eastAsia="方正小标宋简体" w:cs="方正小标宋简体"/>
          <w:spacing w:val="-1"/>
          <w:sz w:val="52"/>
          <w:szCs w:val="52"/>
        </w:rPr>
        <w:t>202</w:t>
      </w:r>
      <w:r>
        <w:rPr>
          <w:rFonts w:hint="eastAsia" w:ascii="方正小标宋简体" w:hAnsi="方正小标宋简体" w:eastAsia="方正小标宋简体" w:cs="方正小标宋简体"/>
          <w:spacing w:val="-1"/>
          <w:sz w:val="52"/>
          <w:szCs w:val="52"/>
          <w:lang w:val="en-US" w:eastAsia="zh-CN"/>
        </w:rPr>
        <w:t>4</w:t>
      </w:r>
      <w:r>
        <w:rPr>
          <w:rFonts w:hint="eastAsia" w:ascii="方正小标宋简体" w:hAnsi="方正小标宋简体" w:eastAsia="方正小标宋简体" w:cs="方正小标宋简体"/>
          <w:spacing w:val="-1"/>
          <w:sz w:val="52"/>
          <w:szCs w:val="52"/>
        </w:rPr>
        <w:t>年度华容县人民代表大会常务</w:t>
      </w:r>
    </w:p>
    <w:p>
      <w:pPr>
        <w:spacing w:before="223" w:line="218" w:lineRule="auto"/>
        <w:jc w:val="center"/>
        <w:rPr>
          <w:rFonts w:hint="eastAsia" w:ascii="方正小标宋简体" w:hAnsi="方正小标宋简体" w:eastAsia="方正小标宋简体" w:cs="方正小标宋简体"/>
          <w:spacing w:val="-1"/>
          <w:sz w:val="52"/>
          <w:szCs w:val="52"/>
        </w:rPr>
      </w:pPr>
      <w:r>
        <w:rPr>
          <w:rFonts w:hint="eastAsia" w:ascii="方正小标宋简体" w:hAnsi="方正小标宋简体" w:eastAsia="方正小标宋简体" w:cs="方正小标宋简体"/>
          <w:spacing w:val="-1"/>
          <w:sz w:val="52"/>
          <w:szCs w:val="52"/>
        </w:rPr>
        <w:t>委员会部门整体支出</w:t>
      </w:r>
    </w:p>
    <w:p>
      <w:pPr>
        <w:spacing w:before="223" w:line="218"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pacing w:val="-3"/>
          <w:sz w:val="52"/>
          <w:szCs w:val="52"/>
        </w:rPr>
        <w:t>绩效自评报告</w:t>
      </w:r>
    </w:p>
    <w:p>
      <w:pPr>
        <w:spacing w:line="243" w:lineRule="auto"/>
        <w:jc w:val="left"/>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3"/>
        <w:keepNext w:val="0"/>
        <w:keepLines w:val="0"/>
        <w:pageBreakBefore w:val="0"/>
        <w:widowControl w:val="0"/>
        <w:kinsoku/>
        <w:wordWrap/>
        <w:overflowPunct/>
        <w:topLinePunct w:val="0"/>
        <w:autoSpaceDE/>
        <w:autoSpaceDN/>
        <w:bidi w:val="0"/>
        <w:adjustRightInd/>
        <w:snapToGrid/>
        <w:spacing w:before="100" w:line="221" w:lineRule="auto"/>
        <w:ind w:firstLine="60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部门（单位）名称</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u w:val="single" w:color="auto"/>
          <w:lang w:val="en-US" w:eastAsia="zh-CN"/>
        </w:rPr>
        <w:t>华容县人民代表大会常务委员会</w:t>
      </w:r>
    </w:p>
    <w:p>
      <w:pPr>
        <w:spacing w:before="228" w:line="222"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val="en-US" w:eastAsia="zh-CN"/>
        </w:rPr>
        <w:t>2025</w:t>
      </w:r>
      <w:r>
        <w:rPr>
          <w:rFonts w:hint="eastAsia" w:ascii="仿宋_GB2312" w:hAnsi="仿宋_GB2312" w:eastAsia="仿宋_GB2312" w:cs="仿宋_GB2312"/>
          <w:spacing w:val="-8"/>
          <w:sz w:val="32"/>
          <w:szCs w:val="32"/>
        </w:rPr>
        <w:t>年</w:t>
      </w:r>
      <w:r>
        <w:rPr>
          <w:rFonts w:hint="eastAsia" w:ascii="仿宋_GB2312" w:hAnsi="仿宋_GB2312" w:eastAsia="仿宋_GB2312" w:cs="仿宋_GB2312"/>
          <w:spacing w:val="21"/>
          <w:sz w:val="32"/>
          <w:szCs w:val="32"/>
          <w:lang w:val="en-US" w:eastAsia="zh-CN"/>
        </w:rPr>
        <w:t>9</w:t>
      </w:r>
      <w:r>
        <w:rPr>
          <w:rFonts w:hint="eastAsia" w:ascii="仿宋_GB2312" w:hAnsi="仿宋_GB2312" w:eastAsia="仿宋_GB2312" w:cs="仿宋_GB2312"/>
          <w:spacing w:val="-8"/>
          <w:sz w:val="32"/>
          <w:szCs w:val="32"/>
        </w:rPr>
        <w:t>月</w:t>
      </w:r>
      <w:r>
        <w:rPr>
          <w:rFonts w:hint="eastAsia" w:ascii="仿宋_GB2312" w:hAnsi="仿宋_GB2312" w:eastAsia="仿宋_GB2312" w:cs="仿宋_GB2312"/>
          <w:spacing w:val="43"/>
          <w:sz w:val="32"/>
          <w:szCs w:val="32"/>
          <w:lang w:val="en-US" w:eastAsia="zh-CN"/>
        </w:rPr>
        <w:t>01</w:t>
      </w:r>
      <w:bookmarkStart w:id="0" w:name="_GoBack"/>
      <w:bookmarkEnd w:id="0"/>
      <w:r>
        <w:rPr>
          <w:rFonts w:hint="eastAsia" w:ascii="仿宋_GB2312" w:hAnsi="仿宋_GB2312" w:eastAsia="仿宋_GB2312" w:cs="仿宋_GB2312"/>
          <w:spacing w:val="-8"/>
          <w:sz w:val="32"/>
          <w:szCs w:val="32"/>
        </w:rPr>
        <w:t>日</w:t>
      </w:r>
    </w:p>
    <w:p>
      <w:pPr>
        <w:spacing w:line="335" w:lineRule="auto"/>
        <w:rPr>
          <w:rFonts w:hint="eastAsia" w:ascii="仿宋_GB2312" w:hAnsi="仿宋_GB2312" w:eastAsia="仿宋_GB2312" w:cs="仿宋_GB2312"/>
          <w:sz w:val="32"/>
          <w:szCs w:val="32"/>
        </w:rPr>
      </w:pPr>
    </w:p>
    <w:p>
      <w:pPr>
        <w:pStyle w:val="2"/>
        <w:sectPr>
          <w:footerReference r:id="rId3" w:type="default"/>
          <w:pgSz w:w="11905" w:h="16838"/>
          <w:pgMar w:top="1984" w:right="1701" w:bottom="1984" w:left="1701" w:header="850" w:footer="1587" w:gutter="0"/>
          <w:pgNumType w:fmt="decimal" w:start="7"/>
          <w:cols w:space="0" w:num="1"/>
          <w:rtlGutter w:val="0"/>
          <w:docGrid w:type="lines" w:linePitch="314" w:charSpace="0"/>
        </w:sectPr>
      </w:pP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方正小标宋简体" w:hAnsi="方正小标宋简体" w:eastAsia="方正小标宋简体" w:cs="方正小标宋简体"/>
          <w:spacing w:val="6"/>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年度华容县人民代表大会常务委员会部门整体支出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spacing w:line="284" w:lineRule="auto"/>
        <w:rPr>
          <w:rFonts w:ascii="Arial"/>
          <w:sz w:val="21"/>
        </w:rPr>
      </w:pPr>
    </w:p>
    <w:p>
      <w:pPr>
        <w:pStyle w:val="2"/>
      </w:pPr>
    </w:p>
    <w:p>
      <w:pPr>
        <w:spacing w:before="101" w:line="228" w:lineRule="auto"/>
        <w:ind w:left="648"/>
        <w:rPr>
          <w:rFonts w:hint="eastAsia" w:ascii="黑体" w:hAnsi="黑体" w:eastAsia="黑体" w:cs="黑体"/>
          <w:sz w:val="32"/>
          <w:szCs w:val="32"/>
        </w:rPr>
      </w:pPr>
      <w:r>
        <w:rPr>
          <w:rFonts w:hint="eastAsia" w:ascii="黑体" w:hAnsi="黑体" w:eastAsia="黑体" w:cs="黑体"/>
          <w:spacing w:val="5"/>
          <w:sz w:val="32"/>
          <w:szCs w:val="32"/>
        </w:rPr>
        <w:t>一、部门基本情况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1.人员情况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华容县人民代表大会常务委员会是县财政全额预算拨款单位。人员编制35人，其中：行政编制28人，事业编制4人，工勤编制3人。2024年末共有在职在编干部职工45人，其中行政编制39人，事业编制3人，工勤编制3人；离退休57人（离休1人，退休56人）。</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2.机构情况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现设立7个专门委员会：教育科学文化卫生委、环境与资源保护委、农业与农村委、监察和司法委、财政经济委、民族华侨外事委、社会建设委；3个内设工作机构：办公室、</w:t>
      </w:r>
      <w:r>
        <w:rPr>
          <w:rFonts w:hint="eastAsia" w:ascii="仿宋_GB2312" w:hAnsi="仿宋" w:eastAsia="仿宋_GB2312"/>
          <w:sz w:val="32"/>
          <w:szCs w:val="32"/>
          <w:lang w:val="en-US" w:eastAsia="zh-CN"/>
        </w:rPr>
        <w:t>新闻宣传</w:t>
      </w:r>
      <w:r>
        <w:rPr>
          <w:rFonts w:hint="eastAsia" w:eastAsia="仿宋_GB2312" w:cs="Times New Roman"/>
          <w:color w:val="000000"/>
          <w:sz w:val="32"/>
          <w:szCs w:val="32"/>
          <w:lang w:val="en-US" w:eastAsia="zh-CN"/>
        </w:rPr>
        <w:t>中心、选举任免联络工委。</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3.年度主要任务</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eastAsia="仿宋_GB2312" w:cs="Times New Roman"/>
          <w:color w:val="000000"/>
          <w:sz w:val="32"/>
          <w:szCs w:val="32"/>
          <w:lang w:val="en-US" w:eastAsia="zh-CN"/>
        </w:rPr>
      </w:pPr>
      <w:r>
        <w:rPr>
          <w:rFonts w:hint="eastAsia" w:eastAsia="仿宋_GB2312" w:cs="Times New Roman"/>
          <w:color w:val="000000"/>
          <w:sz w:val="32"/>
          <w:szCs w:val="32"/>
          <w:lang w:val="en-US" w:eastAsia="zh-CN"/>
        </w:rPr>
        <w:t>召开人大会议，决议决定重大事项；强化工作监督，开展专项督查；关注民生实事，开展专项调研；及时收集、督办代表建议；提升代表履职能力；强化机关自身建设。</w:t>
      </w:r>
    </w:p>
    <w:p>
      <w:pPr>
        <w:keepNext w:val="0"/>
        <w:keepLines w:val="0"/>
        <w:pageBreakBefore w:val="0"/>
        <w:widowControl/>
        <w:kinsoku/>
        <w:wordWrap/>
        <w:overflowPunct/>
        <w:topLinePunct w:val="0"/>
        <w:autoSpaceDE/>
        <w:autoSpaceDN/>
        <w:bidi w:val="0"/>
        <w:adjustRightInd/>
        <w:snapToGrid/>
        <w:spacing w:line="610" w:lineRule="exact"/>
        <w:ind w:firstLine="632" w:firstLineChars="200"/>
        <w:jc w:val="both"/>
        <w:textAlignment w:val="auto"/>
        <w:rPr>
          <w:rFonts w:hint="eastAsia" w:ascii="黑体" w:hAnsi="黑体" w:eastAsia="黑体" w:cs="黑体"/>
          <w:sz w:val="32"/>
          <w:szCs w:val="32"/>
        </w:rPr>
      </w:pPr>
      <w:r>
        <w:rPr>
          <w:rFonts w:hint="eastAsia" w:ascii="黑体" w:hAnsi="黑体" w:eastAsia="黑体" w:cs="黑体"/>
          <w:spacing w:val="-2"/>
          <w:sz w:val="32"/>
          <w:szCs w:val="32"/>
        </w:rPr>
        <w:t>二、一般公共预算支出情况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楷体_GB2312" w:hAnsi="楷体_GB2312" w:eastAsia="楷体_GB2312" w:cs="楷体_GB2312"/>
          <w:b/>
          <w:bCs/>
          <w:sz w:val="32"/>
          <w:szCs w:val="32"/>
        </w:rPr>
      </w:pPr>
      <w:r>
        <w:rPr>
          <w:rFonts w:hint="eastAsia" w:eastAsia="仿宋_GB2312" w:cs="Times New Roman"/>
          <w:color w:val="000000"/>
          <w:sz w:val="32"/>
          <w:szCs w:val="32"/>
          <w:lang w:val="en-US" w:eastAsia="zh-CN"/>
        </w:rPr>
        <w:t>2024年单位基本支出1091.4万元，具体为：工资福利支出797.96万元，商品和服务支出250.9万元，对个人和家庭的补助31.82万元，其他资本性支出10.72万元。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1、专项资金安排落实、总投入等情况分析</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eastAsia="仿宋_GB2312" w:cs="Times New Roman"/>
          <w:color w:val="000000"/>
          <w:sz w:val="32"/>
          <w:szCs w:val="32"/>
          <w:lang w:val="en-US" w:eastAsia="zh-CN"/>
        </w:rPr>
      </w:pPr>
      <w:r>
        <w:rPr>
          <w:rFonts w:hint="eastAsia" w:eastAsia="仿宋_GB2312" w:cs="Times New Roman"/>
          <w:color w:val="000000"/>
          <w:sz w:val="32"/>
          <w:szCs w:val="32"/>
          <w:lang w:val="en-US" w:eastAsia="zh-CN"/>
        </w:rPr>
        <w:t>2024年项目支出67.15万元，财政拨款67.15万。主要为商品和服务支出67.15万元，占比100%。</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2、专项资金实际使用情况分析</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黑体" w:hAnsi="黑体" w:eastAsia="黑体" w:cs="黑体"/>
          <w:spacing w:val="8"/>
          <w:sz w:val="32"/>
          <w:szCs w:val="32"/>
        </w:rPr>
      </w:pPr>
      <w:r>
        <w:rPr>
          <w:rFonts w:hint="eastAsia" w:eastAsia="仿宋_GB2312" w:cs="Times New Roman"/>
          <w:color w:val="000000"/>
          <w:sz w:val="32"/>
          <w:szCs w:val="32"/>
          <w:lang w:eastAsia="zh-CN"/>
        </w:rPr>
        <w:t>202</w:t>
      </w:r>
      <w:r>
        <w:rPr>
          <w:rFonts w:hint="eastAsia" w:eastAsia="仿宋_GB2312" w:cs="Times New Roman"/>
          <w:color w:val="000000"/>
          <w:sz w:val="32"/>
          <w:szCs w:val="32"/>
          <w:lang w:val="en-US" w:eastAsia="zh-CN"/>
        </w:rPr>
        <w:t>4</w:t>
      </w:r>
      <w:r>
        <w:rPr>
          <w:rFonts w:hint="eastAsia" w:eastAsia="仿宋_GB2312" w:cs="Times New Roman"/>
          <w:color w:val="000000"/>
          <w:sz w:val="32"/>
          <w:szCs w:val="32"/>
          <w:lang w:eastAsia="zh-CN"/>
        </w:rPr>
        <w:t>年度项目支出</w:t>
      </w:r>
      <w:r>
        <w:rPr>
          <w:rFonts w:hint="eastAsia" w:eastAsia="仿宋_GB2312" w:cs="Times New Roman"/>
          <w:color w:val="000000"/>
          <w:sz w:val="32"/>
          <w:szCs w:val="32"/>
          <w:lang w:val="en-US" w:eastAsia="zh-CN"/>
        </w:rPr>
        <w:t>67.15</w:t>
      </w:r>
      <w:r>
        <w:rPr>
          <w:rFonts w:hint="eastAsia" w:eastAsia="仿宋_GB2312" w:cs="Times New Roman"/>
          <w:color w:val="000000"/>
          <w:sz w:val="32"/>
          <w:szCs w:val="32"/>
          <w:lang w:eastAsia="zh-CN"/>
        </w:rPr>
        <w:t>万元，主要项目包括：人大会议</w:t>
      </w:r>
      <w:r>
        <w:rPr>
          <w:rFonts w:hint="eastAsia" w:eastAsia="仿宋_GB2312" w:cs="Times New Roman"/>
          <w:color w:val="000000"/>
          <w:sz w:val="32"/>
          <w:szCs w:val="32"/>
          <w:lang w:val="en-US" w:eastAsia="zh-CN"/>
        </w:rPr>
        <w:t>8.68</w:t>
      </w:r>
      <w:r>
        <w:rPr>
          <w:rFonts w:hint="eastAsia" w:eastAsia="仿宋_GB2312" w:cs="Times New Roman"/>
          <w:color w:val="000000"/>
          <w:sz w:val="32"/>
          <w:szCs w:val="32"/>
          <w:lang w:eastAsia="zh-CN"/>
        </w:rPr>
        <w:t>万元，人民之友</w:t>
      </w:r>
      <w:r>
        <w:rPr>
          <w:rFonts w:hint="eastAsia" w:eastAsia="仿宋_GB2312" w:cs="Times New Roman"/>
          <w:color w:val="000000"/>
          <w:sz w:val="32"/>
          <w:szCs w:val="32"/>
          <w:lang w:val="en-US" w:eastAsia="zh-CN"/>
        </w:rPr>
        <w:t>10.92万元</w:t>
      </w:r>
      <w:r>
        <w:rPr>
          <w:rFonts w:hint="eastAsia" w:eastAsia="仿宋_GB2312" w:cs="Times New Roman"/>
          <w:color w:val="000000"/>
          <w:sz w:val="32"/>
          <w:szCs w:val="32"/>
          <w:lang w:eastAsia="zh-CN"/>
        </w:rPr>
        <w:t>，代表履职培训</w:t>
      </w:r>
      <w:r>
        <w:rPr>
          <w:rFonts w:hint="eastAsia" w:eastAsia="仿宋_GB2312" w:cs="Times New Roman"/>
          <w:color w:val="000000"/>
          <w:sz w:val="32"/>
          <w:szCs w:val="32"/>
          <w:lang w:val="en-US" w:eastAsia="zh-CN"/>
        </w:rPr>
        <w:t>9.79</w:t>
      </w:r>
      <w:r>
        <w:rPr>
          <w:rFonts w:hint="eastAsia" w:eastAsia="仿宋_GB2312" w:cs="Times New Roman"/>
          <w:color w:val="000000"/>
          <w:sz w:val="32"/>
          <w:szCs w:val="32"/>
          <w:lang w:eastAsia="zh-CN"/>
        </w:rPr>
        <w:t>万元，专委工作</w:t>
      </w:r>
      <w:r>
        <w:rPr>
          <w:rFonts w:hint="eastAsia" w:eastAsia="仿宋_GB2312" w:cs="Times New Roman"/>
          <w:color w:val="000000"/>
          <w:sz w:val="32"/>
          <w:szCs w:val="32"/>
          <w:lang w:val="en-US" w:eastAsia="zh-CN"/>
        </w:rPr>
        <w:t>37.75</w:t>
      </w:r>
      <w:r>
        <w:rPr>
          <w:rFonts w:hint="eastAsia" w:eastAsia="仿宋_GB2312" w:cs="Times New Roman"/>
          <w:color w:val="000000"/>
          <w:sz w:val="32"/>
          <w:szCs w:val="32"/>
          <w:lang w:eastAsia="zh-CN"/>
        </w:rPr>
        <w:t>万元</w:t>
      </w:r>
      <w:r>
        <w:rPr>
          <w:rFonts w:hint="eastAsia" w:eastAsia="仿宋_GB2312" w:cs="Times New Roman"/>
          <w:color w:val="000000"/>
          <w:sz w:val="32"/>
          <w:szCs w:val="32"/>
          <w:lang w:val="en-US" w:eastAsia="zh-CN"/>
        </w:rPr>
        <w:t>。</w:t>
      </w:r>
    </w:p>
    <w:p>
      <w:pPr>
        <w:spacing w:before="224" w:line="227" w:lineRule="auto"/>
        <w:ind w:left="649"/>
        <w:rPr>
          <w:rFonts w:hint="eastAsia" w:ascii="黑体" w:hAnsi="黑体" w:eastAsia="黑体" w:cs="黑体"/>
          <w:sz w:val="32"/>
          <w:szCs w:val="32"/>
        </w:rPr>
      </w:pPr>
      <w:r>
        <w:rPr>
          <w:rFonts w:hint="eastAsia" w:ascii="黑体" w:hAnsi="黑体" w:eastAsia="黑体" w:cs="黑体"/>
          <w:spacing w:val="8"/>
          <w:sz w:val="32"/>
          <w:szCs w:val="32"/>
        </w:rPr>
        <w:t>三、政府性基金预算支出情况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无</w:t>
      </w:r>
    </w:p>
    <w:p>
      <w:pPr>
        <w:spacing w:before="219" w:line="600" w:lineRule="exact"/>
        <w:ind w:left="662"/>
        <w:rPr>
          <w:rFonts w:hint="eastAsia" w:ascii="黑体" w:hAnsi="黑体" w:eastAsia="黑体" w:cs="黑体"/>
          <w:sz w:val="32"/>
          <w:szCs w:val="32"/>
        </w:rPr>
      </w:pPr>
      <w:r>
        <w:rPr>
          <w:rFonts w:hint="eastAsia" w:ascii="黑体" w:hAnsi="黑体" w:eastAsia="黑体" w:cs="黑体"/>
          <w:spacing w:val="7"/>
          <w:position w:val="21"/>
          <w:sz w:val="32"/>
          <w:szCs w:val="32"/>
        </w:rPr>
        <w:t>四、国有资本经营预算支出情况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无</w:t>
      </w:r>
    </w:p>
    <w:p>
      <w:pPr>
        <w:pStyle w:val="2"/>
        <w:rPr>
          <w:rFonts w:hint="eastAsia"/>
          <w:lang w:eastAsia="zh-CN"/>
        </w:rPr>
      </w:pPr>
    </w:p>
    <w:p>
      <w:pPr>
        <w:spacing w:line="227" w:lineRule="auto"/>
        <w:ind w:left="651"/>
        <w:rPr>
          <w:rFonts w:hint="eastAsia" w:ascii="黑体" w:hAnsi="黑体" w:eastAsia="黑体" w:cs="黑体"/>
          <w:sz w:val="32"/>
          <w:szCs w:val="32"/>
        </w:rPr>
      </w:pPr>
      <w:r>
        <w:rPr>
          <w:rFonts w:hint="eastAsia" w:ascii="黑体" w:hAnsi="黑体" w:eastAsia="黑体" w:cs="黑体"/>
          <w:spacing w:val="8"/>
          <w:sz w:val="32"/>
          <w:szCs w:val="32"/>
        </w:rPr>
        <w:t>五、社会保险基金预算支出情况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黑体" w:hAnsi="黑体" w:eastAsia="黑体" w:cs="黑体"/>
          <w:spacing w:val="8"/>
          <w:sz w:val="32"/>
          <w:szCs w:val="32"/>
        </w:rPr>
      </w:pPr>
      <w:r>
        <w:rPr>
          <w:rFonts w:hint="eastAsia" w:eastAsia="仿宋_GB2312" w:cs="Times New Roman"/>
          <w:color w:val="000000"/>
          <w:sz w:val="32"/>
          <w:szCs w:val="32"/>
          <w:lang w:eastAsia="zh-CN"/>
        </w:rPr>
        <w:t>无</w:t>
      </w:r>
    </w:p>
    <w:p>
      <w:pPr>
        <w:spacing w:before="219" w:line="226" w:lineRule="auto"/>
        <w:ind w:left="653"/>
        <w:rPr>
          <w:rFonts w:hint="eastAsia" w:ascii="黑体" w:hAnsi="黑体" w:eastAsia="黑体" w:cs="黑体"/>
          <w:sz w:val="32"/>
          <w:szCs w:val="32"/>
        </w:rPr>
      </w:pPr>
      <w:r>
        <w:rPr>
          <w:rFonts w:hint="eastAsia" w:ascii="黑体" w:hAnsi="黑体" w:eastAsia="黑体" w:cs="黑体"/>
          <w:spacing w:val="8"/>
          <w:sz w:val="32"/>
          <w:szCs w:val="32"/>
        </w:rPr>
        <w:t>六、部门整体支出绩效情况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eastAsia="zh-CN"/>
        </w:rPr>
        <w:t>本单位的一般公共预算</w:t>
      </w:r>
      <w:r>
        <w:rPr>
          <w:rFonts w:hint="eastAsia" w:eastAsia="仿宋_GB2312" w:cs="Times New Roman"/>
          <w:color w:val="000000"/>
          <w:sz w:val="32"/>
          <w:szCs w:val="32"/>
          <w:lang w:val="en-US" w:eastAsia="zh-CN"/>
        </w:rPr>
        <w:t>1174.13万元，占预算收入100%。基本支出1091.4万元，项目支出67.15万元，</w:t>
      </w:r>
      <w:r>
        <w:rPr>
          <w:rFonts w:hint="eastAsia" w:eastAsia="仿宋_GB2312" w:cs="Times New Roman"/>
          <w:color w:val="000000"/>
          <w:sz w:val="32"/>
          <w:szCs w:val="32"/>
          <w:lang w:eastAsia="zh-CN"/>
        </w:rPr>
        <w:t>202</w:t>
      </w:r>
      <w:r>
        <w:rPr>
          <w:rFonts w:hint="eastAsia" w:eastAsia="仿宋_GB2312" w:cs="Times New Roman"/>
          <w:color w:val="000000"/>
          <w:sz w:val="32"/>
          <w:szCs w:val="32"/>
          <w:lang w:val="en-US" w:eastAsia="zh-CN"/>
        </w:rPr>
        <w:t>4</w:t>
      </w:r>
      <w:r>
        <w:rPr>
          <w:rFonts w:hint="eastAsia" w:eastAsia="仿宋_GB2312" w:cs="Times New Roman"/>
          <w:color w:val="000000"/>
          <w:sz w:val="32"/>
          <w:szCs w:val="32"/>
          <w:lang w:eastAsia="zh-CN"/>
        </w:rPr>
        <w:t>年单位整体支出较好地完成了绩效目标，基本实现了预算绩效管理，强化了财政资金有效使用。</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rPr>
      </w:pPr>
      <w:r>
        <w:rPr>
          <w:rFonts w:hint="eastAsia" w:eastAsia="仿宋_GB2312" w:cs="Times New Roman"/>
          <w:color w:val="000000"/>
          <w:sz w:val="32"/>
          <w:szCs w:val="32"/>
          <w:lang w:val="en-US" w:eastAsia="zh-CN"/>
        </w:rPr>
        <w:t>本单位积极组织代表行使监督职权，正确监督、依法监督、有效监督，努力提升代表履职能力和履职水平，聚焦人民群众关注的法治建设热点、焦点、难点、痛点问题，保障民生民利，强化预算审查监督，加强自身建设，较好的完成了本年整体绩效目标，获得了代表及群众的肯定。</w:t>
      </w:r>
    </w:p>
    <w:p>
      <w:pPr>
        <w:spacing w:before="220" w:line="600" w:lineRule="exact"/>
        <w:ind w:left="641"/>
        <w:rPr>
          <w:rFonts w:hint="eastAsia" w:ascii="黑体" w:hAnsi="黑体" w:eastAsia="黑体" w:cs="黑体"/>
          <w:sz w:val="32"/>
          <w:szCs w:val="32"/>
        </w:rPr>
      </w:pPr>
      <w:r>
        <w:rPr>
          <w:rFonts w:hint="eastAsia" w:ascii="黑体" w:hAnsi="黑体" w:eastAsia="黑体" w:cs="黑体"/>
          <w:spacing w:val="9"/>
          <w:position w:val="21"/>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1.绩效管理人员专业知识有待进一步提高，学习渠道、专业指导都较少，容易在绩效管理工作中管理不到位，对现行的预算绩效管理工作还在摸索学习；</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2.绩效目标设置科学性有待提高，绩效自评指标量化评估较为困难，指标值难以获取，指标设置不够全面，代表性不足，难以精确计算预算支出执行绩效目标的偏离情况；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rPr>
      </w:pPr>
      <w:r>
        <w:rPr>
          <w:rFonts w:hint="eastAsia" w:eastAsia="仿宋_GB2312" w:cs="Times New Roman"/>
          <w:sz w:val="32"/>
          <w:szCs w:val="32"/>
          <w:lang w:val="en-US" w:eastAsia="zh-CN"/>
        </w:rPr>
        <w:t>3.绩效评价主观人为因素较大，其准确性难以保证。由于现行的绩效评价没有一个通用的执行标准，个人主观因素在评价过程中占了很大一部分比重。</w:t>
      </w:r>
    </w:p>
    <w:p>
      <w:pPr>
        <w:spacing w:line="227" w:lineRule="auto"/>
        <w:ind w:left="643"/>
        <w:rPr>
          <w:rFonts w:hint="eastAsia" w:ascii="黑体" w:hAnsi="黑体" w:eastAsia="黑体" w:cs="黑体"/>
          <w:sz w:val="32"/>
          <w:szCs w:val="32"/>
        </w:rPr>
      </w:pPr>
      <w:r>
        <w:rPr>
          <w:rFonts w:hint="eastAsia" w:ascii="黑体" w:hAnsi="黑体" w:eastAsia="黑体" w:cs="黑体"/>
          <w:spacing w:val="8"/>
          <w:sz w:val="32"/>
          <w:szCs w:val="32"/>
        </w:rPr>
        <w:t>八、下一步改进措施</w:t>
      </w:r>
    </w:p>
    <w:p>
      <w:pPr>
        <w:keepNext w:val="0"/>
        <w:keepLines w:val="0"/>
        <w:pageBreakBefore w:val="0"/>
        <w:widowControl/>
        <w:kinsoku/>
        <w:wordWrap/>
        <w:overflowPunct/>
        <w:topLinePunct w:val="0"/>
        <w:autoSpaceDE/>
        <w:autoSpaceDN/>
        <w:bidi w:val="0"/>
        <w:adjustRightInd/>
        <w:snapToGrid/>
        <w:spacing w:line="610" w:lineRule="exact"/>
        <w:ind w:firstLine="643"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b/>
          <w:bCs/>
          <w:color w:val="000000"/>
          <w:sz w:val="32"/>
          <w:szCs w:val="32"/>
          <w:lang w:val="en-US" w:eastAsia="zh-CN"/>
        </w:rPr>
        <w:t>一是</w:t>
      </w:r>
      <w:r>
        <w:rPr>
          <w:rFonts w:hint="eastAsia" w:eastAsia="仿宋_GB2312" w:cs="Times New Roman"/>
          <w:color w:val="000000"/>
          <w:sz w:val="32"/>
          <w:szCs w:val="32"/>
          <w:lang w:val="en-US" w:eastAsia="zh-CN"/>
        </w:rPr>
        <w:t>加强学习，提高绩效管理水平。强化绩效和责任意识，指定专人负责绩效管理。在加强学习的同时积极参加相关单位组织的绩效管理培训等系列举措，进一步提高绩效管理认识及能力水平。</w:t>
      </w:r>
    </w:p>
    <w:p>
      <w:pPr>
        <w:keepNext w:val="0"/>
        <w:keepLines w:val="0"/>
        <w:pageBreakBefore w:val="0"/>
        <w:widowControl/>
        <w:kinsoku/>
        <w:wordWrap/>
        <w:overflowPunct/>
        <w:topLinePunct w:val="0"/>
        <w:autoSpaceDE/>
        <w:autoSpaceDN/>
        <w:bidi w:val="0"/>
        <w:adjustRightInd/>
        <w:snapToGrid/>
        <w:spacing w:line="610" w:lineRule="exact"/>
        <w:ind w:firstLine="643" w:firstLineChars="200"/>
        <w:jc w:val="both"/>
        <w:textAlignment w:val="auto"/>
        <w:rPr>
          <w:rFonts w:hint="eastAsia"/>
        </w:rPr>
      </w:pPr>
      <w:r>
        <w:rPr>
          <w:rFonts w:hint="eastAsia" w:eastAsia="仿宋_GB2312" w:cs="Times New Roman"/>
          <w:b/>
          <w:bCs/>
          <w:color w:val="000000"/>
          <w:sz w:val="32"/>
          <w:szCs w:val="32"/>
          <w:lang w:val="en-US" w:eastAsia="zh-CN"/>
        </w:rPr>
        <w:t>二是</w:t>
      </w:r>
      <w:r>
        <w:rPr>
          <w:rFonts w:hint="eastAsia" w:eastAsia="仿宋_GB2312" w:cs="Times New Roman"/>
          <w:color w:val="000000"/>
          <w:sz w:val="32"/>
          <w:szCs w:val="32"/>
          <w:lang w:val="en-US" w:eastAsia="zh-CN"/>
        </w:rPr>
        <w:t>加强预算编制准确性，加快资金执行效率。对照年度工作要点，全面设置本部门整体绩效目标，做到目标与部门职能、事业发展规划密切相关，与年度部门预算资金量匹配。加强预算管理，坚持无预算不支出，资产配置及资金使用按保障需要、厉行节约要求，严把“入口关”。</w:t>
      </w:r>
    </w:p>
    <w:p>
      <w:pPr>
        <w:spacing w:before="219" w:line="600" w:lineRule="exact"/>
        <w:ind w:left="650"/>
        <w:rPr>
          <w:rFonts w:hint="eastAsia" w:ascii="黑体" w:hAnsi="黑体" w:eastAsia="黑体" w:cs="黑体"/>
          <w:sz w:val="32"/>
          <w:szCs w:val="32"/>
        </w:rPr>
      </w:pPr>
      <w:r>
        <w:rPr>
          <w:rFonts w:hint="eastAsia" w:ascii="黑体" w:hAnsi="黑体" w:eastAsia="黑体" w:cs="黑体"/>
          <w:spacing w:val="9"/>
          <w:position w:val="21"/>
          <w:sz w:val="32"/>
          <w:szCs w:val="32"/>
        </w:rPr>
        <w:t>九、部门整体支出绩效自评结果拟应用和公开</w:t>
      </w:r>
      <w:r>
        <w:rPr>
          <w:rFonts w:hint="eastAsia" w:ascii="黑体" w:hAnsi="黑体" w:eastAsia="黑体" w:cs="黑体"/>
          <w:spacing w:val="8"/>
          <w:position w:val="21"/>
          <w:sz w:val="32"/>
          <w:szCs w:val="32"/>
        </w:rPr>
        <w:t>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下一步，我单位将根据绩效自评结果，对照各项工作及时进行分析总结，在整体支出项目绩效目标编制申报时，根据项目实际情况和预期可达成的目标，设置更科学合理的指标。并在项目实施过程中，加强对财政资金项目的监督和绩效评价。</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本单位2024年度部门整体支出绩效自评报告将严格按照文件要求，在政府门户网站进行公开，具体评价表格见附表。</w:t>
      </w:r>
    </w:p>
    <w:p>
      <w:pPr>
        <w:pStyle w:val="2"/>
        <w:rPr>
          <w:rFonts w:hint="eastAsia"/>
          <w:lang w:val="en-US" w:eastAsia="zh-CN"/>
        </w:rPr>
      </w:pPr>
    </w:p>
    <w:p>
      <w:pPr>
        <w:numPr>
          <w:ilvl w:val="0"/>
          <w:numId w:val="1"/>
        </w:numPr>
        <w:spacing w:line="226" w:lineRule="auto"/>
        <w:ind w:left="647"/>
        <w:rPr>
          <w:rFonts w:hint="eastAsia" w:ascii="黑体" w:hAnsi="黑体" w:eastAsia="黑体" w:cs="黑体"/>
          <w:spacing w:val="-3"/>
          <w:sz w:val="32"/>
          <w:szCs w:val="32"/>
        </w:rPr>
      </w:pPr>
      <w:r>
        <w:rPr>
          <w:rFonts w:hint="eastAsia" w:ascii="黑体" w:hAnsi="黑体" w:eastAsia="黑体" w:cs="黑体"/>
          <w:spacing w:val="-3"/>
          <w:sz w:val="32"/>
          <w:szCs w:val="32"/>
        </w:rPr>
        <w:t>其他需要说明的情况</w:t>
      </w:r>
    </w:p>
    <w:p>
      <w:pPr>
        <w:pStyle w:val="2"/>
        <w:widowControl w:val="0"/>
        <w:numPr>
          <w:ilvl w:val="0"/>
          <w:numId w:val="0"/>
        </w:numPr>
        <w:snapToGrid w:val="0"/>
        <w:jc w:val="left"/>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pPr>
      <w:r>
        <w:rPr>
          <w:rFonts w:hint="eastAsia" w:ascii="仿宋_GB2312" w:eastAsia="仿宋_GB2312"/>
          <w:sz w:val="32"/>
          <w:szCs w:val="32"/>
          <w:lang w:val="en-US" w:eastAsia="zh-CN"/>
        </w:rPr>
        <w:t>无</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ind w:left="8576"/>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BAF37"/>
    <w:multiLevelType w:val="singleLevel"/>
    <w:tmpl w:val="EADBAF37"/>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DA1MWU5NWQ2MmUyODI0NGQwOGVhMWVmZjRlYTMifQ=="/>
  </w:docVars>
  <w:rsids>
    <w:rsidRoot w:val="6CF82973"/>
    <w:rsid w:val="34AA175A"/>
    <w:rsid w:val="37377380"/>
    <w:rsid w:val="6CF82973"/>
    <w:rsid w:val="7B8E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18"/>
      <w:szCs w:val="18"/>
    </w:rPr>
  </w:style>
  <w:style w:type="paragraph" w:styleId="3">
    <w:name w:val="Body Text"/>
    <w:basedOn w:val="1"/>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1490</Words>
  <Characters>1603</Characters>
  <Lines>0</Lines>
  <Paragraphs>0</Paragraphs>
  <TotalTime>4</TotalTime>
  <ScaleCrop>false</ScaleCrop>
  <LinksUpToDate>false</LinksUpToDate>
  <CharactersWithSpaces>1603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2025-05-27T01:05:00Z</dcterms:created>
  <dc:creator>Administrator</dc:creator>
  <cp:lastModifiedBy>淼淼</cp:lastModifiedBy>
  <dcterms:modified xsi:type="dcterms:W3CDTF">2025-09-02T08:24:52Z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88FC1DE83786472A95095BE3FB90C23E_13</vt:lpwstr>
  </property>
</Properties>
</file>