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872" w:rsidRDefault="003F1872">
      <w:pPr>
        <w:spacing w:line="580" w:lineRule="exact"/>
        <w:jc w:val="left"/>
        <w:rPr>
          <w:rFonts w:ascii="仿宋_GB2312" w:eastAsia="仿宋_GB2312" w:hAnsi="仿宋_GB2312" w:cs="仿宋_GB2312"/>
          <w:spacing w:val="-4"/>
          <w:sz w:val="32"/>
          <w:szCs w:val="32"/>
        </w:rPr>
      </w:pPr>
    </w:p>
    <w:p w:rsidR="003F1872" w:rsidRDefault="002B2395">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3F1872" w:rsidRDefault="003F1872">
      <w:pPr>
        <w:jc w:val="center"/>
        <w:rPr>
          <w:rFonts w:ascii="方正小标宋简体" w:eastAsia="方正小标宋简体" w:hAnsi="方正小标宋简体" w:cs="方正小标宋简体"/>
          <w:sz w:val="44"/>
          <w:szCs w:val="44"/>
        </w:rPr>
      </w:pPr>
    </w:p>
    <w:p w:rsidR="003F1872" w:rsidRDefault="003F1872">
      <w:pPr>
        <w:jc w:val="center"/>
        <w:rPr>
          <w:rFonts w:ascii="方正小标宋简体" w:eastAsia="方正小标宋简体" w:hAnsi="方正小标宋简体" w:cs="方正小标宋简体"/>
          <w:sz w:val="44"/>
          <w:szCs w:val="44"/>
        </w:rPr>
      </w:pPr>
    </w:p>
    <w:p w:rsidR="003F1872" w:rsidRDefault="002B2395">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市政公用设施服务中心路灯管理及维护专项费用</w:t>
      </w:r>
      <w:r>
        <w:rPr>
          <w:rFonts w:ascii="方正小标宋简体" w:eastAsia="方正小标宋简体" w:hAnsi="方正小标宋简体" w:cs="方正小标宋简体" w:hint="eastAsia"/>
          <w:sz w:val="44"/>
          <w:szCs w:val="44"/>
        </w:rPr>
        <w:t>支出绩效自评报告</w:t>
      </w:r>
    </w:p>
    <w:p w:rsidR="003F1872" w:rsidRDefault="003F1872">
      <w:pPr>
        <w:jc w:val="center"/>
        <w:rPr>
          <w:rFonts w:eastAsia="方正小标宋_GBK"/>
          <w:b/>
          <w:sz w:val="52"/>
          <w:szCs w:val="52"/>
        </w:rPr>
      </w:pPr>
    </w:p>
    <w:p w:rsidR="003F1872" w:rsidRDefault="003F1872">
      <w:pPr>
        <w:jc w:val="center"/>
        <w:rPr>
          <w:rFonts w:eastAsia="黑体"/>
          <w:sz w:val="32"/>
          <w:szCs w:val="32"/>
        </w:rPr>
      </w:pPr>
    </w:p>
    <w:p w:rsidR="003F1872" w:rsidRDefault="003F1872">
      <w:pPr>
        <w:pStyle w:val="a0"/>
      </w:pPr>
    </w:p>
    <w:p w:rsidR="003F1872" w:rsidRDefault="003F1872">
      <w:pPr>
        <w:jc w:val="center"/>
        <w:rPr>
          <w:rFonts w:eastAsia="黑体"/>
          <w:sz w:val="32"/>
          <w:szCs w:val="32"/>
        </w:rPr>
      </w:pPr>
    </w:p>
    <w:p w:rsidR="003F1872" w:rsidRDefault="003F1872">
      <w:pPr>
        <w:jc w:val="center"/>
        <w:rPr>
          <w:rFonts w:eastAsia="黑体"/>
          <w:sz w:val="32"/>
          <w:szCs w:val="32"/>
        </w:rPr>
      </w:pPr>
    </w:p>
    <w:p w:rsidR="003F1872" w:rsidRDefault="003F1872">
      <w:pPr>
        <w:jc w:val="center"/>
        <w:rPr>
          <w:rFonts w:eastAsia="黑体"/>
          <w:sz w:val="32"/>
          <w:szCs w:val="32"/>
        </w:rPr>
      </w:pPr>
    </w:p>
    <w:p w:rsidR="003F1872" w:rsidRDefault="003F1872">
      <w:pPr>
        <w:jc w:val="center"/>
        <w:rPr>
          <w:rFonts w:eastAsia="黑体"/>
          <w:sz w:val="32"/>
          <w:szCs w:val="32"/>
        </w:rPr>
      </w:pPr>
    </w:p>
    <w:p w:rsidR="003F1872" w:rsidRDefault="003F1872">
      <w:pPr>
        <w:rPr>
          <w:rFonts w:eastAsia="黑体"/>
          <w:sz w:val="32"/>
          <w:szCs w:val="32"/>
        </w:rPr>
      </w:pPr>
    </w:p>
    <w:p w:rsidR="003F1872" w:rsidRDefault="002B2395">
      <w:pPr>
        <w:pStyle w:val="a4"/>
        <w:spacing w:before="100" w:line="221" w:lineRule="auto"/>
        <w:ind w:firstLineChars="200" w:firstLine="600"/>
        <w:rPr>
          <w:rFonts w:ascii="仿宋_GB2312" w:eastAsia="仿宋_GB2312" w:hAnsi="仿宋_GB2312" w:cs="仿宋_GB2312"/>
          <w:sz w:val="32"/>
          <w:szCs w:val="32"/>
        </w:rPr>
      </w:pPr>
      <w:proofErr w:type="spellStart"/>
      <w:r>
        <w:rPr>
          <w:rFonts w:ascii="仿宋_GB2312" w:eastAsia="仿宋_GB2312" w:hAnsi="仿宋_GB2312" w:cs="仿宋_GB2312" w:hint="eastAsia"/>
          <w:spacing w:val="-10"/>
          <w:sz w:val="32"/>
          <w:szCs w:val="32"/>
        </w:rPr>
        <w:t>部门（单位）名称</w:t>
      </w:r>
      <w:proofErr w:type="spellEnd"/>
      <w:r>
        <w:rPr>
          <w:rFonts w:ascii="仿宋_GB2312" w:eastAsia="仿宋_GB2312" w:hAnsi="仿宋_GB2312" w:cs="仿宋_GB2312" w:hint="eastAsia"/>
          <w:spacing w:val="4"/>
          <w:sz w:val="32"/>
          <w:szCs w:val="32"/>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rPr>
        <w:t xml:space="preserve"> </w:t>
      </w:r>
      <w:r>
        <w:rPr>
          <w:rFonts w:ascii="仿宋_GB2312" w:eastAsia="仿宋_GB2312" w:hAnsi="仿宋_GB2312" w:cs="仿宋_GB2312" w:hint="eastAsia"/>
          <w:spacing w:val="-75"/>
          <w:sz w:val="32"/>
          <w:szCs w:val="32"/>
          <w:u w:val="single"/>
        </w:rPr>
        <w:t xml:space="preserve"> </w:t>
      </w:r>
      <w:proofErr w:type="spellStart"/>
      <w:r>
        <w:rPr>
          <w:rFonts w:ascii="仿宋_GB2312" w:eastAsia="仿宋_GB2312" w:hAnsi="仿宋_GB2312" w:cs="仿宋_GB2312" w:hint="eastAsia"/>
          <w:spacing w:val="-10"/>
          <w:sz w:val="32"/>
          <w:szCs w:val="32"/>
          <w:u w:val="single"/>
        </w:rPr>
        <w:t>盖章</w:t>
      </w:r>
      <w:proofErr w:type="spellEnd"/>
      <w:r>
        <w:rPr>
          <w:rFonts w:ascii="仿宋_GB2312" w:eastAsia="仿宋_GB2312" w:hAnsi="仿宋_GB2312" w:cs="仿宋_GB2312" w:hint="eastAsia"/>
          <w:spacing w:val="-10"/>
          <w:sz w:val="32"/>
          <w:szCs w:val="32"/>
          <w:u w:val="single"/>
        </w:rPr>
        <w:t>）</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3F1872" w:rsidRDefault="002B2395">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w:t>
      </w:r>
      <w:r>
        <w:rPr>
          <w:rFonts w:ascii="仿宋_GB2312" w:eastAsia="仿宋_GB2312" w:hAnsi="仿宋_GB2312" w:cs="仿宋_GB2312" w:hint="eastAsia"/>
          <w:spacing w:val="-8"/>
          <w:sz w:val="32"/>
          <w:szCs w:val="32"/>
        </w:rPr>
        <w:t>日</w:t>
      </w:r>
    </w:p>
    <w:p w:rsidR="003F1872" w:rsidRDefault="003F1872">
      <w:pPr>
        <w:spacing w:line="335" w:lineRule="auto"/>
        <w:rPr>
          <w:rFonts w:ascii="仿宋_GB2312" w:eastAsia="仿宋_GB2312" w:hAnsi="仿宋_GB2312" w:cs="仿宋_GB2312"/>
          <w:sz w:val="32"/>
          <w:szCs w:val="32"/>
        </w:rPr>
      </w:pPr>
    </w:p>
    <w:p w:rsidR="003F1872" w:rsidRDefault="002B2395">
      <w:pPr>
        <w:pStyle w:val="a4"/>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w:t>
      </w:r>
      <w:proofErr w:type="spellStart"/>
      <w:r>
        <w:rPr>
          <w:rFonts w:ascii="仿宋_GB2312" w:eastAsia="仿宋_GB2312" w:hAnsi="仿宋_GB2312" w:cs="仿宋_GB2312" w:hint="eastAsia"/>
          <w:spacing w:val="8"/>
          <w:sz w:val="32"/>
          <w:szCs w:val="32"/>
        </w:rPr>
        <w:t>此页为封面</w:t>
      </w:r>
      <w:proofErr w:type="spellEnd"/>
      <w:r>
        <w:rPr>
          <w:rFonts w:ascii="仿宋_GB2312" w:eastAsia="仿宋_GB2312" w:hAnsi="仿宋_GB2312" w:cs="仿宋_GB2312" w:hint="eastAsia"/>
          <w:spacing w:val="8"/>
          <w:sz w:val="32"/>
          <w:szCs w:val="32"/>
        </w:rPr>
        <w:t>）</w:t>
      </w:r>
    </w:p>
    <w:p w:rsidR="003F1872" w:rsidRDefault="002B2395">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lastRenderedPageBreak/>
        <w:br w:type="page"/>
      </w:r>
    </w:p>
    <w:p w:rsidR="003F1872" w:rsidRDefault="002B2395">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lastRenderedPageBreak/>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市政公用设施服务中心路灯管理及维护专项费用</w:t>
      </w:r>
      <w:r>
        <w:rPr>
          <w:rFonts w:ascii="方正小标宋简体" w:eastAsia="方正小标宋简体" w:hAnsi="方正小标宋简体" w:cs="方正小标宋简体" w:hint="eastAsia"/>
          <w:sz w:val="44"/>
          <w:szCs w:val="44"/>
        </w:rPr>
        <w:t>支出绩效自评报告</w:t>
      </w:r>
    </w:p>
    <w:p w:rsidR="003F1872" w:rsidRDefault="003F1872">
      <w:pPr>
        <w:spacing w:line="610" w:lineRule="exact"/>
        <w:ind w:firstLineChars="200" w:firstLine="600"/>
        <w:rPr>
          <w:rFonts w:ascii="黑体" w:eastAsia="黑体" w:hAnsi="黑体" w:cs="黑体"/>
          <w:sz w:val="30"/>
          <w:szCs w:val="30"/>
        </w:rPr>
      </w:pPr>
    </w:p>
    <w:p w:rsidR="003F1872" w:rsidRDefault="002B2395">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3F1872" w:rsidRDefault="002B2395">
      <w:pPr>
        <w:spacing w:line="360" w:lineRule="auto"/>
        <w:ind w:firstLineChars="200" w:firstLine="640"/>
        <w:rPr>
          <w:rFonts w:ascii="仿宋" w:eastAsia="仿宋" w:hAnsi="仿宋"/>
          <w:sz w:val="32"/>
          <w:szCs w:val="32"/>
        </w:rPr>
      </w:pPr>
      <w:r>
        <w:rPr>
          <w:rFonts w:ascii="仿宋" w:eastAsia="仿宋" w:hAnsi="仿宋" w:hint="eastAsia"/>
          <w:sz w:val="32"/>
          <w:szCs w:val="32"/>
        </w:rPr>
        <w:t>（一）项目概况。</w:t>
      </w:r>
    </w:p>
    <w:p w:rsidR="003F1872" w:rsidRDefault="002B2395">
      <w:pPr>
        <w:pStyle w:val="a0"/>
        <w:spacing w:line="360" w:lineRule="auto"/>
        <w:rPr>
          <w:sz w:val="32"/>
          <w:szCs w:val="32"/>
        </w:rPr>
      </w:pPr>
      <w:r>
        <w:rPr>
          <w:rFonts w:hint="eastAsia"/>
          <w:sz w:val="32"/>
          <w:szCs w:val="32"/>
        </w:rPr>
        <w:t xml:space="preserve">     1</w:t>
      </w:r>
      <w:r>
        <w:rPr>
          <w:rFonts w:hint="eastAsia"/>
          <w:sz w:val="32"/>
          <w:szCs w:val="32"/>
        </w:rPr>
        <w:t>、项目背景：</w:t>
      </w:r>
    </w:p>
    <w:p w:rsidR="003F1872" w:rsidRDefault="002B2395">
      <w:pPr>
        <w:pStyle w:val="a0"/>
        <w:spacing w:line="360" w:lineRule="auto"/>
        <w:ind w:firstLineChars="400" w:firstLine="1280"/>
        <w:rPr>
          <w:sz w:val="32"/>
          <w:szCs w:val="32"/>
        </w:rPr>
      </w:pPr>
      <w:r>
        <w:rPr>
          <w:rFonts w:hint="eastAsia"/>
          <w:sz w:val="32"/>
          <w:szCs w:val="32"/>
        </w:rPr>
        <w:t>城市道路照明是城市道路的附属配套设施，主要是指在道路两侧或机非隔离带设置的灯杆、灯具、地上地下管线及照明附属设备等。以确保交通正常运行，市民夜间安全出行。降低交通事故率、夜间犯罪率、提高市民安全感以及促进城市发展等不可替代的作用。根据</w:t>
      </w:r>
      <w:r>
        <w:rPr>
          <w:rFonts w:hint="eastAsia"/>
          <w:sz w:val="32"/>
          <w:szCs w:val="32"/>
        </w:rPr>
        <w:t>部门“三定”方案确定的职责以及制定的中长期实施规划。</w:t>
      </w:r>
    </w:p>
    <w:p w:rsidR="003F1872" w:rsidRDefault="002B2395">
      <w:pPr>
        <w:ind w:firstLineChars="200" w:firstLine="640"/>
        <w:rPr>
          <w:sz w:val="32"/>
          <w:szCs w:val="40"/>
        </w:rPr>
      </w:pPr>
      <w:r>
        <w:rPr>
          <w:rFonts w:hint="eastAsia"/>
          <w:sz w:val="32"/>
          <w:szCs w:val="40"/>
        </w:rPr>
        <w:t>2</w:t>
      </w:r>
      <w:r>
        <w:rPr>
          <w:rFonts w:hint="eastAsia"/>
          <w:sz w:val="32"/>
          <w:szCs w:val="40"/>
        </w:rPr>
        <w:t>、</w:t>
      </w:r>
      <w:r>
        <w:rPr>
          <w:rFonts w:hint="eastAsia"/>
          <w:sz w:val="32"/>
          <w:szCs w:val="40"/>
        </w:rPr>
        <w:t>主要内容：</w:t>
      </w:r>
    </w:p>
    <w:p w:rsidR="003F1872" w:rsidRDefault="002B2395">
      <w:pPr>
        <w:ind w:firstLineChars="400" w:firstLine="1280"/>
        <w:rPr>
          <w:sz w:val="32"/>
          <w:szCs w:val="40"/>
        </w:rPr>
      </w:pPr>
      <w:r>
        <w:rPr>
          <w:rFonts w:hint="eastAsia"/>
          <w:sz w:val="32"/>
          <w:szCs w:val="40"/>
        </w:rPr>
        <w:t>城区所有道路照明设施的管理及维护，对城区道路路灯、灯杆、检修井、电缆、控制箱及路灯专用变压器以及城区亮化等设施的维护维修。保障城区道路设施照明，确保公共照明设施安全、高效、稳定运行。</w:t>
      </w:r>
    </w:p>
    <w:p w:rsidR="003F1872" w:rsidRDefault="002B2395">
      <w:pPr>
        <w:pStyle w:val="a0"/>
        <w:spacing w:line="360" w:lineRule="auto"/>
        <w:ind w:firstLineChars="200" w:firstLine="640"/>
        <w:rPr>
          <w:sz w:val="32"/>
          <w:szCs w:val="32"/>
        </w:rPr>
      </w:pPr>
      <w:r>
        <w:rPr>
          <w:rFonts w:hint="eastAsia"/>
          <w:sz w:val="32"/>
          <w:szCs w:val="32"/>
        </w:rPr>
        <w:t>3</w:t>
      </w:r>
      <w:r>
        <w:rPr>
          <w:rFonts w:hint="eastAsia"/>
          <w:sz w:val="32"/>
          <w:szCs w:val="32"/>
        </w:rPr>
        <w:t>、</w:t>
      </w:r>
      <w:r>
        <w:rPr>
          <w:rFonts w:hint="eastAsia"/>
          <w:sz w:val="32"/>
          <w:szCs w:val="32"/>
        </w:rPr>
        <w:t>实施情况：</w:t>
      </w:r>
    </w:p>
    <w:p w:rsidR="003F1872" w:rsidRDefault="002B2395">
      <w:pPr>
        <w:pStyle w:val="a0"/>
        <w:ind w:firstLineChars="400" w:firstLine="1280"/>
      </w:pPr>
      <w:r>
        <w:rPr>
          <w:rFonts w:hint="eastAsia"/>
          <w:sz w:val="32"/>
          <w:szCs w:val="32"/>
        </w:rPr>
        <w:t>由华容县城市管理和综合执法局主管，华容</w:t>
      </w:r>
      <w:r>
        <w:rPr>
          <w:rFonts w:hint="eastAsia"/>
          <w:sz w:val="32"/>
          <w:szCs w:val="32"/>
        </w:rPr>
        <w:t>县市政公用设施服务中心</w:t>
      </w:r>
      <w:r>
        <w:rPr>
          <w:rFonts w:hint="eastAsia"/>
          <w:sz w:val="32"/>
          <w:szCs w:val="32"/>
        </w:rPr>
        <w:t>具体组织实施</w:t>
      </w:r>
      <w:r>
        <w:rPr>
          <w:rFonts w:hint="eastAsia"/>
          <w:sz w:val="32"/>
          <w:szCs w:val="32"/>
        </w:rPr>
        <w:t>。</w:t>
      </w:r>
      <w:r>
        <w:rPr>
          <w:rFonts w:hint="eastAsia"/>
          <w:sz w:val="32"/>
          <w:szCs w:val="32"/>
        </w:rPr>
        <w:t>为保障城区道路设施照明，确保公共照明设施安全、高效、稳定运行，本年度城区所有路灯综合亮灯率达</w:t>
      </w:r>
      <w:r>
        <w:rPr>
          <w:rFonts w:hint="eastAsia"/>
          <w:sz w:val="32"/>
          <w:szCs w:val="32"/>
        </w:rPr>
        <w:t>98%</w:t>
      </w:r>
      <w:r>
        <w:rPr>
          <w:rFonts w:hint="eastAsia"/>
          <w:sz w:val="32"/>
          <w:szCs w:val="32"/>
        </w:rPr>
        <w:t>。市民拨打相关热线电话报灯检修事故处</w:t>
      </w:r>
      <w:r>
        <w:rPr>
          <w:rFonts w:hint="eastAsia"/>
          <w:sz w:val="32"/>
          <w:szCs w:val="32"/>
        </w:rPr>
        <w:lastRenderedPageBreak/>
        <w:t>置率达到</w:t>
      </w:r>
      <w:r>
        <w:rPr>
          <w:rFonts w:hint="eastAsia"/>
          <w:sz w:val="32"/>
          <w:szCs w:val="32"/>
        </w:rPr>
        <w:t>100%</w:t>
      </w:r>
      <w:r>
        <w:rPr>
          <w:rFonts w:hint="eastAsia"/>
          <w:sz w:val="32"/>
          <w:szCs w:val="32"/>
        </w:rPr>
        <w:t>。</w:t>
      </w:r>
      <w:r>
        <w:rPr>
          <w:rFonts w:hint="eastAsia"/>
        </w:rPr>
        <w:t xml:space="preserve">          </w:t>
      </w:r>
    </w:p>
    <w:p w:rsidR="003F1872" w:rsidRDefault="003F1872">
      <w:pPr>
        <w:pStyle w:val="a0"/>
        <w:ind w:left="800"/>
      </w:pPr>
    </w:p>
    <w:p w:rsidR="003F1872" w:rsidRDefault="002B2395">
      <w:pPr>
        <w:pStyle w:val="a0"/>
        <w:spacing w:line="360" w:lineRule="auto"/>
        <w:ind w:left="800"/>
        <w:rPr>
          <w:sz w:val="32"/>
          <w:szCs w:val="32"/>
        </w:rPr>
      </w:pPr>
      <w:r>
        <w:rPr>
          <w:rFonts w:hint="eastAsia"/>
          <w:sz w:val="32"/>
          <w:szCs w:val="32"/>
        </w:rPr>
        <w:t>4</w:t>
      </w:r>
      <w:r>
        <w:rPr>
          <w:rFonts w:hint="eastAsia"/>
          <w:sz w:val="32"/>
          <w:szCs w:val="32"/>
        </w:rPr>
        <w:t>、资金投入和</w:t>
      </w:r>
      <w:r>
        <w:rPr>
          <w:rFonts w:hint="eastAsia"/>
          <w:sz w:val="32"/>
          <w:szCs w:val="32"/>
        </w:rPr>
        <w:t>使用情况：</w:t>
      </w:r>
    </w:p>
    <w:p w:rsidR="003F1872" w:rsidRDefault="002B2395">
      <w:pPr>
        <w:pStyle w:val="a0"/>
        <w:ind w:firstLineChars="400" w:firstLine="1280"/>
        <w:rPr>
          <w:sz w:val="32"/>
          <w:szCs w:val="32"/>
        </w:rPr>
      </w:pPr>
      <w:r>
        <w:rPr>
          <w:rFonts w:hint="eastAsia"/>
          <w:sz w:val="32"/>
          <w:szCs w:val="32"/>
        </w:rPr>
        <w:t>当年财政拨款</w:t>
      </w:r>
      <w:r>
        <w:rPr>
          <w:rFonts w:hint="eastAsia"/>
          <w:sz w:val="32"/>
          <w:szCs w:val="32"/>
        </w:rPr>
        <w:t>286</w:t>
      </w:r>
      <w:r>
        <w:rPr>
          <w:rFonts w:hint="eastAsia"/>
          <w:sz w:val="32"/>
          <w:szCs w:val="32"/>
        </w:rPr>
        <w:t>万元，</w:t>
      </w:r>
      <w:r>
        <w:rPr>
          <w:rFonts w:hint="eastAsia"/>
          <w:sz w:val="32"/>
          <w:szCs w:val="32"/>
        </w:rPr>
        <w:t>已使用</w:t>
      </w:r>
      <w:r>
        <w:rPr>
          <w:rFonts w:hint="eastAsia"/>
          <w:sz w:val="32"/>
          <w:szCs w:val="32"/>
        </w:rPr>
        <w:t>286</w:t>
      </w:r>
      <w:r>
        <w:rPr>
          <w:rFonts w:hint="eastAsia"/>
          <w:sz w:val="32"/>
          <w:szCs w:val="32"/>
        </w:rPr>
        <w:t>万元，</w:t>
      </w:r>
      <w:r>
        <w:rPr>
          <w:rFonts w:hint="eastAsia"/>
          <w:sz w:val="32"/>
          <w:szCs w:val="32"/>
        </w:rPr>
        <w:t>路灯日常维修材料采购、应聘人员工资、高空作业车保险保养维修油料费、日常管理支出</w:t>
      </w:r>
      <w:r>
        <w:rPr>
          <w:rFonts w:hint="eastAsia"/>
          <w:sz w:val="32"/>
          <w:szCs w:val="32"/>
        </w:rPr>
        <w:t>95.4</w:t>
      </w:r>
      <w:r>
        <w:rPr>
          <w:rFonts w:hint="eastAsia"/>
          <w:sz w:val="32"/>
          <w:szCs w:val="32"/>
        </w:rPr>
        <w:t>万元，路灯和亮化故障抢修、设施改造支出</w:t>
      </w:r>
      <w:r>
        <w:rPr>
          <w:rFonts w:hint="eastAsia"/>
          <w:sz w:val="32"/>
          <w:szCs w:val="32"/>
        </w:rPr>
        <w:t>190.6</w:t>
      </w:r>
      <w:r>
        <w:rPr>
          <w:rFonts w:hint="eastAsia"/>
          <w:sz w:val="32"/>
          <w:szCs w:val="32"/>
        </w:rPr>
        <w:t>万元。</w:t>
      </w:r>
      <w:r>
        <w:rPr>
          <w:rFonts w:hint="eastAsia"/>
          <w:sz w:val="32"/>
          <w:szCs w:val="32"/>
        </w:rPr>
        <w:t>年末无结余。</w:t>
      </w:r>
    </w:p>
    <w:p w:rsidR="003F1872" w:rsidRDefault="002B2395">
      <w:pPr>
        <w:ind w:firstLineChars="100" w:firstLine="320"/>
        <w:rPr>
          <w:sz w:val="32"/>
          <w:szCs w:val="40"/>
        </w:rPr>
      </w:pPr>
      <w:r>
        <w:rPr>
          <w:rFonts w:hint="eastAsia"/>
          <w:sz w:val="32"/>
          <w:szCs w:val="40"/>
        </w:rPr>
        <w:t>（二）项目绩效目标。</w:t>
      </w:r>
    </w:p>
    <w:p w:rsidR="003F1872" w:rsidRDefault="002B2395">
      <w:pPr>
        <w:pStyle w:val="a0"/>
        <w:spacing w:line="360" w:lineRule="auto"/>
        <w:rPr>
          <w:sz w:val="32"/>
          <w:szCs w:val="32"/>
        </w:rPr>
      </w:pPr>
      <w:r>
        <w:rPr>
          <w:rFonts w:hint="eastAsia"/>
          <w:sz w:val="32"/>
          <w:szCs w:val="32"/>
        </w:rPr>
        <w:t xml:space="preserve">     1</w:t>
      </w:r>
      <w:r>
        <w:rPr>
          <w:rFonts w:hint="eastAsia"/>
          <w:sz w:val="32"/>
          <w:szCs w:val="32"/>
        </w:rPr>
        <w:t>、总体</w:t>
      </w:r>
      <w:r>
        <w:rPr>
          <w:rFonts w:hint="eastAsia"/>
          <w:sz w:val="32"/>
          <w:szCs w:val="32"/>
        </w:rPr>
        <w:t>目标：</w:t>
      </w:r>
    </w:p>
    <w:p w:rsidR="003F1872" w:rsidRDefault="002B2395">
      <w:pPr>
        <w:ind w:firstLineChars="400" w:firstLine="1280"/>
      </w:pPr>
      <w:r>
        <w:rPr>
          <w:rFonts w:hint="eastAsia"/>
          <w:sz w:val="32"/>
          <w:szCs w:val="32"/>
        </w:rPr>
        <w:t>围绕“提质增效、绿色照明”的工作主体和目标，保障城区道路照明及公共亮化设施安全、高效、稳定的运行，达到美化、亮化城市，方便市民夜间出行及夜间道路的安全，提高社会公众的安全感及满足感。</w:t>
      </w:r>
    </w:p>
    <w:p w:rsidR="003F1872" w:rsidRDefault="002B2395">
      <w:pPr>
        <w:ind w:left="800"/>
        <w:rPr>
          <w:sz w:val="32"/>
          <w:szCs w:val="40"/>
        </w:rPr>
      </w:pPr>
      <w:r>
        <w:rPr>
          <w:rFonts w:hint="eastAsia"/>
          <w:sz w:val="32"/>
          <w:szCs w:val="40"/>
        </w:rPr>
        <w:t>2</w:t>
      </w:r>
      <w:r>
        <w:rPr>
          <w:rFonts w:hint="eastAsia"/>
          <w:sz w:val="32"/>
          <w:szCs w:val="40"/>
        </w:rPr>
        <w:t>、</w:t>
      </w:r>
      <w:r>
        <w:rPr>
          <w:rFonts w:hint="eastAsia"/>
          <w:sz w:val="32"/>
          <w:szCs w:val="40"/>
        </w:rPr>
        <w:t>阶段性目标：</w:t>
      </w:r>
    </w:p>
    <w:p w:rsidR="003F1872" w:rsidRDefault="002B2395">
      <w:pPr>
        <w:pStyle w:val="a0"/>
        <w:jc w:val="both"/>
      </w:pPr>
      <w:r>
        <w:rPr>
          <w:rFonts w:hint="eastAsia"/>
        </w:rPr>
        <w:t xml:space="preserve">             </w:t>
      </w:r>
      <w:r>
        <w:rPr>
          <w:rFonts w:hint="eastAsia"/>
          <w:sz w:val="32"/>
          <w:szCs w:val="32"/>
        </w:rPr>
        <w:t>通过对城区道路路灯、</w:t>
      </w:r>
      <w:r>
        <w:rPr>
          <w:rFonts w:hint="eastAsia"/>
          <w:sz w:val="32"/>
          <w:szCs w:val="40"/>
        </w:rPr>
        <w:t>灯杆、检修井、电缆、控制箱及路灯专用变压器以及城区亮化等设施的维护检修，采用主动巡查维护、预防性维护的方法，保质保量完成了年度管理维护工作。确保城区所有路灯及亮化设施的安全、高效、稳定运行。</w:t>
      </w:r>
    </w:p>
    <w:p w:rsidR="003F1872" w:rsidRDefault="002B2395">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3F1872" w:rsidRDefault="002B2395">
      <w:pPr>
        <w:ind w:firstLineChars="200" w:firstLine="640"/>
        <w:rPr>
          <w:sz w:val="32"/>
          <w:szCs w:val="40"/>
        </w:rPr>
      </w:pPr>
      <w:r>
        <w:rPr>
          <w:rFonts w:hint="eastAsia"/>
          <w:sz w:val="32"/>
          <w:szCs w:val="40"/>
        </w:rPr>
        <w:t>（一）绩效评价目的、对象和范围。</w:t>
      </w:r>
    </w:p>
    <w:p w:rsidR="003F1872" w:rsidRDefault="002B2395">
      <w:pPr>
        <w:pStyle w:val="a0"/>
        <w:spacing w:line="360" w:lineRule="auto"/>
        <w:rPr>
          <w:sz w:val="32"/>
          <w:szCs w:val="32"/>
        </w:rPr>
      </w:pPr>
      <w:r>
        <w:rPr>
          <w:rFonts w:hint="eastAsia"/>
          <w:sz w:val="32"/>
          <w:szCs w:val="32"/>
        </w:rPr>
        <w:t xml:space="preserve">   </w:t>
      </w:r>
      <w:r>
        <w:rPr>
          <w:rFonts w:hint="eastAsia"/>
          <w:sz w:val="32"/>
          <w:szCs w:val="32"/>
        </w:rPr>
        <w:t xml:space="preserve">  </w:t>
      </w:r>
      <w:r>
        <w:rPr>
          <w:rFonts w:hint="eastAsia"/>
          <w:sz w:val="32"/>
          <w:szCs w:val="32"/>
        </w:rPr>
        <w:t xml:space="preserve"> 1</w:t>
      </w:r>
      <w:r>
        <w:rPr>
          <w:rFonts w:hint="eastAsia"/>
          <w:sz w:val="32"/>
          <w:szCs w:val="32"/>
        </w:rPr>
        <w:t>、绩效评价目的：为全面实施预算绩效管理，规范预算支出绩效工作程序，提高财政资源配置效率和使用效益，对预算支出的经济性、效益性、效率性和公平性进行客观、公正的评判和分析。</w:t>
      </w:r>
    </w:p>
    <w:p w:rsidR="003F1872" w:rsidRDefault="002B2395">
      <w:pPr>
        <w:rPr>
          <w:rFonts w:ascii="仿宋" w:eastAsia="仿宋" w:hAnsi="仿宋"/>
          <w:sz w:val="32"/>
          <w:szCs w:val="32"/>
        </w:rPr>
      </w:pPr>
      <w:r>
        <w:rPr>
          <w:rFonts w:ascii="仿宋" w:eastAsia="仿宋" w:hAnsi="仿宋" w:hint="eastAsia"/>
          <w:sz w:val="36"/>
          <w:szCs w:val="36"/>
        </w:rPr>
        <w:lastRenderedPageBreak/>
        <w:t xml:space="preserve"> </w:t>
      </w:r>
      <w:r>
        <w:rPr>
          <w:rFonts w:hint="eastAsia"/>
          <w:sz w:val="32"/>
          <w:szCs w:val="40"/>
        </w:rPr>
        <w:t xml:space="preserve">   </w:t>
      </w:r>
      <w:r>
        <w:rPr>
          <w:rFonts w:hint="eastAsia"/>
          <w:sz w:val="32"/>
          <w:szCs w:val="40"/>
        </w:rPr>
        <w:t xml:space="preserve"> </w:t>
      </w:r>
      <w:r>
        <w:rPr>
          <w:rFonts w:hint="eastAsia"/>
          <w:sz w:val="32"/>
          <w:szCs w:val="40"/>
        </w:rPr>
        <w:t>2</w:t>
      </w:r>
      <w:r>
        <w:rPr>
          <w:rFonts w:hint="eastAsia"/>
          <w:sz w:val="32"/>
          <w:szCs w:val="40"/>
        </w:rPr>
        <w:t>、绩效评价对象：</w:t>
      </w:r>
      <w:r>
        <w:rPr>
          <w:rFonts w:hint="eastAsia"/>
          <w:sz w:val="32"/>
          <w:szCs w:val="40"/>
        </w:rPr>
        <w:t>2023</w:t>
      </w:r>
      <w:r>
        <w:rPr>
          <w:rFonts w:hint="eastAsia"/>
          <w:sz w:val="32"/>
          <w:szCs w:val="40"/>
        </w:rPr>
        <w:t>年度市政公用设施服务中心路灯管理及维护专项费用支出</w:t>
      </w:r>
    </w:p>
    <w:p w:rsidR="003F1872" w:rsidRDefault="002B2395">
      <w:pPr>
        <w:pStyle w:val="a0"/>
        <w:spacing w:line="360" w:lineRule="auto"/>
        <w:ind w:firstLineChars="150" w:firstLine="480"/>
        <w:rPr>
          <w:sz w:val="32"/>
          <w:szCs w:val="32"/>
        </w:rPr>
      </w:pPr>
      <w:r>
        <w:rPr>
          <w:rFonts w:hint="eastAsia"/>
          <w:sz w:val="32"/>
          <w:szCs w:val="32"/>
        </w:rPr>
        <w:t xml:space="preserve"> </w:t>
      </w:r>
      <w:r>
        <w:rPr>
          <w:rFonts w:hint="eastAsia"/>
          <w:sz w:val="32"/>
          <w:szCs w:val="32"/>
        </w:rPr>
        <w:t xml:space="preserve"> </w:t>
      </w:r>
      <w:r>
        <w:rPr>
          <w:rFonts w:hint="eastAsia"/>
          <w:sz w:val="32"/>
          <w:szCs w:val="32"/>
        </w:rPr>
        <w:t>3</w:t>
      </w:r>
      <w:r>
        <w:rPr>
          <w:rFonts w:hint="eastAsia"/>
          <w:sz w:val="32"/>
          <w:szCs w:val="32"/>
        </w:rPr>
        <w:t>、绩效评价范围：</w:t>
      </w:r>
      <w:r>
        <w:rPr>
          <w:rFonts w:hint="eastAsia"/>
          <w:sz w:val="32"/>
          <w:szCs w:val="32"/>
          <w:shd w:val="clear" w:color="auto" w:fill="FFFFFF"/>
        </w:rPr>
        <w:t>主要包括预算支出总体绩效目标、各项绩效指标完成情况以及预算执行情况。对未完成绩效目标或偏离绩效目标较大的预算支出要分析并说明原因，研究提出改进措施。</w:t>
      </w:r>
    </w:p>
    <w:p w:rsidR="003F1872" w:rsidRDefault="002B2395">
      <w:pPr>
        <w:ind w:firstLineChars="100" w:firstLine="320"/>
        <w:rPr>
          <w:sz w:val="32"/>
          <w:szCs w:val="40"/>
        </w:rPr>
      </w:pPr>
      <w:r>
        <w:rPr>
          <w:rFonts w:hint="eastAsia"/>
          <w:sz w:val="32"/>
          <w:szCs w:val="56"/>
        </w:rPr>
        <w:t>（二）绩效评价原则、评价指标体系（附表说明）、评价方法、评价标准等。</w:t>
      </w:r>
    </w:p>
    <w:p w:rsidR="003F1872" w:rsidRDefault="002B2395">
      <w:pPr>
        <w:rPr>
          <w:sz w:val="32"/>
          <w:szCs w:val="40"/>
        </w:rPr>
      </w:pPr>
      <w:r>
        <w:rPr>
          <w:rFonts w:hint="eastAsia"/>
          <w:sz w:val="32"/>
          <w:szCs w:val="40"/>
        </w:rPr>
        <w:t xml:space="preserve">   </w:t>
      </w:r>
      <w:r>
        <w:rPr>
          <w:rFonts w:hint="eastAsia"/>
          <w:sz w:val="32"/>
          <w:szCs w:val="40"/>
        </w:rPr>
        <w:t xml:space="preserve"> </w:t>
      </w:r>
      <w:r>
        <w:rPr>
          <w:rFonts w:hint="eastAsia"/>
          <w:sz w:val="32"/>
          <w:szCs w:val="40"/>
        </w:rPr>
        <w:t xml:space="preserve"> 1</w:t>
      </w:r>
      <w:r>
        <w:rPr>
          <w:rFonts w:hint="eastAsia"/>
          <w:sz w:val="32"/>
          <w:szCs w:val="40"/>
        </w:rPr>
        <w:t>、</w:t>
      </w:r>
      <w:r>
        <w:rPr>
          <w:rFonts w:hint="eastAsia"/>
          <w:sz w:val="32"/>
          <w:szCs w:val="40"/>
        </w:rPr>
        <w:t xml:space="preserve"> </w:t>
      </w:r>
      <w:r>
        <w:rPr>
          <w:rFonts w:hint="eastAsia"/>
          <w:sz w:val="32"/>
          <w:szCs w:val="40"/>
        </w:rPr>
        <w:t>绩效评价原则</w:t>
      </w:r>
    </w:p>
    <w:p w:rsidR="003F1872" w:rsidRDefault="002B2395">
      <w:pPr>
        <w:ind w:firstLineChars="200" w:firstLine="640"/>
        <w:rPr>
          <w:sz w:val="32"/>
          <w:szCs w:val="40"/>
        </w:rPr>
      </w:pPr>
      <w:r>
        <w:rPr>
          <w:rFonts w:hint="eastAsia"/>
          <w:sz w:val="32"/>
          <w:szCs w:val="40"/>
        </w:rPr>
        <w:t>（</w:t>
      </w:r>
      <w:r>
        <w:rPr>
          <w:rFonts w:hint="eastAsia"/>
          <w:sz w:val="32"/>
          <w:szCs w:val="40"/>
        </w:rPr>
        <w:t>1</w:t>
      </w:r>
      <w:r>
        <w:rPr>
          <w:rFonts w:hint="eastAsia"/>
          <w:sz w:val="32"/>
          <w:szCs w:val="40"/>
        </w:rPr>
        <w:t>）科学公正。绩效评价应当运用科学合理的方法，按照规范的程序，对预算支出绩效评价进行客观、公正的反映。</w:t>
      </w:r>
    </w:p>
    <w:p w:rsidR="003F1872" w:rsidRDefault="002B2395">
      <w:pPr>
        <w:ind w:firstLineChars="200" w:firstLine="640"/>
        <w:rPr>
          <w:sz w:val="32"/>
          <w:szCs w:val="40"/>
        </w:rPr>
      </w:pPr>
      <w:r>
        <w:rPr>
          <w:rFonts w:hint="eastAsia"/>
          <w:sz w:val="32"/>
          <w:szCs w:val="40"/>
        </w:rPr>
        <w:t>（</w:t>
      </w:r>
      <w:r>
        <w:rPr>
          <w:rFonts w:hint="eastAsia"/>
          <w:sz w:val="32"/>
          <w:szCs w:val="40"/>
        </w:rPr>
        <w:t>2</w:t>
      </w:r>
      <w:r>
        <w:rPr>
          <w:rFonts w:hint="eastAsia"/>
          <w:sz w:val="32"/>
          <w:szCs w:val="40"/>
        </w:rPr>
        <w:t>）统筹兼顾。单位自评应由项目实施单位自主实施，即“谁支出、谁自评”。</w:t>
      </w:r>
    </w:p>
    <w:p w:rsidR="003F1872" w:rsidRDefault="002B2395">
      <w:pPr>
        <w:ind w:firstLineChars="200" w:firstLine="640"/>
        <w:rPr>
          <w:sz w:val="32"/>
          <w:szCs w:val="40"/>
        </w:rPr>
      </w:pPr>
      <w:r>
        <w:rPr>
          <w:rFonts w:hint="eastAsia"/>
          <w:sz w:val="32"/>
          <w:szCs w:val="40"/>
        </w:rPr>
        <w:t>（</w:t>
      </w:r>
      <w:r>
        <w:rPr>
          <w:rFonts w:hint="eastAsia"/>
          <w:sz w:val="32"/>
          <w:szCs w:val="40"/>
        </w:rPr>
        <w:t>3</w:t>
      </w:r>
      <w:r>
        <w:rPr>
          <w:rFonts w:hint="eastAsia"/>
          <w:sz w:val="32"/>
          <w:szCs w:val="40"/>
        </w:rPr>
        <w:t>）激励约束。绩效评价结果应与预算安排、政策调整、改进管理实质性挂钩，体现奖优罚劣和激励相容导向，高效要重点保障、低效要压减整合、无效要追责问责。</w:t>
      </w:r>
    </w:p>
    <w:p w:rsidR="003F1872" w:rsidRDefault="002B2395">
      <w:pPr>
        <w:ind w:firstLineChars="200" w:firstLine="640"/>
        <w:rPr>
          <w:sz w:val="32"/>
          <w:szCs w:val="40"/>
        </w:rPr>
      </w:pPr>
      <w:r>
        <w:rPr>
          <w:rFonts w:hint="eastAsia"/>
          <w:sz w:val="32"/>
          <w:szCs w:val="40"/>
        </w:rPr>
        <w:t>（</w:t>
      </w:r>
      <w:r>
        <w:rPr>
          <w:rFonts w:hint="eastAsia"/>
          <w:sz w:val="32"/>
          <w:szCs w:val="40"/>
        </w:rPr>
        <w:t>4</w:t>
      </w:r>
      <w:r>
        <w:rPr>
          <w:rFonts w:hint="eastAsia"/>
          <w:sz w:val="32"/>
          <w:szCs w:val="40"/>
        </w:rPr>
        <w:t>）公开透明。绩效评价结果应依法依规公开，并自觉接受社会监督。</w:t>
      </w:r>
    </w:p>
    <w:p w:rsidR="003F1872" w:rsidRDefault="002B2395">
      <w:pPr>
        <w:ind w:firstLineChars="200" w:firstLine="640"/>
        <w:rPr>
          <w:sz w:val="32"/>
          <w:szCs w:val="40"/>
        </w:rPr>
      </w:pPr>
      <w:r>
        <w:rPr>
          <w:rFonts w:hint="eastAsia"/>
          <w:sz w:val="32"/>
          <w:szCs w:val="40"/>
        </w:rPr>
        <w:t>2</w:t>
      </w:r>
      <w:r>
        <w:rPr>
          <w:rFonts w:hint="eastAsia"/>
          <w:sz w:val="32"/>
          <w:szCs w:val="40"/>
        </w:rPr>
        <w:t>、评价方法：成本效益分析法</w:t>
      </w:r>
    </w:p>
    <w:p w:rsidR="003F1872" w:rsidRDefault="002B2395">
      <w:pPr>
        <w:ind w:firstLineChars="200" w:firstLine="640"/>
        <w:rPr>
          <w:sz w:val="32"/>
          <w:szCs w:val="40"/>
        </w:rPr>
      </w:pPr>
      <w:r>
        <w:rPr>
          <w:rFonts w:hint="eastAsia"/>
          <w:sz w:val="32"/>
          <w:szCs w:val="40"/>
        </w:rPr>
        <w:t>3</w:t>
      </w:r>
      <w:r>
        <w:rPr>
          <w:rFonts w:hint="eastAsia"/>
          <w:sz w:val="32"/>
          <w:szCs w:val="40"/>
        </w:rPr>
        <w:t>、评价标准：计划标准法</w:t>
      </w:r>
    </w:p>
    <w:p w:rsidR="003F1872" w:rsidRDefault="002B2395">
      <w:pPr>
        <w:ind w:firstLineChars="100" w:firstLine="320"/>
        <w:rPr>
          <w:sz w:val="32"/>
          <w:szCs w:val="40"/>
        </w:rPr>
      </w:pPr>
      <w:r>
        <w:rPr>
          <w:rFonts w:hint="eastAsia"/>
          <w:sz w:val="32"/>
          <w:szCs w:val="40"/>
        </w:rPr>
        <w:lastRenderedPageBreak/>
        <w:t>（三）绩效评价工作过程。</w:t>
      </w:r>
    </w:p>
    <w:p w:rsidR="003F1872" w:rsidRDefault="002B2395">
      <w:pPr>
        <w:ind w:firstLineChars="200" w:firstLine="640"/>
        <w:rPr>
          <w:sz w:val="32"/>
          <w:szCs w:val="40"/>
        </w:rPr>
      </w:pPr>
      <w:r>
        <w:rPr>
          <w:rFonts w:hint="eastAsia"/>
          <w:sz w:val="32"/>
          <w:szCs w:val="40"/>
        </w:rPr>
        <w:t>1</w:t>
      </w:r>
      <w:r>
        <w:rPr>
          <w:rFonts w:hint="eastAsia"/>
          <w:sz w:val="32"/>
          <w:szCs w:val="40"/>
        </w:rPr>
        <w:t>、做好评价前准备。包括选定评价对象、成立评价小组、选定参评专家、制定评价工作方案、下达评价通知等。</w:t>
      </w:r>
    </w:p>
    <w:p w:rsidR="003F1872" w:rsidRDefault="002B2395">
      <w:pPr>
        <w:ind w:firstLineChars="200" w:firstLine="640"/>
        <w:rPr>
          <w:sz w:val="32"/>
          <w:szCs w:val="40"/>
        </w:rPr>
      </w:pPr>
      <w:r>
        <w:rPr>
          <w:rFonts w:hint="eastAsia"/>
          <w:sz w:val="32"/>
          <w:szCs w:val="40"/>
        </w:rPr>
        <w:t>2</w:t>
      </w:r>
      <w:r>
        <w:rPr>
          <w:rFonts w:hint="eastAsia"/>
          <w:sz w:val="32"/>
          <w:szCs w:val="40"/>
        </w:rPr>
        <w:t>、实施绩效评价。被评价对象自评，现场评价，综合分析评价等</w:t>
      </w:r>
    </w:p>
    <w:p w:rsidR="003F1872" w:rsidRDefault="002B2395">
      <w:pPr>
        <w:pStyle w:val="a0"/>
        <w:spacing w:line="360" w:lineRule="auto"/>
        <w:ind w:firstLineChars="200" w:firstLine="640"/>
        <w:rPr>
          <w:sz w:val="32"/>
          <w:szCs w:val="32"/>
        </w:rPr>
      </w:pPr>
      <w:r>
        <w:rPr>
          <w:rFonts w:hint="eastAsia"/>
          <w:sz w:val="32"/>
          <w:szCs w:val="32"/>
        </w:rPr>
        <w:t>3</w:t>
      </w:r>
      <w:r>
        <w:rPr>
          <w:rFonts w:hint="eastAsia"/>
          <w:sz w:val="32"/>
          <w:szCs w:val="32"/>
        </w:rPr>
        <w:t>、形成评价报告。撰写初步报告，完善绩效评价报告，提交正式评价报告</w:t>
      </w:r>
    </w:p>
    <w:p w:rsidR="003F1872" w:rsidRDefault="002B2395">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3F1872" w:rsidRDefault="002B2395">
      <w:pPr>
        <w:pStyle w:val="a0"/>
        <w:spacing w:line="360" w:lineRule="auto"/>
        <w:ind w:firstLineChars="400" w:firstLine="1280"/>
        <w:rPr>
          <w:sz w:val="32"/>
          <w:szCs w:val="32"/>
        </w:rPr>
      </w:pPr>
      <w:r>
        <w:rPr>
          <w:rFonts w:hint="eastAsia"/>
          <w:sz w:val="32"/>
          <w:szCs w:val="32"/>
        </w:rPr>
        <w:t>2023</w:t>
      </w:r>
      <w:r>
        <w:rPr>
          <w:rFonts w:hint="eastAsia"/>
          <w:sz w:val="32"/>
          <w:szCs w:val="32"/>
        </w:rPr>
        <w:t>年度</w:t>
      </w:r>
      <w:r>
        <w:rPr>
          <w:rFonts w:hint="eastAsia"/>
          <w:sz w:val="32"/>
          <w:szCs w:val="32"/>
        </w:rPr>
        <w:t>市政公用设施服务中心路灯管理及维护</w:t>
      </w:r>
      <w:r>
        <w:rPr>
          <w:rFonts w:hint="eastAsia"/>
          <w:sz w:val="32"/>
          <w:szCs w:val="32"/>
        </w:rPr>
        <w:t>专项</w:t>
      </w:r>
      <w:r>
        <w:rPr>
          <w:rFonts w:hint="eastAsia"/>
          <w:sz w:val="32"/>
          <w:szCs w:val="32"/>
        </w:rPr>
        <w:t>费用支出</w:t>
      </w:r>
      <w:r>
        <w:rPr>
          <w:rFonts w:hint="eastAsia"/>
          <w:sz w:val="32"/>
          <w:szCs w:val="32"/>
        </w:rPr>
        <w:t>绩效评价综合得分</w:t>
      </w:r>
      <w:r>
        <w:rPr>
          <w:rFonts w:hint="eastAsia"/>
          <w:sz w:val="32"/>
          <w:szCs w:val="32"/>
        </w:rPr>
        <w:t>100</w:t>
      </w:r>
      <w:r>
        <w:rPr>
          <w:rFonts w:hint="eastAsia"/>
          <w:sz w:val="32"/>
          <w:szCs w:val="32"/>
        </w:rPr>
        <w:t>份，得分等级：优。</w:t>
      </w:r>
    </w:p>
    <w:p w:rsidR="003F1872" w:rsidRDefault="002B2395">
      <w:pPr>
        <w:ind w:firstLineChars="100" w:firstLine="320"/>
        <w:rPr>
          <w:sz w:val="32"/>
          <w:szCs w:val="40"/>
        </w:rPr>
      </w:pPr>
      <w:r>
        <w:rPr>
          <w:rFonts w:hint="eastAsia"/>
          <w:sz w:val="32"/>
          <w:szCs w:val="40"/>
        </w:rPr>
        <w:t>四、绩效评价指标分析</w:t>
      </w:r>
    </w:p>
    <w:p w:rsidR="003F1872" w:rsidRDefault="002B2395">
      <w:pPr>
        <w:ind w:firstLineChars="100" w:firstLine="320"/>
        <w:rPr>
          <w:rFonts w:ascii="仿宋" w:eastAsia="仿宋" w:hAnsi="仿宋"/>
          <w:szCs w:val="32"/>
        </w:rPr>
      </w:pPr>
      <w:r>
        <w:rPr>
          <w:rFonts w:hint="eastAsia"/>
          <w:sz w:val="32"/>
          <w:szCs w:val="40"/>
        </w:rPr>
        <w:t>（一）项目决策情况。</w:t>
      </w:r>
    </w:p>
    <w:p w:rsidR="003F1872" w:rsidRDefault="002B2395">
      <w:pPr>
        <w:pStyle w:val="a0"/>
        <w:spacing w:line="360" w:lineRule="auto"/>
        <w:rPr>
          <w:sz w:val="32"/>
          <w:szCs w:val="32"/>
        </w:rPr>
      </w:pPr>
      <w:r>
        <w:rPr>
          <w:rFonts w:hint="eastAsia"/>
          <w:sz w:val="32"/>
          <w:szCs w:val="32"/>
        </w:rPr>
        <w:t xml:space="preserve">      </w:t>
      </w:r>
      <w:r>
        <w:rPr>
          <w:rFonts w:hint="eastAsia"/>
          <w:sz w:val="32"/>
          <w:szCs w:val="32"/>
        </w:rPr>
        <w:t>项目立项规范、绩效目标合理、绩效指标明确、资金到位率和及时率</w:t>
      </w:r>
      <w:r>
        <w:rPr>
          <w:rFonts w:hint="eastAsia"/>
          <w:sz w:val="32"/>
          <w:szCs w:val="32"/>
        </w:rPr>
        <w:t>100%</w:t>
      </w:r>
      <w:r>
        <w:rPr>
          <w:rFonts w:hint="eastAsia"/>
          <w:sz w:val="32"/>
          <w:szCs w:val="32"/>
        </w:rPr>
        <w:t>。</w:t>
      </w:r>
    </w:p>
    <w:p w:rsidR="003F1872" w:rsidRDefault="002B2395">
      <w:pPr>
        <w:ind w:firstLineChars="100" w:firstLine="320"/>
        <w:rPr>
          <w:sz w:val="32"/>
          <w:szCs w:val="40"/>
        </w:rPr>
      </w:pPr>
      <w:r>
        <w:rPr>
          <w:rFonts w:hint="eastAsia"/>
          <w:sz w:val="32"/>
          <w:szCs w:val="40"/>
        </w:rPr>
        <w:t>（二）项目过程情况。</w:t>
      </w:r>
    </w:p>
    <w:p w:rsidR="003F1872" w:rsidRDefault="002B2395">
      <w:pPr>
        <w:pStyle w:val="a0"/>
        <w:spacing w:line="360" w:lineRule="auto"/>
        <w:rPr>
          <w:sz w:val="32"/>
          <w:szCs w:val="32"/>
        </w:rPr>
      </w:pPr>
      <w:r>
        <w:rPr>
          <w:rFonts w:hint="eastAsia"/>
          <w:sz w:val="32"/>
          <w:szCs w:val="32"/>
        </w:rPr>
        <w:t xml:space="preserve">      </w:t>
      </w:r>
      <w:r>
        <w:rPr>
          <w:rFonts w:hint="eastAsia"/>
          <w:sz w:val="32"/>
          <w:szCs w:val="32"/>
        </w:rPr>
        <w:t>管理制度健全、制度执行有效、项目质量可控、资金使用合规、财务监控有效。</w:t>
      </w:r>
    </w:p>
    <w:p w:rsidR="003F1872" w:rsidRDefault="002B2395">
      <w:pPr>
        <w:ind w:firstLineChars="100" w:firstLine="320"/>
      </w:pPr>
      <w:r>
        <w:rPr>
          <w:rFonts w:hint="eastAsia"/>
          <w:sz w:val="32"/>
          <w:szCs w:val="32"/>
        </w:rPr>
        <w:t>（三）项目产出情</w:t>
      </w:r>
      <w:r>
        <w:rPr>
          <w:rFonts w:hint="eastAsia"/>
          <w:sz w:val="32"/>
          <w:szCs w:val="40"/>
        </w:rPr>
        <w:t>况。</w:t>
      </w:r>
    </w:p>
    <w:p w:rsidR="003F1872" w:rsidRDefault="002B2395">
      <w:pPr>
        <w:pStyle w:val="a0"/>
        <w:spacing w:line="360" w:lineRule="auto"/>
        <w:ind w:firstLineChars="300" w:firstLine="960"/>
        <w:rPr>
          <w:sz w:val="32"/>
          <w:szCs w:val="32"/>
        </w:rPr>
      </w:pPr>
      <w:r>
        <w:rPr>
          <w:rFonts w:hint="eastAsia"/>
          <w:sz w:val="32"/>
          <w:szCs w:val="32"/>
        </w:rPr>
        <w:t>实际完成率、完成及时率、质量达标率、成本节约率均为</w:t>
      </w:r>
      <w:r>
        <w:rPr>
          <w:rFonts w:hint="eastAsia"/>
          <w:sz w:val="32"/>
          <w:szCs w:val="32"/>
        </w:rPr>
        <w:t>100%</w:t>
      </w:r>
      <w:r>
        <w:rPr>
          <w:rFonts w:hint="eastAsia"/>
          <w:sz w:val="32"/>
          <w:szCs w:val="32"/>
        </w:rPr>
        <w:t>。</w:t>
      </w:r>
    </w:p>
    <w:p w:rsidR="003F1872" w:rsidRDefault="002B2395">
      <w:pPr>
        <w:ind w:firstLineChars="100" w:firstLine="320"/>
        <w:rPr>
          <w:sz w:val="32"/>
          <w:szCs w:val="40"/>
        </w:rPr>
      </w:pPr>
      <w:r>
        <w:rPr>
          <w:rFonts w:hint="eastAsia"/>
          <w:sz w:val="32"/>
          <w:szCs w:val="40"/>
        </w:rPr>
        <w:lastRenderedPageBreak/>
        <w:t>（四）项目效益情况。</w:t>
      </w:r>
    </w:p>
    <w:p w:rsidR="003F1872" w:rsidRDefault="002B2395">
      <w:pPr>
        <w:spacing w:line="610" w:lineRule="exact"/>
        <w:ind w:firstLineChars="300" w:firstLine="960"/>
        <w:rPr>
          <w:sz w:val="32"/>
          <w:szCs w:val="32"/>
        </w:rPr>
      </w:pPr>
      <w:r>
        <w:rPr>
          <w:rFonts w:hint="eastAsia"/>
          <w:sz w:val="32"/>
          <w:szCs w:val="32"/>
        </w:rPr>
        <w:t>经济效益、社会效益、生态效益、可持续影响、社会公众或服务对象满意度均为</w:t>
      </w:r>
      <w:r>
        <w:rPr>
          <w:rFonts w:hint="eastAsia"/>
          <w:sz w:val="32"/>
          <w:szCs w:val="32"/>
        </w:rPr>
        <w:t>优</w:t>
      </w:r>
    </w:p>
    <w:p w:rsidR="003F1872" w:rsidRDefault="002B2395">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五、主要经验及做法、存在的问题及原因分析</w:t>
      </w:r>
      <w:r>
        <w:rPr>
          <w:rFonts w:ascii="黑体" w:eastAsia="黑体" w:hAnsi="黑体" w:cs="黑体" w:hint="eastAsia"/>
          <w:sz w:val="32"/>
          <w:szCs w:val="32"/>
        </w:rPr>
        <w:t>（</w:t>
      </w:r>
      <w:r>
        <w:rPr>
          <w:rFonts w:ascii="黑体" w:eastAsia="黑体" w:hAnsi="黑体" w:cs="黑体" w:hint="eastAsia"/>
          <w:sz w:val="32"/>
          <w:szCs w:val="32"/>
        </w:rPr>
        <w:t>无）</w:t>
      </w:r>
    </w:p>
    <w:p w:rsidR="003F1872" w:rsidRDefault="002B2395">
      <w:pPr>
        <w:widowControl/>
        <w:spacing w:line="610" w:lineRule="exact"/>
        <w:ind w:firstLineChars="100" w:firstLine="320"/>
        <w:rPr>
          <w:rFonts w:ascii="黑体" w:eastAsia="黑体" w:hAnsi="黑体" w:cs="黑体"/>
          <w:sz w:val="32"/>
          <w:szCs w:val="32"/>
        </w:rPr>
      </w:pPr>
      <w:bookmarkStart w:id="0" w:name="_GoBack"/>
      <w:bookmarkEnd w:id="0"/>
      <w:r>
        <w:rPr>
          <w:rFonts w:ascii="黑体" w:eastAsia="黑体" w:hAnsi="黑体" w:cs="黑体" w:hint="eastAsia"/>
          <w:sz w:val="32"/>
          <w:szCs w:val="32"/>
        </w:rPr>
        <w:t>六</w:t>
      </w:r>
      <w:r>
        <w:rPr>
          <w:rFonts w:ascii="黑体" w:eastAsia="黑体" w:hAnsi="黑体" w:cs="黑体" w:hint="eastAsia"/>
          <w:sz w:val="32"/>
          <w:szCs w:val="32"/>
        </w:rPr>
        <w:t>、其他需要说明的问题</w:t>
      </w:r>
      <w:r>
        <w:rPr>
          <w:rFonts w:ascii="黑体" w:eastAsia="黑体" w:hAnsi="黑体" w:cs="黑体" w:hint="eastAsia"/>
          <w:sz w:val="32"/>
          <w:szCs w:val="32"/>
        </w:rPr>
        <w:t>（</w:t>
      </w:r>
      <w:r>
        <w:rPr>
          <w:rFonts w:ascii="黑体" w:eastAsia="黑体" w:hAnsi="黑体" w:cs="黑体" w:hint="eastAsia"/>
          <w:sz w:val="32"/>
          <w:szCs w:val="32"/>
        </w:rPr>
        <w:t>无）</w:t>
      </w:r>
    </w:p>
    <w:p w:rsidR="003F1872" w:rsidRDefault="002B2395">
      <w:pPr>
        <w:rPr>
          <w:rFonts w:ascii="黑体" w:eastAsia="黑体" w:hAnsi="黑体" w:cs="黑体"/>
          <w:sz w:val="30"/>
          <w:szCs w:val="30"/>
        </w:rPr>
      </w:pPr>
      <w:r>
        <w:rPr>
          <w:rFonts w:ascii="黑体" w:eastAsia="黑体" w:hAnsi="黑体" w:cs="黑体" w:hint="eastAsia"/>
          <w:sz w:val="30"/>
          <w:szCs w:val="30"/>
        </w:rPr>
        <w:br w:type="page"/>
      </w:r>
    </w:p>
    <w:p w:rsidR="003F1872" w:rsidRDefault="002B2395">
      <w:pPr>
        <w:spacing w:before="181" w:line="171"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附件</w:t>
      </w:r>
      <w:r>
        <w:rPr>
          <w:rFonts w:ascii="仿宋_GB2312" w:eastAsia="仿宋_GB2312" w:hAnsi="仿宋_GB2312" w:cs="仿宋_GB2312" w:hint="eastAsia"/>
          <w:sz w:val="32"/>
          <w:szCs w:val="32"/>
        </w:rPr>
        <w:t>6</w:t>
      </w:r>
    </w:p>
    <w:p w:rsidR="003F1872" w:rsidRDefault="002B2395" w:rsidP="006438D1">
      <w:pPr>
        <w:spacing w:afterLines="50" w:line="58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2023</w:t>
      </w:r>
      <w:r>
        <w:rPr>
          <w:rFonts w:ascii="方正小标宋简体" w:eastAsia="方正小标宋简体" w:hAnsi="方正小标宋简体" w:cs="方正小标宋简体" w:hint="eastAsia"/>
          <w:spacing w:val="7"/>
          <w:sz w:val="44"/>
          <w:szCs w:val="44"/>
        </w:rPr>
        <w:t>年度项目支出绩效自评表</w:t>
      </w:r>
    </w:p>
    <w:tbl>
      <w:tblPr>
        <w:tblStyle w:val="TableNormal"/>
        <w:tblW w:w="5056"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896"/>
        <w:gridCol w:w="896"/>
        <w:gridCol w:w="1125"/>
        <w:gridCol w:w="938"/>
        <w:gridCol w:w="989"/>
        <w:gridCol w:w="1134"/>
        <w:gridCol w:w="592"/>
        <w:gridCol w:w="697"/>
        <w:gridCol w:w="1337"/>
      </w:tblGrid>
      <w:tr w:rsidR="003F1872">
        <w:trPr>
          <w:trHeight w:val="522"/>
        </w:trPr>
        <w:tc>
          <w:tcPr>
            <w:tcW w:w="1694" w:type="pct"/>
            <w:gridSpan w:val="3"/>
            <w:vAlign w:val="center"/>
          </w:tcPr>
          <w:p w:rsidR="003F1872" w:rsidRDefault="002B2395">
            <w:pPr>
              <w:jc w:val="center"/>
              <w:rPr>
                <w:rFonts w:ascii="黑体" w:eastAsia="黑体" w:hAnsi="黑体" w:cs="黑体"/>
                <w:szCs w:val="21"/>
              </w:rPr>
            </w:pPr>
            <w:r>
              <w:rPr>
                <w:rFonts w:ascii="黑体" w:eastAsia="黑体" w:hAnsi="黑体" w:cs="黑体" w:hint="eastAsia"/>
                <w:szCs w:val="21"/>
              </w:rPr>
              <w:t>项目支出名称</w:t>
            </w:r>
          </w:p>
        </w:tc>
        <w:tc>
          <w:tcPr>
            <w:tcW w:w="3305" w:type="pct"/>
            <w:gridSpan w:val="6"/>
            <w:vAlign w:val="center"/>
          </w:tcPr>
          <w:p w:rsidR="003F1872" w:rsidRDefault="002B2395">
            <w:pPr>
              <w:jc w:val="center"/>
              <w:rPr>
                <w:rFonts w:ascii="黑体" w:eastAsia="黑体" w:hAnsi="黑体" w:cs="黑体"/>
                <w:szCs w:val="21"/>
              </w:rPr>
            </w:pPr>
            <w:r>
              <w:rPr>
                <w:rFonts w:ascii="黑体" w:eastAsia="黑体" w:hAnsi="黑体" w:cs="黑体" w:hint="eastAsia"/>
                <w:szCs w:val="21"/>
              </w:rPr>
              <w:t>市政公用设施服务中心路灯管理及维护费</w:t>
            </w:r>
          </w:p>
        </w:tc>
      </w:tr>
      <w:tr w:rsidR="003F1872">
        <w:trPr>
          <w:trHeight w:val="522"/>
        </w:trPr>
        <w:tc>
          <w:tcPr>
            <w:tcW w:w="520"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主管</w:t>
            </w:r>
          </w:p>
          <w:p w:rsidR="003F1872" w:rsidRDefault="002B2395">
            <w:pPr>
              <w:jc w:val="center"/>
              <w:rPr>
                <w:rFonts w:ascii="黑体" w:eastAsia="黑体" w:hAnsi="黑体" w:cs="黑体"/>
                <w:szCs w:val="21"/>
              </w:rPr>
            </w:pPr>
            <w:r>
              <w:rPr>
                <w:rFonts w:ascii="黑体" w:eastAsia="黑体" w:hAnsi="黑体" w:cs="黑体" w:hint="eastAsia"/>
                <w:szCs w:val="21"/>
              </w:rPr>
              <w:t>部门</w:t>
            </w:r>
          </w:p>
        </w:tc>
        <w:tc>
          <w:tcPr>
            <w:tcW w:w="2294" w:type="pct"/>
            <w:gridSpan w:val="4"/>
            <w:vAlign w:val="center"/>
          </w:tcPr>
          <w:p w:rsidR="003F1872" w:rsidRDefault="002B2395">
            <w:pPr>
              <w:jc w:val="center"/>
              <w:rPr>
                <w:rFonts w:ascii="黑体" w:eastAsia="黑体" w:hAnsi="黑体" w:cs="黑体"/>
                <w:szCs w:val="21"/>
              </w:rPr>
            </w:pPr>
            <w:r>
              <w:rPr>
                <w:rFonts w:ascii="黑体" w:eastAsia="黑体" w:hAnsi="黑体" w:cs="黑体" w:hint="eastAsia"/>
                <w:szCs w:val="21"/>
              </w:rPr>
              <w:t>华容县城市管理和综合执法局</w:t>
            </w:r>
          </w:p>
        </w:tc>
        <w:tc>
          <w:tcPr>
            <w:tcW w:w="658"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实施单位</w:t>
            </w:r>
          </w:p>
        </w:tc>
        <w:tc>
          <w:tcPr>
            <w:tcW w:w="1526" w:type="pct"/>
            <w:gridSpan w:val="3"/>
            <w:vAlign w:val="center"/>
          </w:tcPr>
          <w:p w:rsidR="003F1872" w:rsidRDefault="002B2395">
            <w:pPr>
              <w:jc w:val="center"/>
              <w:rPr>
                <w:rFonts w:ascii="黑体" w:eastAsia="黑体" w:hAnsi="黑体" w:cs="黑体"/>
                <w:szCs w:val="21"/>
              </w:rPr>
            </w:pPr>
            <w:r>
              <w:rPr>
                <w:rFonts w:ascii="黑体" w:eastAsia="黑体" w:hAnsi="黑体" w:cs="黑体" w:hint="eastAsia"/>
                <w:sz w:val="20"/>
                <w:szCs w:val="20"/>
              </w:rPr>
              <w:t>华容县市政公用设施服务中心</w:t>
            </w:r>
          </w:p>
        </w:tc>
      </w:tr>
      <w:tr w:rsidR="003F1872">
        <w:trPr>
          <w:trHeight w:val="522"/>
        </w:trPr>
        <w:tc>
          <w:tcPr>
            <w:tcW w:w="520" w:type="pct"/>
            <w:vMerge w:val="restart"/>
            <w:tcBorders>
              <w:bottom w:val="nil"/>
            </w:tcBorders>
            <w:vAlign w:val="center"/>
          </w:tcPr>
          <w:p w:rsidR="003F1872" w:rsidRDefault="002B2395">
            <w:pPr>
              <w:jc w:val="center"/>
              <w:rPr>
                <w:rFonts w:ascii="黑体" w:eastAsia="黑体" w:hAnsi="黑体" w:cs="黑体"/>
                <w:szCs w:val="21"/>
              </w:rPr>
            </w:pPr>
            <w:r>
              <w:rPr>
                <w:rFonts w:ascii="黑体" w:eastAsia="黑体" w:hAnsi="黑体" w:cs="黑体" w:hint="eastAsia"/>
                <w:szCs w:val="21"/>
              </w:rPr>
              <w:t>项目资金（万元）</w:t>
            </w:r>
          </w:p>
        </w:tc>
        <w:tc>
          <w:tcPr>
            <w:tcW w:w="1173" w:type="pct"/>
            <w:gridSpan w:val="2"/>
            <w:vAlign w:val="center"/>
          </w:tcPr>
          <w:p w:rsidR="003F1872" w:rsidRDefault="003F1872">
            <w:pPr>
              <w:jc w:val="center"/>
              <w:rPr>
                <w:rFonts w:ascii="黑体" w:eastAsia="黑体" w:hAnsi="黑体" w:cs="黑体"/>
                <w:szCs w:val="21"/>
              </w:rPr>
            </w:pPr>
          </w:p>
        </w:tc>
        <w:tc>
          <w:tcPr>
            <w:tcW w:w="54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年初</w:t>
            </w:r>
          </w:p>
          <w:p w:rsidR="003F1872" w:rsidRDefault="002B2395">
            <w:pPr>
              <w:jc w:val="center"/>
              <w:rPr>
                <w:rFonts w:ascii="黑体" w:eastAsia="黑体" w:hAnsi="黑体" w:cs="黑体"/>
                <w:szCs w:val="21"/>
              </w:rPr>
            </w:pPr>
            <w:r>
              <w:rPr>
                <w:rFonts w:ascii="黑体" w:eastAsia="黑体" w:hAnsi="黑体" w:cs="黑体" w:hint="eastAsia"/>
                <w:szCs w:val="21"/>
              </w:rPr>
              <w:t>预算数</w:t>
            </w:r>
          </w:p>
        </w:tc>
        <w:tc>
          <w:tcPr>
            <w:tcW w:w="57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全年</w:t>
            </w:r>
          </w:p>
          <w:p w:rsidR="003F1872" w:rsidRDefault="002B2395">
            <w:pPr>
              <w:jc w:val="center"/>
              <w:rPr>
                <w:rFonts w:ascii="黑体" w:eastAsia="黑体" w:hAnsi="黑体" w:cs="黑体"/>
                <w:szCs w:val="21"/>
              </w:rPr>
            </w:pPr>
            <w:r>
              <w:rPr>
                <w:rFonts w:ascii="黑体" w:eastAsia="黑体" w:hAnsi="黑体" w:cs="黑体" w:hint="eastAsia"/>
                <w:szCs w:val="21"/>
              </w:rPr>
              <w:t>预算数</w:t>
            </w:r>
          </w:p>
        </w:tc>
        <w:tc>
          <w:tcPr>
            <w:tcW w:w="658"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全年</w:t>
            </w:r>
          </w:p>
          <w:p w:rsidR="003F1872" w:rsidRDefault="002B2395">
            <w:pPr>
              <w:jc w:val="center"/>
              <w:rPr>
                <w:rFonts w:ascii="黑体" w:eastAsia="黑体" w:hAnsi="黑体" w:cs="黑体"/>
                <w:szCs w:val="21"/>
              </w:rPr>
            </w:pPr>
            <w:r>
              <w:rPr>
                <w:rFonts w:ascii="黑体" w:eastAsia="黑体" w:hAnsi="黑体" w:cs="黑体" w:hint="eastAsia"/>
                <w:szCs w:val="21"/>
              </w:rPr>
              <w:t>执行数</w:t>
            </w:r>
          </w:p>
        </w:tc>
        <w:tc>
          <w:tcPr>
            <w:tcW w:w="344"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分值</w:t>
            </w:r>
          </w:p>
        </w:tc>
        <w:tc>
          <w:tcPr>
            <w:tcW w:w="40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执行率</w:t>
            </w:r>
          </w:p>
        </w:tc>
        <w:tc>
          <w:tcPr>
            <w:tcW w:w="77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自评得分</w:t>
            </w:r>
          </w:p>
        </w:tc>
      </w:tr>
      <w:tr w:rsidR="003F1872">
        <w:trPr>
          <w:trHeight w:val="522"/>
        </w:trPr>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1173" w:type="pct"/>
            <w:gridSpan w:val="2"/>
            <w:vAlign w:val="center"/>
          </w:tcPr>
          <w:p w:rsidR="003F1872" w:rsidRDefault="002B2395">
            <w:pP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年度资金总额</w:t>
            </w: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 xml:space="preserve"> 286                                            </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286</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r>
      <w:tr w:rsidR="003F1872">
        <w:trPr>
          <w:trHeight w:val="522"/>
        </w:trPr>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1173" w:type="pct"/>
            <w:gridSpan w:val="2"/>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其中：当年财政拨款</w:t>
            </w: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286</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286</w:t>
            </w: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522"/>
        </w:trPr>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1173" w:type="pct"/>
            <w:gridSpan w:val="2"/>
            <w:vAlign w:val="center"/>
          </w:tcPr>
          <w:p w:rsidR="003F1872" w:rsidRDefault="002B2395">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上年结转资金</w:t>
            </w: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522"/>
        </w:trPr>
        <w:tc>
          <w:tcPr>
            <w:tcW w:w="520" w:type="pct"/>
            <w:vMerge/>
            <w:tcBorders>
              <w:top w:val="nil"/>
            </w:tcBorders>
            <w:vAlign w:val="center"/>
          </w:tcPr>
          <w:p w:rsidR="003F1872" w:rsidRDefault="003F1872">
            <w:pPr>
              <w:jc w:val="center"/>
              <w:rPr>
                <w:rFonts w:asciiTheme="minorEastAsia" w:eastAsiaTheme="minorEastAsia" w:hAnsiTheme="minorEastAsia" w:cstheme="minorEastAsia"/>
                <w:szCs w:val="21"/>
              </w:rPr>
            </w:pPr>
          </w:p>
        </w:tc>
        <w:tc>
          <w:tcPr>
            <w:tcW w:w="1173" w:type="pct"/>
            <w:gridSpan w:val="2"/>
            <w:vAlign w:val="center"/>
          </w:tcPr>
          <w:p w:rsidR="003F1872" w:rsidRDefault="002B2395">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其他资金</w:t>
            </w: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522"/>
        </w:trPr>
        <w:tc>
          <w:tcPr>
            <w:tcW w:w="520" w:type="pct"/>
            <w:vMerge w:val="restart"/>
            <w:tcBorders>
              <w:bottom w:val="nil"/>
            </w:tcBorders>
            <w:vAlign w:val="center"/>
          </w:tcPr>
          <w:p w:rsidR="003F1872" w:rsidRDefault="002B2395">
            <w:pPr>
              <w:jc w:val="center"/>
              <w:rPr>
                <w:rFonts w:ascii="黑体" w:eastAsia="黑体" w:hAnsi="黑体" w:cs="黑体"/>
                <w:szCs w:val="21"/>
              </w:rPr>
            </w:pPr>
            <w:r>
              <w:rPr>
                <w:rFonts w:ascii="黑体" w:eastAsia="黑体" w:hAnsi="黑体" w:cs="黑体" w:hint="eastAsia"/>
                <w:szCs w:val="21"/>
              </w:rPr>
              <w:t>年度总</w:t>
            </w:r>
          </w:p>
          <w:p w:rsidR="003F1872" w:rsidRDefault="002B2395">
            <w:pPr>
              <w:jc w:val="center"/>
              <w:rPr>
                <w:rFonts w:ascii="黑体" w:eastAsia="黑体" w:hAnsi="黑体" w:cs="黑体"/>
                <w:szCs w:val="21"/>
              </w:rPr>
            </w:pPr>
            <w:r>
              <w:rPr>
                <w:rFonts w:ascii="黑体" w:eastAsia="黑体" w:hAnsi="黑体" w:cs="黑体" w:hint="eastAsia"/>
                <w:szCs w:val="21"/>
              </w:rPr>
              <w:t>体</w:t>
            </w:r>
            <w:r>
              <w:rPr>
                <w:rFonts w:ascii="黑体" w:eastAsia="黑体" w:hAnsi="黑体" w:cs="黑体" w:hint="eastAsia"/>
                <w:szCs w:val="21"/>
              </w:rPr>
              <w:t>目标</w:t>
            </w:r>
          </w:p>
        </w:tc>
        <w:tc>
          <w:tcPr>
            <w:tcW w:w="2294" w:type="pct"/>
            <w:gridSpan w:val="4"/>
            <w:vAlign w:val="center"/>
          </w:tcPr>
          <w:p w:rsidR="003F1872" w:rsidRDefault="002B2395">
            <w:pPr>
              <w:jc w:val="center"/>
              <w:rPr>
                <w:rFonts w:ascii="黑体" w:eastAsia="黑体" w:hAnsi="黑体" w:cs="黑体"/>
                <w:szCs w:val="21"/>
              </w:rPr>
            </w:pPr>
            <w:r>
              <w:rPr>
                <w:rFonts w:ascii="黑体" w:eastAsia="黑体" w:hAnsi="黑体" w:cs="黑体" w:hint="eastAsia"/>
                <w:szCs w:val="21"/>
              </w:rPr>
              <w:t>预期目标</w:t>
            </w:r>
          </w:p>
        </w:tc>
        <w:tc>
          <w:tcPr>
            <w:tcW w:w="2184" w:type="pct"/>
            <w:gridSpan w:val="4"/>
            <w:vAlign w:val="center"/>
          </w:tcPr>
          <w:p w:rsidR="003F1872" w:rsidRDefault="002B2395">
            <w:pPr>
              <w:jc w:val="center"/>
              <w:rPr>
                <w:rFonts w:ascii="黑体" w:eastAsia="黑体" w:hAnsi="黑体" w:cs="黑体"/>
                <w:szCs w:val="21"/>
              </w:rPr>
            </w:pPr>
            <w:r>
              <w:rPr>
                <w:rFonts w:ascii="黑体" w:eastAsia="黑体" w:hAnsi="黑体" w:cs="黑体" w:hint="eastAsia"/>
                <w:szCs w:val="21"/>
              </w:rPr>
              <w:t>实际完成情况</w:t>
            </w:r>
          </w:p>
        </w:tc>
      </w:tr>
      <w:tr w:rsidR="003F1872">
        <w:trPr>
          <w:trHeight w:val="522"/>
        </w:trPr>
        <w:tc>
          <w:tcPr>
            <w:tcW w:w="520" w:type="pct"/>
            <w:vMerge/>
            <w:tcBorders>
              <w:top w:val="nil"/>
            </w:tcBorders>
            <w:vAlign w:val="center"/>
          </w:tcPr>
          <w:p w:rsidR="003F1872" w:rsidRDefault="003F1872">
            <w:pPr>
              <w:jc w:val="center"/>
              <w:rPr>
                <w:rFonts w:asciiTheme="minorEastAsia" w:eastAsiaTheme="minorEastAsia" w:hAnsiTheme="minorEastAsia" w:cstheme="minorEastAsia"/>
                <w:szCs w:val="21"/>
              </w:rPr>
            </w:pPr>
          </w:p>
        </w:tc>
        <w:tc>
          <w:tcPr>
            <w:tcW w:w="2294" w:type="pct"/>
            <w:gridSpan w:val="4"/>
            <w:vAlign w:val="center"/>
          </w:tcPr>
          <w:p w:rsidR="003F1872" w:rsidRDefault="002B2395">
            <w:pPr>
              <w:ind w:firstLineChars="200" w:firstLine="400"/>
              <w:rPr>
                <w:rFonts w:asciiTheme="minorEastAsia" w:eastAsiaTheme="minorEastAsia" w:hAnsiTheme="minorEastAsia" w:cstheme="minorEastAsia"/>
                <w:szCs w:val="21"/>
              </w:rPr>
            </w:pPr>
            <w:r>
              <w:rPr>
                <w:rFonts w:hint="eastAsia"/>
                <w:sz w:val="20"/>
                <w:szCs w:val="20"/>
              </w:rPr>
              <w:t>保障城区道路照明及公共亮化设施安全、高效、稳定的运行，综合亮灯率达</w:t>
            </w:r>
            <w:r>
              <w:rPr>
                <w:rFonts w:hint="eastAsia"/>
                <w:sz w:val="20"/>
                <w:szCs w:val="20"/>
              </w:rPr>
              <w:t>98%</w:t>
            </w:r>
            <w:r>
              <w:rPr>
                <w:rFonts w:hint="eastAsia"/>
                <w:sz w:val="20"/>
                <w:szCs w:val="20"/>
              </w:rPr>
              <w:t>以上，达到美化、亮化城市，方便市民夜间出行及夜间道路安全的目标。</w:t>
            </w:r>
          </w:p>
        </w:tc>
        <w:tc>
          <w:tcPr>
            <w:tcW w:w="2184" w:type="pct"/>
            <w:gridSpan w:val="4"/>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r w:rsidR="003F1872">
        <w:trPr>
          <w:trHeight w:val="468"/>
        </w:trPr>
        <w:tc>
          <w:tcPr>
            <w:tcW w:w="520" w:type="pct"/>
            <w:vMerge w:val="restart"/>
            <w:vAlign w:val="center"/>
          </w:tcPr>
          <w:p w:rsidR="003F1872" w:rsidRDefault="002B2395">
            <w:pPr>
              <w:jc w:val="center"/>
              <w:rPr>
                <w:rFonts w:ascii="黑体" w:eastAsia="黑体" w:hAnsi="黑体" w:cs="黑体"/>
                <w:szCs w:val="21"/>
              </w:rPr>
            </w:pPr>
            <w:r>
              <w:rPr>
                <w:rFonts w:ascii="黑体" w:eastAsia="黑体" w:hAnsi="黑体" w:cs="黑体" w:hint="eastAsia"/>
                <w:szCs w:val="21"/>
              </w:rPr>
              <w:t>绩</w:t>
            </w:r>
          </w:p>
          <w:p w:rsidR="003F1872" w:rsidRDefault="002B2395">
            <w:pPr>
              <w:jc w:val="center"/>
              <w:rPr>
                <w:rFonts w:ascii="黑体" w:eastAsia="黑体" w:hAnsi="黑体" w:cs="黑体"/>
                <w:szCs w:val="21"/>
              </w:rPr>
            </w:pPr>
            <w:r>
              <w:rPr>
                <w:rFonts w:ascii="黑体" w:eastAsia="黑体" w:hAnsi="黑体" w:cs="黑体" w:hint="eastAsia"/>
                <w:szCs w:val="21"/>
              </w:rPr>
              <w:t>效</w:t>
            </w:r>
          </w:p>
          <w:p w:rsidR="003F1872" w:rsidRDefault="002B2395">
            <w:pPr>
              <w:jc w:val="center"/>
              <w:rPr>
                <w:rFonts w:ascii="黑体" w:eastAsia="黑体" w:hAnsi="黑体" w:cs="黑体"/>
                <w:szCs w:val="21"/>
              </w:rPr>
            </w:pPr>
            <w:r>
              <w:rPr>
                <w:rFonts w:ascii="黑体" w:eastAsia="黑体" w:hAnsi="黑体" w:cs="黑体" w:hint="eastAsia"/>
                <w:szCs w:val="21"/>
              </w:rPr>
              <w:t>指</w:t>
            </w:r>
          </w:p>
          <w:p w:rsidR="003F1872" w:rsidRDefault="002B2395">
            <w:pPr>
              <w:jc w:val="center"/>
              <w:rPr>
                <w:rFonts w:ascii="黑体" w:eastAsia="黑体" w:hAnsi="黑体" w:cs="黑体"/>
                <w:szCs w:val="21"/>
              </w:rPr>
            </w:pPr>
            <w:r>
              <w:rPr>
                <w:rFonts w:ascii="黑体" w:eastAsia="黑体" w:hAnsi="黑体" w:cs="黑体" w:hint="eastAsia"/>
                <w:szCs w:val="21"/>
              </w:rPr>
              <w:t>标</w:t>
            </w:r>
          </w:p>
        </w:tc>
        <w:tc>
          <w:tcPr>
            <w:tcW w:w="520"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一级指标</w:t>
            </w:r>
          </w:p>
        </w:tc>
        <w:tc>
          <w:tcPr>
            <w:tcW w:w="652"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二级指标</w:t>
            </w:r>
          </w:p>
        </w:tc>
        <w:tc>
          <w:tcPr>
            <w:tcW w:w="54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三级指标</w:t>
            </w:r>
          </w:p>
        </w:tc>
        <w:tc>
          <w:tcPr>
            <w:tcW w:w="57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年度</w:t>
            </w:r>
          </w:p>
          <w:p w:rsidR="003F1872" w:rsidRDefault="002B2395">
            <w:pPr>
              <w:jc w:val="center"/>
              <w:rPr>
                <w:rFonts w:ascii="黑体" w:eastAsia="黑体" w:hAnsi="黑体" w:cs="黑体"/>
                <w:szCs w:val="21"/>
              </w:rPr>
            </w:pPr>
            <w:r>
              <w:rPr>
                <w:rFonts w:ascii="黑体" w:eastAsia="黑体" w:hAnsi="黑体" w:cs="黑体" w:hint="eastAsia"/>
                <w:szCs w:val="21"/>
              </w:rPr>
              <w:t>指标值</w:t>
            </w:r>
          </w:p>
        </w:tc>
        <w:tc>
          <w:tcPr>
            <w:tcW w:w="658"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实际</w:t>
            </w:r>
          </w:p>
          <w:p w:rsidR="003F1872" w:rsidRDefault="002B2395">
            <w:pPr>
              <w:jc w:val="center"/>
              <w:rPr>
                <w:rFonts w:ascii="黑体" w:eastAsia="黑体" w:hAnsi="黑体" w:cs="黑体"/>
                <w:szCs w:val="21"/>
              </w:rPr>
            </w:pPr>
            <w:r>
              <w:rPr>
                <w:rFonts w:ascii="黑体" w:eastAsia="黑体" w:hAnsi="黑体" w:cs="黑体" w:hint="eastAsia"/>
                <w:szCs w:val="21"/>
              </w:rPr>
              <w:t>完成值</w:t>
            </w:r>
          </w:p>
        </w:tc>
        <w:tc>
          <w:tcPr>
            <w:tcW w:w="344"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分值</w:t>
            </w:r>
          </w:p>
        </w:tc>
        <w:tc>
          <w:tcPr>
            <w:tcW w:w="40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自评</w:t>
            </w:r>
          </w:p>
          <w:p w:rsidR="003F1872" w:rsidRDefault="002B2395">
            <w:pPr>
              <w:jc w:val="center"/>
              <w:rPr>
                <w:rFonts w:ascii="黑体" w:eastAsia="黑体" w:hAnsi="黑体" w:cs="黑体"/>
                <w:szCs w:val="21"/>
              </w:rPr>
            </w:pPr>
            <w:r>
              <w:rPr>
                <w:rFonts w:ascii="黑体" w:eastAsia="黑体" w:hAnsi="黑体" w:cs="黑体" w:hint="eastAsia"/>
                <w:szCs w:val="21"/>
              </w:rPr>
              <w:t>得分</w:t>
            </w:r>
          </w:p>
        </w:tc>
        <w:tc>
          <w:tcPr>
            <w:tcW w:w="775" w:type="pct"/>
            <w:vAlign w:val="center"/>
          </w:tcPr>
          <w:p w:rsidR="003F1872" w:rsidRDefault="002B2395">
            <w:pPr>
              <w:jc w:val="center"/>
              <w:rPr>
                <w:rFonts w:ascii="黑体" w:eastAsia="黑体" w:hAnsi="黑体" w:cs="黑体"/>
                <w:szCs w:val="21"/>
              </w:rPr>
            </w:pPr>
            <w:r>
              <w:rPr>
                <w:rFonts w:ascii="黑体" w:eastAsia="黑体" w:hAnsi="黑体" w:cs="黑体" w:hint="eastAsia"/>
                <w:szCs w:val="21"/>
              </w:rPr>
              <w:t>偏差原因分析及改进措施</w:t>
            </w: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val="restart"/>
            <w:tcBorders>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3</w:t>
            </w:r>
            <w:r>
              <w:rPr>
                <w:rFonts w:asciiTheme="minorEastAsia" w:eastAsiaTheme="minorEastAsia" w:hAnsiTheme="minorEastAsia" w:cstheme="minorEastAsia" w:hint="eastAsia"/>
                <w:szCs w:val="21"/>
              </w:rPr>
              <w:t>0</w:t>
            </w:r>
            <w:r>
              <w:rPr>
                <w:rFonts w:asciiTheme="minorEastAsia" w:eastAsiaTheme="minorEastAsia" w:hAnsiTheme="minorEastAsia" w:cstheme="minorEastAsia" w:hint="eastAsia"/>
                <w:szCs w:val="21"/>
              </w:rPr>
              <w:t>分</w:t>
            </w:r>
            <w:r>
              <w:rPr>
                <w:rFonts w:asciiTheme="minorEastAsia" w:eastAsiaTheme="minorEastAsia" w:hAnsiTheme="minorEastAsia" w:cstheme="minorEastAsia" w:hint="eastAsia"/>
                <w:szCs w:val="21"/>
              </w:rPr>
              <w:t>）</w:t>
            </w:r>
          </w:p>
        </w:tc>
        <w:tc>
          <w:tcPr>
            <w:tcW w:w="652" w:type="pct"/>
            <w:vMerge w:val="restart"/>
            <w:tcBorders>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5" w:type="pct"/>
            <w:vAlign w:val="center"/>
          </w:tcPr>
          <w:p w:rsidR="003F1872" w:rsidRDefault="002B2395">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路灯设施日常巡查</w:t>
            </w:r>
          </w:p>
        </w:tc>
        <w:tc>
          <w:tcPr>
            <w:tcW w:w="575" w:type="pct"/>
            <w:vAlign w:val="center"/>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2</w:t>
            </w:r>
            <w:r>
              <w:rPr>
                <w:rFonts w:asciiTheme="minorEastAsia" w:eastAsiaTheme="minorEastAsia" w:hAnsiTheme="minorEastAsia" w:hint="eastAsia"/>
                <w:sz w:val="18"/>
                <w:szCs w:val="18"/>
              </w:rPr>
              <w:t>次</w:t>
            </w:r>
            <w:r>
              <w:rPr>
                <w:rFonts w:asciiTheme="minorEastAsia" w:eastAsiaTheme="minorEastAsia" w:hAnsiTheme="minorEastAsia" w:hint="eastAsia"/>
                <w:sz w:val="18"/>
                <w:szCs w:val="18"/>
              </w:rPr>
              <w:t>/</w:t>
            </w:r>
            <w:r>
              <w:rPr>
                <w:rFonts w:asciiTheme="minorEastAsia" w:eastAsiaTheme="minorEastAsia" w:hAnsiTheme="minorEastAsia" w:hint="eastAsia"/>
                <w:sz w:val="18"/>
                <w:szCs w:val="18"/>
              </w:rPr>
              <w:t>周</w:t>
            </w:r>
          </w:p>
        </w:tc>
        <w:tc>
          <w:tcPr>
            <w:tcW w:w="658" w:type="pct"/>
            <w:vAlign w:val="center"/>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3F1872">
            <w:pPr>
              <w:jc w:val="center"/>
              <w:rPr>
                <w:rFonts w:asciiTheme="minorEastAsia" w:eastAsiaTheme="minorEastAsia" w:hAnsiTheme="minorEastAsia"/>
                <w:sz w:val="18"/>
                <w:szCs w:val="18"/>
              </w:rPr>
            </w:pPr>
          </w:p>
          <w:p w:rsidR="003F1872" w:rsidRDefault="002B2395">
            <w:pPr>
              <w:ind w:firstLine="221"/>
              <w:jc w:val="left"/>
            </w:pPr>
            <w:r>
              <w:rPr>
                <w:rFonts w:hint="eastAsia"/>
              </w:rPr>
              <w:t>5</w:t>
            </w:r>
          </w:p>
        </w:tc>
        <w:tc>
          <w:tcPr>
            <w:tcW w:w="405" w:type="pct"/>
          </w:tcPr>
          <w:p w:rsidR="003F1872" w:rsidRDefault="003F1872">
            <w:pPr>
              <w:jc w:val="center"/>
              <w:rPr>
                <w:rFonts w:asciiTheme="minorEastAsia" w:eastAsiaTheme="minorEastAsia" w:hAnsiTheme="minorEastAsia"/>
                <w:sz w:val="18"/>
                <w:szCs w:val="18"/>
              </w:rPr>
            </w:pPr>
          </w:p>
          <w:p w:rsidR="003F1872" w:rsidRDefault="002B2395">
            <w:pPr>
              <w:jc w:val="center"/>
            </w:pPr>
            <w:r>
              <w:rPr>
                <w:rFonts w:hint="eastAsia"/>
              </w:rPr>
              <w:t>5</w:t>
            </w:r>
          </w:p>
          <w:p w:rsidR="003F1872" w:rsidRDefault="003F1872">
            <w:pPr>
              <w:jc w:val="left"/>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tcPr>
          <w:p w:rsidR="003F1872" w:rsidRDefault="002B2395">
            <w:pPr>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路灯设施维护检修</w:t>
            </w:r>
          </w:p>
        </w:tc>
        <w:tc>
          <w:tcPr>
            <w:tcW w:w="57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58"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5" w:type="pct"/>
          </w:tcPr>
          <w:p w:rsidR="003F1872" w:rsidRDefault="003F1872">
            <w:pPr>
              <w:rPr>
                <w:rFonts w:asciiTheme="minorEastAsia" w:eastAsiaTheme="minorEastAsia" w:hAnsiTheme="minorEastAsia"/>
                <w:sz w:val="18"/>
                <w:szCs w:val="18"/>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5" w:type="pct"/>
            <w:vAlign w:val="center"/>
          </w:tcPr>
          <w:p w:rsidR="003F1872" w:rsidRDefault="002B2395">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照明</w:t>
            </w:r>
            <w:r>
              <w:rPr>
                <w:rFonts w:asciiTheme="minorEastAsia" w:eastAsiaTheme="minorEastAsia" w:hAnsiTheme="minorEastAsia" w:cstheme="minorEastAsia" w:hint="eastAsia"/>
                <w:sz w:val="18"/>
                <w:szCs w:val="18"/>
              </w:rPr>
              <w:t>设施完</w:t>
            </w:r>
            <w:r>
              <w:rPr>
                <w:rFonts w:asciiTheme="minorEastAsia" w:eastAsiaTheme="minorEastAsia" w:hAnsiTheme="minorEastAsia" w:cstheme="minorEastAsia" w:hint="eastAsia"/>
                <w:sz w:val="18"/>
                <w:szCs w:val="18"/>
              </w:rPr>
              <w:t>好</w:t>
            </w:r>
            <w:r>
              <w:rPr>
                <w:rFonts w:asciiTheme="minorEastAsia" w:eastAsiaTheme="minorEastAsia" w:hAnsiTheme="minorEastAsia" w:cstheme="minorEastAsia" w:hint="eastAsia"/>
                <w:sz w:val="18"/>
                <w:szCs w:val="18"/>
              </w:rPr>
              <w:t>率</w:t>
            </w:r>
          </w:p>
        </w:tc>
        <w:tc>
          <w:tcPr>
            <w:tcW w:w="575" w:type="pct"/>
            <w:vAlign w:val="center"/>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w:t>
            </w:r>
            <w:r>
              <w:rPr>
                <w:rFonts w:asciiTheme="minorEastAsia" w:eastAsiaTheme="minorEastAsia" w:hAnsiTheme="minorEastAsia" w:hint="eastAsia"/>
                <w:sz w:val="18"/>
                <w:szCs w:val="18"/>
              </w:rPr>
              <w:t>95%</w:t>
            </w:r>
          </w:p>
        </w:tc>
        <w:tc>
          <w:tcPr>
            <w:tcW w:w="658" w:type="pct"/>
            <w:vAlign w:val="center"/>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ind w:firstLine="218"/>
              <w:jc w:val="left"/>
            </w:pPr>
            <w:r>
              <w:rPr>
                <w:rFonts w:asciiTheme="minorEastAsia" w:eastAsiaTheme="minorEastAsia" w:hAnsiTheme="minorEastAsia" w:hint="eastAsia"/>
                <w:sz w:val="18"/>
                <w:szCs w:val="18"/>
              </w:rPr>
              <w:t>4</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4</w:t>
            </w:r>
          </w:p>
          <w:p w:rsidR="003F1872" w:rsidRDefault="003F1872">
            <w:pPr>
              <w:ind w:firstLine="315"/>
              <w:jc w:val="left"/>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维修合格率</w:t>
            </w:r>
          </w:p>
        </w:tc>
        <w:tc>
          <w:tcPr>
            <w:tcW w:w="575" w:type="pct"/>
            <w:vAlign w:val="center"/>
          </w:tcPr>
          <w:p w:rsidR="003F1872" w:rsidRDefault="002B2395">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58" w:type="pct"/>
            <w:vAlign w:val="center"/>
          </w:tcPr>
          <w:p w:rsidR="003F1872" w:rsidRDefault="002B2395">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ind w:firstLine="263"/>
              <w:jc w:val="left"/>
            </w:pPr>
            <w:r>
              <w:rPr>
                <w:rFonts w:asciiTheme="minorEastAsia" w:eastAsiaTheme="minorEastAsia" w:hAnsiTheme="minorEastAsia" w:hint="eastAsia"/>
                <w:sz w:val="18"/>
                <w:szCs w:val="18"/>
              </w:rPr>
              <w:t>3</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3</w:t>
            </w:r>
          </w:p>
          <w:p w:rsidR="003F1872" w:rsidRDefault="003F1872">
            <w:pPr>
              <w:ind w:firstLine="480"/>
              <w:jc w:val="left"/>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工程验收合格率</w:t>
            </w:r>
          </w:p>
        </w:tc>
        <w:tc>
          <w:tcPr>
            <w:tcW w:w="575" w:type="pct"/>
            <w:vAlign w:val="center"/>
          </w:tcPr>
          <w:p w:rsidR="003F1872" w:rsidRDefault="002B2395">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58" w:type="pct"/>
            <w:vAlign w:val="center"/>
          </w:tcPr>
          <w:p w:rsidR="003F1872" w:rsidRDefault="002B2395">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ind w:firstLine="263"/>
              <w:jc w:val="left"/>
            </w:pPr>
            <w:r>
              <w:rPr>
                <w:rFonts w:asciiTheme="minorEastAsia" w:eastAsiaTheme="minorEastAsia" w:hAnsiTheme="minorEastAsia" w:hint="eastAsia"/>
                <w:sz w:val="18"/>
                <w:szCs w:val="18"/>
              </w:rPr>
              <w:t>3</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3</w:t>
            </w:r>
          </w:p>
          <w:p w:rsidR="003F1872" w:rsidRDefault="003F1872"/>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5" w:type="pct"/>
          </w:tcPr>
          <w:p w:rsidR="003F1872" w:rsidRDefault="002B2395">
            <w:pPr>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lastRenderedPageBreak/>
              <w:t>路灯开关灯时间及时率</w:t>
            </w:r>
          </w:p>
        </w:tc>
        <w:tc>
          <w:tcPr>
            <w:tcW w:w="57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58"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维护及时率</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641"/>
        </w:trPr>
        <w:tc>
          <w:tcPr>
            <w:tcW w:w="520" w:type="pct"/>
            <w:vMerge/>
            <w:textDirection w:val="tbRlV"/>
            <w:vAlign w:val="center"/>
          </w:tcPr>
          <w:p w:rsidR="003F1872" w:rsidRDefault="003F1872">
            <w:pPr>
              <w:jc w:val="center"/>
              <w:rPr>
                <w:rFonts w:ascii="黑体" w:eastAsia="黑体" w:hAnsi="黑体" w:cs="黑体"/>
                <w:szCs w:val="21"/>
              </w:rPr>
            </w:pPr>
          </w:p>
        </w:tc>
        <w:tc>
          <w:tcPr>
            <w:tcW w:w="520" w:type="pct"/>
            <w:vMerge/>
            <w:tcBorders>
              <w:top w:val="nil"/>
              <w:bottom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val="restart"/>
            <w:vAlign w:val="center"/>
          </w:tcPr>
          <w:p w:rsidR="003F1872" w:rsidRDefault="002B2395">
            <w:pPr>
              <w:jc w:val="center"/>
              <w:rPr>
                <w:rFonts w:ascii="黑体" w:eastAsia="黑体" w:hAnsi="黑体" w:cs="黑体"/>
                <w:szCs w:val="21"/>
              </w:rPr>
            </w:pPr>
            <w:r>
              <w:rPr>
                <w:rFonts w:ascii="黑体" w:eastAsia="黑体" w:hAnsi="黑体" w:cs="黑体" w:hint="eastAsia"/>
                <w:szCs w:val="21"/>
              </w:rPr>
              <w:t>绩</w:t>
            </w:r>
          </w:p>
          <w:p w:rsidR="003F1872" w:rsidRDefault="002B2395">
            <w:pPr>
              <w:jc w:val="center"/>
              <w:rPr>
                <w:rFonts w:ascii="黑体" w:eastAsia="黑体" w:hAnsi="黑体" w:cs="黑体"/>
                <w:szCs w:val="21"/>
              </w:rPr>
            </w:pPr>
            <w:r>
              <w:rPr>
                <w:rFonts w:ascii="黑体" w:eastAsia="黑体" w:hAnsi="黑体" w:cs="黑体" w:hint="eastAsia"/>
                <w:szCs w:val="21"/>
              </w:rPr>
              <w:t>效</w:t>
            </w:r>
          </w:p>
          <w:p w:rsidR="003F1872" w:rsidRDefault="002B2395">
            <w:pPr>
              <w:jc w:val="center"/>
              <w:rPr>
                <w:rFonts w:ascii="黑体" w:eastAsia="黑体" w:hAnsi="黑体" w:cs="黑体"/>
                <w:szCs w:val="21"/>
              </w:rPr>
            </w:pPr>
            <w:r>
              <w:rPr>
                <w:rFonts w:ascii="黑体" w:eastAsia="黑体" w:hAnsi="黑体" w:cs="黑体" w:hint="eastAsia"/>
                <w:szCs w:val="21"/>
              </w:rPr>
              <w:t>指</w:t>
            </w:r>
          </w:p>
          <w:p w:rsidR="003F1872" w:rsidRDefault="002B2395">
            <w:pPr>
              <w:jc w:val="center"/>
              <w:rPr>
                <w:rFonts w:ascii="黑体" w:eastAsia="黑体" w:hAnsi="黑体" w:cs="黑体"/>
                <w:szCs w:val="21"/>
              </w:rPr>
            </w:pPr>
            <w:r>
              <w:rPr>
                <w:rFonts w:ascii="黑体" w:eastAsia="黑体" w:hAnsi="黑体" w:cs="黑体" w:hint="eastAsia"/>
                <w:szCs w:val="21"/>
              </w:rPr>
              <w:t>标</w:t>
            </w:r>
          </w:p>
        </w:tc>
        <w:tc>
          <w:tcPr>
            <w:tcW w:w="520" w:type="pct"/>
            <w:vMerge w:val="restart"/>
            <w:tcBorders>
              <w:top w:val="single" w:sz="4" w:space="0" w:color="auto"/>
              <w:left w:val="single" w:sz="4" w:space="0" w:color="auto"/>
              <w:bottom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30</w:t>
            </w:r>
            <w:r>
              <w:rPr>
                <w:rFonts w:asciiTheme="minorEastAsia" w:eastAsiaTheme="minorEastAsia" w:hAnsiTheme="minorEastAsia" w:cstheme="minorEastAsia" w:hint="eastAsia"/>
                <w:szCs w:val="21"/>
              </w:rPr>
              <w:t>分）</w:t>
            </w:r>
          </w:p>
        </w:tc>
        <w:tc>
          <w:tcPr>
            <w:tcW w:w="652" w:type="pct"/>
            <w:vMerge w:val="restart"/>
            <w:tcBorders>
              <w:left w:val="single" w:sz="4" w:space="0" w:color="auto"/>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无经济效益</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left w:val="single" w:sz="4" w:space="0" w:color="auto"/>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cstheme="minorEastAsia" w:hint="eastAsia"/>
                <w:szCs w:val="21"/>
              </w:rPr>
              <w:t>路灯亮灯率</w:t>
            </w:r>
          </w:p>
        </w:tc>
        <w:tc>
          <w:tcPr>
            <w:tcW w:w="575" w:type="pct"/>
          </w:tcPr>
          <w:p w:rsidR="003F1872" w:rsidRDefault="002B2395">
            <w:pPr>
              <w:jc w:val="center"/>
              <w:rPr>
                <w:rFonts w:asciiTheme="minorEastAsia" w:eastAsiaTheme="minorEastAsia" w:hAnsiTheme="minorEastAsia"/>
                <w:sz w:val="18"/>
                <w:szCs w:val="18"/>
              </w:rPr>
            </w:pPr>
            <w:r>
              <w:rPr>
                <w:rFonts w:ascii="Arial" w:eastAsiaTheme="minorEastAsia" w:hAnsi="Arial" w:cs="Arial"/>
                <w:sz w:val="18"/>
                <w:szCs w:val="18"/>
              </w:rPr>
              <w:t>≥</w:t>
            </w:r>
            <w:r>
              <w:rPr>
                <w:rFonts w:asciiTheme="minorEastAsia" w:eastAsiaTheme="minorEastAsia" w:hAnsiTheme="minorEastAsia" w:hint="eastAsia"/>
                <w:sz w:val="18"/>
                <w:szCs w:val="18"/>
              </w:rPr>
              <w:t>98%</w:t>
            </w:r>
          </w:p>
        </w:tc>
        <w:tc>
          <w:tcPr>
            <w:tcW w:w="658"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提升城市品味和市民幸福指数</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left w:val="single" w:sz="4" w:space="0" w:color="auto"/>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节能实现率</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减排实现率</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left w:val="single" w:sz="4" w:space="0" w:color="auto"/>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长效管理机制健全性</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val="restart"/>
            <w:tcBorders>
              <w:top w:val="single" w:sz="4" w:space="0" w:color="auto"/>
              <w:left w:val="single" w:sz="4" w:space="0" w:color="auto"/>
              <w:bottom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10</w:t>
            </w:r>
            <w:r>
              <w:rPr>
                <w:rFonts w:asciiTheme="minorEastAsia" w:eastAsiaTheme="minorEastAsia" w:hAnsiTheme="minorEastAsia" w:cstheme="minorEastAsia" w:hint="eastAsia"/>
                <w:szCs w:val="21"/>
              </w:rPr>
              <w:t>分）</w:t>
            </w:r>
          </w:p>
        </w:tc>
        <w:tc>
          <w:tcPr>
            <w:tcW w:w="652" w:type="pct"/>
            <w:vMerge w:val="restart"/>
            <w:tcBorders>
              <w:left w:val="single" w:sz="4" w:space="0" w:color="auto"/>
              <w:bottom w:val="nil"/>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tcPr>
          <w:p w:rsidR="003F1872" w:rsidRDefault="002B2395">
            <w:pPr>
              <w:ind w:firstLineChars="100" w:firstLine="18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公众满意</w:t>
            </w:r>
          </w:p>
        </w:tc>
        <w:tc>
          <w:tcPr>
            <w:tcW w:w="575" w:type="pct"/>
          </w:tcPr>
          <w:p w:rsidR="003F1872" w:rsidRDefault="002B2395">
            <w:pPr>
              <w:jc w:val="center"/>
              <w:rPr>
                <w:rFonts w:asciiTheme="minorEastAsia" w:eastAsiaTheme="minorEastAsia" w:hAnsiTheme="minorEastAsia"/>
                <w:sz w:val="18"/>
                <w:szCs w:val="18"/>
              </w:rPr>
            </w:pPr>
            <w:r>
              <w:rPr>
                <w:rFonts w:ascii="Arial" w:eastAsiaTheme="minorEastAsia" w:hAnsi="Arial" w:cs="Arial"/>
                <w:sz w:val="18"/>
                <w:szCs w:val="18"/>
              </w:rPr>
              <w:t>≥</w:t>
            </w:r>
            <w:r>
              <w:rPr>
                <w:rFonts w:asciiTheme="minorEastAsia" w:eastAsiaTheme="minorEastAsia" w:hAnsiTheme="minorEastAsia" w:hint="eastAsia"/>
                <w:sz w:val="18"/>
                <w:szCs w:val="18"/>
              </w:rPr>
              <w:t>90%</w:t>
            </w:r>
          </w:p>
        </w:tc>
        <w:tc>
          <w:tcPr>
            <w:tcW w:w="658"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4"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405" w:type="pct"/>
          </w:tcPr>
          <w:p w:rsidR="003F1872" w:rsidRDefault="002B2395">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nil"/>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3F1872">
            <w:pPr>
              <w:jc w:val="center"/>
              <w:rPr>
                <w:rFonts w:asciiTheme="minorEastAsia" w:eastAsiaTheme="minorEastAsia" w:hAnsiTheme="minorEastAsia" w:cstheme="minorEastAsia"/>
                <w:szCs w:val="21"/>
              </w:rPr>
            </w:pP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top w:val="nil"/>
              <w:left w:val="single" w:sz="4" w:space="0" w:color="auto"/>
              <w:bottom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val="restart"/>
            <w:tcBorders>
              <w:top w:val="single" w:sz="4" w:space="0" w:color="auto"/>
              <w:left w:val="single" w:sz="4" w:space="0" w:color="auto"/>
              <w:bottom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2</w:t>
            </w:r>
            <w:r>
              <w:rPr>
                <w:rFonts w:asciiTheme="minorEastAsia" w:eastAsiaTheme="minorEastAsia" w:hAnsiTheme="minorEastAsia" w:cstheme="minorEastAsia" w:hint="eastAsia"/>
                <w:szCs w:val="21"/>
              </w:rPr>
              <w:t>0</w:t>
            </w:r>
            <w:r>
              <w:rPr>
                <w:rFonts w:asciiTheme="minorEastAsia" w:eastAsiaTheme="minorEastAsia" w:hAnsiTheme="minorEastAsia" w:cstheme="minorEastAsia" w:hint="eastAsia"/>
                <w:szCs w:val="21"/>
              </w:rPr>
              <w:t>分</w:t>
            </w:r>
            <w:r>
              <w:rPr>
                <w:rFonts w:asciiTheme="minorEastAsia" w:eastAsiaTheme="minorEastAsia" w:hAnsiTheme="minorEastAsia" w:cstheme="minorEastAsia" w:hint="eastAsia"/>
                <w:szCs w:val="21"/>
              </w:rPr>
              <w:t>）</w:t>
            </w:r>
          </w:p>
        </w:tc>
        <w:tc>
          <w:tcPr>
            <w:tcW w:w="652" w:type="pct"/>
            <w:vMerge w:val="restart"/>
            <w:tcBorders>
              <w:top w:val="single" w:sz="4" w:space="0" w:color="auto"/>
              <w:left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工程、设备采购</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履行政府采购程序</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top w:val="single" w:sz="4" w:space="0" w:color="auto"/>
              <w:left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节约电费</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val="restart"/>
            <w:tcBorders>
              <w:top w:val="single" w:sz="4" w:space="0" w:color="auto"/>
              <w:left w:val="single" w:sz="4" w:space="0" w:color="auto"/>
              <w:righ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成本</w:t>
            </w:r>
          </w:p>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节能环保材料使用</w:t>
            </w:r>
          </w:p>
        </w:tc>
        <w:tc>
          <w:tcPr>
            <w:tcW w:w="57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58"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4"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05" w:type="pct"/>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520" w:type="pct"/>
            <w:vMerge/>
            <w:textDirection w:val="tbRlV"/>
            <w:vAlign w:val="center"/>
          </w:tcPr>
          <w:p w:rsidR="003F1872" w:rsidRDefault="003F1872">
            <w:pPr>
              <w:jc w:val="center"/>
              <w:rPr>
                <w:rFonts w:asciiTheme="minorEastAsia" w:eastAsiaTheme="minorEastAsia" w:hAnsiTheme="minorEastAsia" w:cstheme="minorEastAsia"/>
                <w:szCs w:val="21"/>
              </w:rPr>
            </w:pPr>
          </w:p>
        </w:tc>
        <w:tc>
          <w:tcPr>
            <w:tcW w:w="520" w:type="pct"/>
            <w:vMerge/>
            <w:tcBorders>
              <w:top w:val="single" w:sz="4" w:space="0" w:color="auto"/>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652" w:type="pct"/>
            <w:vMerge/>
            <w:tcBorders>
              <w:left w:val="single" w:sz="4" w:space="0" w:color="auto"/>
              <w:bottom w:val="single" w:sz="4" w:space="0" w:color="auto"/>
              <w:right w:val="single" w:sz="4" w:space="0" w:color="auto"/>
            </w:tcBorders>
            <w:vAlign w:val="center"/>
          </w:tcPr>
          <w:p w:rsidR="003F1872" w:rsidRDefault="003F1872">
            <w:pPr>
              <w:jc w:val="center"/>
              <w:rPr>
                <w:rFonts w:asciiTheme="minorEastAsia" w:eastAsiaTheme="minorEastAsia" w:hAnsiTheme="minorEastAsia" w:cstheme="minorEastAsia"/>
                <w:szCs w:val="21"/>
              </w:rPr>
            </w:pPr>
          </w:p>
        </w:tc>
        <w:tc>
          <w:tcPr>
            <w:tcW w:w="545" w:type="pct"/>
            <w:tcBorders>
              <w:left w:val="single" w:sz="4" w:space="0" w:color="auto"/>
            </w:tcBorders>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5" w:type="pct"/>
            <w:vAlign w:val="center"/>
          </w:tcPr>
          <w:p w:rsidR="003F1872" w:rsidRDefault="003F1872">
            <w:pPr>
              <w:jc w:val="center"/>
              <w:rPr>
                <w:rFonts w:asciiTheme="minorEastAsia" w:eastAsiaTheme="minorEastAsia" w:hAnsiTheme="minorEastAsia" w:cstheme="minorEastAsia"/>
                <w:szCs w:val="21"/>
              </w:rPr>
            </w:pPr>
          </w:p>
        </w:tc>
        <w:tc>
          <w:tcPr>
            <w:tcW w:w="658" w:type="pct"/>
            <w:vAlign w:val="center"/>
          </w:tcPr>
          <w:p w:rsidR="003F1872" w:rsidRDefault="003F1872">
            <w:pPr>
              <w:jc w:val="center"/>
              <w:rPr>
                <w:rFonts w:asciiTheme="minorEastAsia" w:eastAsiaTheme="minorEastAsia" w:hAnsiTheme="minorEastAsia" w:cstheme="minorEastAsia"/>
                <w:szCs w:val="21"/>
              </w:rPr>
            </w:pPr>
          </w:p>
        </w:tc>
        <w:tc>
          <w:tcPr>
            <w:tcW w:w="344" w:type="pct"/>
            <w:vAlign w:val="center"/>
          </w:tcPr>
          <w:p w:rsidR="003F1872" w:rsidRDefault="003F1872">
            <w:pPr>
              <w:jc w:val="center"/>
              <w:rPr>
                <w:rFonts w:asciiTheme="minorEastAsia" w:eastAsiaTheme="minorEastAsia" w:hAnsiTheme="minorEastAsia" w:cstheme="minorEastAsia"/>
                <w:szCs w:val="21"/>
              </w:rPr>
            </w:pPr>
          </w:p>
        </w:tc>
        <w:tc>
          <w:tcPr>
            <w:tcW w:w="405" w:type="pct"/>
            <w:vAlign w:val="center"/>
          </w:tcPr>
          <w:p w:rsidR="003F1872" w:rsidRDefault="003F1872">
            <w:pPr>
              <w:jc w:val="center"/>
              <w:rPr>
                <w:rFonts w:asciiTheme="minorEastAsia" w:eastAsiaTheme="minorEastAsia" w:hAnsiTheme="minorEastAsia" w:cstheme="minorEastAsia"/>
                <w:szCs w:val="21"/>
              </w:rPr>
            </w:pPr>
          </w:p>
        </w:tc>
        <w:tc>
          <w:tcPr>
            <w:tcW w:w="775" w:type="pct"/>
            <w:vAlign w:val="center"/>
          </w:tcPr>
          <w:p w:rsidR="003F1872" w:rsidRDefault="003F1872">
            <w:pPr>
              <w:jc w:val="center"/>
              <w:rPr>
                <w:rFonts w:asciiTheme="minorEastAsia" w:eastAsiaTheme="minorEastAsia" w:hAnsiTheme="minorEastAsia" w:cstheme="minorEastAsia"/>
                <w:szCs w:val="21"/>
              </w:rPr>
            </w:pPr>
          </w:p>
        </w:tc>
      </w:tr>
      <w:tr w:rsidR="003F1872">
        <w:trPr>
          <w:trHeight w:val="454"/>
        </w:trPr>
        <w:tc>
          <w:tcPr>
            <w:tcW w:w="3473" w:type="pct"/>
            <w:gridSpan w:val="6"/>
            <w:vAlign w:val="center"/>
          </w:tcPr>
          <w:p w:rsidR="003F1872" w:rsidRDefault="002B239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总分</w:t>
            </w:r>
          </w:p>
        </w:tc>
        <w:tc>
          <w:tcPr>
            <w:tcW w:w="344" w:type="pct"/>
            <w:vAlign w:val="center"/>
          </w:tcPr>
          <w:p w:rsidR="003F1872" w:rsidRDefault="006438D1">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405" w:type="pct"/>
            <w:vAlign w:val="center"/>
          </w:tcPr>
          <w:p w:rsidR="003F1872" w:rsidRDefault="006438D1">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5" w:type="pct"/>
            <w:vAlign w:val="center"/>
          </w:tcPr>
          <w:p w:rsidR="003F1872" w:rsidRDefault="003F1872">
            <w:pPr>
              <w:jc w:val="center"/>
              <w:rPr>
                <w:rFonts w:asciiTheme="minorEastAsia" w:eastAsiaTheme="minorEastAsia" w:hAnsiTheme="minorEastAsia" w:cstheme="minorEastAsia"/>
                <w:szCs w:val="21"/>
              </w:rPr>
            </w:pPr>
          </w:p>
        </w:tc>
      </w:tr>
    </w:tbl>
    <w:p w:rsidR="003F1872" w:rsidRDefault="002B2395">
      <w:r>
        <w:rPr>
          <w:rFonts w:hint="eastAsia"/>
        </w:rPr>
        <w:t>备注：每个一级项目支出一张表。如，业务工作经费，运行维护经费，其他事业发展类资金各一张表。</w:t>
      </w:r>
    </w:p>
    <w:p w:rsidR="003F1872" w:rsidRDefault="003F1872"/>
    <w:p w:rsidR="003F1872" w:rsidRDefault="002B2395">
      <w:r>
        <w:rPr>
          <w:rFonts w:hint="eastAsia"/>
        </w:rPr>
        <w:t>填表人</w:t>
      </w:r>
      <w:r>
        <w:rPr>
          <w:rFonts w:hint="eastAsia"/>
        </w:rPr>
        <w:t>：</w:t>
      </w:r>
      <w:r w:rsidR="006438D1">
        <w:rPr>
          <w:rFonts w:hint="eastAsia"/>
        </w:rPr>
        <w:t>刘毅</w:t>
      </w:r>
      <w:r>
        <w:rPr>
          <w:rFonts w:hint="eastAsia"/>
        </w:rPr>
        <w:t xml:space="preserve">     </w:t>
      </w:r>
      <w:r>
        <w:rPr>
          <w:rFonts w:hint="eastAsia"/>
        </w:rPr>
        <w:t xml:space="preserve"> </w:t>
      </w:r>
      <w:r>
        <w:rPr>
          <w:rFonts w:hint="eastAsia"/>
        </w:rPr>
        <w:t xml:space="preserve"> </w:t>
      </w:r>
      <w:r>
        <w:rPr>
          <w:rFonts w:hint="eastAsia"/>
        </w:rPr>
        <w:t xml:space="preserve"> </w:t>
      </w:r>
      <w:r>
        <w:rPr>
          <w:rFonts w:hint="eastAsia"/>
        </w:rPr>
        <w:t>填报日期</w:t>
      </w:r>
      <w:r>
        <w:rPr>
          <w:rFonts w:hint="eastAsia"/>
        </w:rPr>
        <w:t>：</w:t>
      </w:r>
      <w:r w:rsidR="006438D1">
        <w:rPr>
          <w:rFonts w:hint="eastAsia"/>
        </w:rPr>
        <w:t>2024/5/27</w:t>
      </w:r>
      <w:r>
        <w:rPr>
          <w:rFonts w:hint="eastAsia"/>
        </w:rPr>
        <w:t xml:space="preserve">       </w:t>
      </w:r>
      <w:r w:rsidR="006438D1">
        <w:rPr>
          <w:rFonts w:hint="eastAsia"/>
        </w:rPr>
        <w:t xml:space="preserve"> </w:t>
      </w:r>
      <w:r>
        <w:rPr>
          <w:rFonts w:hint="eastAsia"/>
        </w:rPr>
        <w:t>联系电话：</w:t>
      </w:r>
      <w:r w:rsidR="006438D1">
        <w:rPr>
          <w:rFonts w:hint="eastAsia"/>
        </w:rPr>
        <w:t xml:space="preserve">   </w:t>
      </w:r>
      <w:r>
        <w:rPr>
          <w:rFonts w:hint="eastAsia"/>
        </w:rPr>
        <w:t>单位负责人签字：</w:t>
      </w:r>
      <w:r w:rsidR="006438D1">
        <w:rPr>
          <w:rFonts w:hint="eastAsia"/>
        </w:rPr>
        <w:t>王岳军</w:t>
      </w:r>
    </w:p>
    <w:sectPr w:rsidR="003F1872" w:rsidSect="003F1872">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2395" w:rsidRDefault="002B2395" w:rsidP="003F1872">
      <w:r>
        <w:separator/>
      </w:r>
    </w:p>
  </w:endnote>
  <w:endnote w:type="continuationSeparator" w:id="0">
    <w:p w:rsidR="002B2395" w:rsidRDefault="002B2395" w:rsidP="003F18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1F82FDCE-CE52-4AE6-99F6-ACA4C4D420EE}"/>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9B42F823-2F08-4811-A01A-DF5795686F1D}"/>
  </w:font>
  <w:font w:name="Calibri">
    <w:panose1 w:val="020F0502020204030204"/>
    <w:charset w:val="00"/>
    <w:family w:val="swiss"/>
    <w:pitch w:val="variable"/>
    <w:sig w:usb0="E00002FF" w:usb1="4000ACFF" w:usb2="00000001" w:usb3="00000000" w:csb0="0000019F" w:csb1="00000000"/>
    <w:embedRegular r:id="rId3" w:fontKey="{6A548DC0-08D5-4EF6-8DC4-C0B3F602C91F}"/>
  </w:font>
  <w:font w:name="仿宋_GB2312">
    <w:charset w:val="86"/>
    <w:family w:val="auto"/>
    <w:pitch w:val="default"/>
    <w:sig w:usb0="00000001" w:usb1="080E0000" w:usb2="00000000" w:usb3="00000000" w:csb0="00040000" w:csb1="00000000"/>
    <w:embedRegular r:id="rId4" w:subsetted="1" w:fontKey="{8235E207-7E06-4E57-AC3D-8138284134BD}"/>
  </w:font>
  <w:font w:name="方正小标宋简体">
    <w:charset w:val="86"/>
    <w:family w:val="auto"/>
    <w:pitch w:val="default"/>
    <w:sig w:usb0="00000001" w:usb1="080E0000" w:usb2="00000000" w:usb3="00000000" w:csb0="00040000" w:csb1="00000000"/>
    <w:embedRegular r:id="rId5" w:subsetted="1" w:fontKey="{7C3DE678-DF34-4838-B457-4373F996E164}"/>
  </w:font>
  <w:font w:name="方正小标宋_GBK">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91028479-84A8-4F0A-B5CB-01BCD317CD37}"/>
  </w:font>
  <w:font w:name="Cambria">
    <w:panose1 w:val="02040503050406030204"/>
    <w:charset w:val="00"/>
    <w:family w:val="roman"/>
    <w:pitch w:val="variable"/>
    <w:sig w:usb0="E00002FF" w:usb1="400004FF" w:usb2="00000000" w:usb3="00000000" w:csb0="0000019F" w:csb1="00000000"/>
    <w:embedRegular r:id="rId7" w:fontKey="{C8B7B459-9B95-4AA9-8571-E3924518F3C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872" w:rsidRDefault="003F1872">
    <w:pPr>
      <w:pStyle w:val="a4"/>
      <w:spacing w:before="1" w:line="174" w:lineRule="auto"/>
      <w:ind w:left="574"/>
      <w:rPr>
        <w:sz w:val="28"/>
        <w:szCs w:val="28"/>
      </w:rPr>
    </w:pPr>
    <w:r w:rsidRPr="003F1872">
      <w:rPr>
        <w:sz w:val="28"/>
      </w:rPr>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3F1872" w:rsidRDefault="003F1872">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2B2395">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6438D1">
                  <w:rPr>
                    <w:rFonts w:ascii="华文仿宋" w:eastAsia="华文仿宋" w:hAnsi="华文仿宋" w:cs="华文仿宋"/>
                    <w:noProof/>
                    <w:sz w:val="28"/>
                    <w:szCs w:val="28"/>
                  </w:rPr>
                  <w:t>- 10 -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2395" w:rsidRDefault="002B2395" w:rsidP="003F1872">
      <w:r>
        <w:separator/>
      </w:r>
    </w:p>
  </w:footnote>
  <w:footnote w:type="continuationSeparator" w:id="0">
    <w:p w:rsidR="002B2395" w:rsidRDefault="002B2395" w:rsidP="003F1872">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ZTI4OTYyZTE0NTcxZTQ4MjNhMGM5N2E5NDBiYzA4NDcifQ=="/>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2B2395"/>
    <w:rsid w:val="003F1872"/>
    <w:rsid w:val="006438D1"/>
    <w:rsid w:val="006F0A16"/>
    <w:rsid w:val="00773328"/>
    <w:rsid w:val="00821883"/>
    <w:rsid w:val="00917857"/>
    <w:rsid w:val="00951882"/>
    <w:rsid w:val="00A755C2"/>
    <w:rsid w:val="00D06DD6"/>
    <w:rsid w:val="011D2710"/>
    <w:rsid w:val="011E0236"/>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4F7977"/>
    <w:rsid w:val="0ABD557B"/>
    <w:rsid w:val="0BBB5A8D"/>
    <w:rsid w:val="0C104906"/>
    <w:rsid w:val="0C607C21"/>
    <w:rsid w:val="0C7D22B4"/>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5359F7"/>
    <w:rsid w:val="165F6081"/>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8E5F3B"/>
    <w:rsid w:val="1CA34935"/>
    <w:rsid w:val="1CD27D57"/>
    <w:rsid w:val="1CE84CBD"/>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35494"/>
    <w:rsid w:val="24256710"/>
    <w:rsid w:val="251E7983"/>
    <w:rsid w:val="25FE2B31"/>
    <w:rsid w:val="260D5D83"/>
    <w:rsid w:val="260E1D77"/>
    <w:rsid w:val="277A77CA"/>
    <w:rsid w:val="27B30E28"/>
    <w:rsid w:val="28043432"/>
    <w:rsid w:val="284A2254"/>
    <w:rsid w:val="29165294"/>
    <w:rsid w:val="292F1467"/>
    <w:rsid w:val="29786927"/>
    <w:rsid w:val="297B51B4"/>
    <w:rsid w:val="29E40467"/>
    <w:rsid w:val="29F527E2"/>
    <w:rsid w:val="2A9A1E2C"/>
    <w:rsid w:val="2BF35971"/>
    <w:rsid w:val="2C487650"/>
    <w:rsid w:val="2C5A7AC4"/>
    <w:rsid w:val="2DF9330D"/>
    <w:rsid w:val="2E4F43C0"/>
    <w:rsid w:val="2EC7368E"/>
    <w:rsid w:val="2EDC05D9"/>
    <w:rsid w:val="2F240CAA"/>
    <w:rsid w:val="2F5137B6"/>
    <w:rsid w:val="2FF62815"/>
    <w:rsid w:val="30FB4B41"/>
    <w:rsid w:val="31621165"/>
    <w:rsid w:val="322E1E8E"/>
    <w:rsid w:val="323C5548"/>
    <w:rsid w:val="33235CE2"/>
    <w:rsid w:val="33F22F3B"/>
    <w:rsid w:val="356150CE"/>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E9B583B"/>
    <w:rsid w:val="4EBD0AE9"/>
    <w:rsid w:val="4F5D15A2"/>
    <w:rsid w:val="4FCB46B2"/>
    <w:rsid w:val="4FFE57BD"/>
    <w:rsid w:val="50AC44C4"/>
    <w:rsid w:val="50EA6DB9"/>
    <w:rsid w:val="51453FF0"/>
    <w:rsid w:val="515661FD"/>
    <w:rsid w:val="51714DE5"/>
    <w:rsid w:val="51CA7471"/>
    <w:rsid w:val="521C2FA3"/>
    <w:rsid w:val="522529B2"/>
    <w:rsid w:val="524806C4"/>
    <w:rsid w:val="52CA29FF"/>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9944A83"/>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B7475"/>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59548A"/>
    <w:rsid w:val="6DFE5E04"/>
    <w:rsid w:val="6E0D1F7B"/>
    <w:rsid w:val="6E796921"/>
    <w:rsid w:val="6E87203D"/>
    <w:rsid w:val="6F9278BB"/>
    <w:rsid w:val="6FB7D4E3"/>
    <w:rsid w:val="6FBE0EF0"/>
    <w:rsid w:val="6FFF1C22"/>
    <w:rsid w:val="70484622"/>
    <w:rsid w:val="70EC5DDE"/>
    <w:rsid w:val="71572F19"/>
    <w:rsid w:val="719B7427"/>
    <w:rsid w:val="71C8514D"/>
    <w:rsid w:val="71E33685"/>
    <w:rsid w:val="71F326B3"/>
    <w:rsid w:val="724A6793"/>
    <w:rsid w:val="72647B59"/>
    <w:rsid w:val="7372FC32"/>
    <w:rsid w:val="73A52BF2"/>
    <w:rsid w:val="73A56E44"/>
    <w:rsid w:val="73B12A87"/>
    <w:rsid w:val="741F26FA"/>
    <w:rsid w:val="74470DF8"/>
    <w:rsid w:val="744E1D52"/>
    <w:rsid w:val="74BD60BB"/>
    <w:rsid w:val="74CF0052"/>
    <w:rsid w:val="74FA3C0D"/>
    <w:rsid w:val="751D6EAE"/>
    <w:rsid w:val="75210C36"/>
    <w:rsid w:val="75FD1676"/>
    <w:rsid w:val="7687113B"/>
    <w:rsid w:val="76C3247D"/>
    <w:rsid w:val="76EFC8B0"/>
    <w:rsid w:val="776ACBF9"/>
    <w:rsid w:val="77FF7A21"/>
    <w:rsid w:val="7951325E"/>
    <w:rsid w:val="799536BA"/>
    <w:rsid w:val="7B170752"/>
    <w:rsid w:val="7B382425"/>
    <w:rsid w:val="7B8F681B"/>
    <w:rsid w:val="7BC55225"/>
    <w:rsid w:val="7BFF9B5C"/>
    <w:rsid w:val="7C3B673F"/>
    <w:rsid w:val="7CB77E41"/>
    <w:rsid w:val="7CED5089"/>
    <w:rsid w:val="7D8636B9"/>
    <w:rsid w:val="7DD96C0E"/>
    <w:rsid w:val="7E352599"/>
    <w:rsid w:val="7E474F7B"/>
    <w:rsid w:val="7E7F4A49"/>
    <w:rsid w:val="7E8F7AC1"/>
    <w:rsid w:val="7F14210C"/>
    <w:rsid w:val="7F2BE2DA"/>
    <w:rsid w:val="7F7F87CE"/>
    <w:rsid w:val="7F9A1827"/>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semiHidden="0" w:uiPriority="0" w:qFormat="1"/>
    <w:lsdException w:name="heading 3" w:locked="1" w:semiHidden="0" w:uiPriority="0" w:qFormat="1"/>
    <w:lsdException w:name="heading 4" w:locked="1" w:semiHidden="0"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3F1872"/>
    <w:pPr>
      <w:widowControl w:val="0"/>
      <w:jc w:val="both"/>
    </w:pPr>
    <w:rPr>
      <w:kern w:val="2"/>
      <w:sz w:val="21"/>
      <w:szCs w:val="24"/>
    </w:rPr>
  </w:style>
  <w:style w:type="paragraph" w:styleId="1">
    <w:name w:val="heading 1"/>
    <w:basedOn w:val="a"/>
    <w:next w:val="a"/>
    <w:link w:val="1Char"/>
    <w:autoRedefine/>
    <w:qFormat/>
    <w:locked/>
    <w:rsid w:val="003F1872"/>
    <w:pPr>
      <w:keepNext/>
      <w:keepLines/>
      <w:outlineLvl w:val="0"/>
    </w:pPr>
    <w:rPr>
      <w:rFonts w:eastAsia="黑体"/>
      <w:bCs/>
      <w:kern w:val="44"/>
      <w:szCs w:val="44"/>
    </w:rPr>
  </w:style>
  <w:style w:type="paragraph" w:styleId="2">
    <w:name w:val="heading 2"/>
    <w:basedOn w:val="a"/>
    <w:next w:val="a"/>
    <w:link w:val="2Char"/>
    <w:unhideWhenUsed/>
    <w:qFormat/>
    <w:locked/>
    <w:rsid w:val="003F1872"/>
    <w:pPr>
      <w:keepNext/>
      <w:keepLines/>
      <w:spacing w:line="413" w:lineRule="auto"/>
      <w:outlineLvl w:val="1"/>
    </w:pPr>
    <w:rPr>
      <w:rFonts w:ascii="Arial" w:eastAsia="黑体" w:hAnsi="Arial"/>
      <w:b/>
      <w:sz w:val="32"/>
    </w:rPr>
  </w:style>
  <w:style w:type="paragraph" w:styleId="3">
    <w:name w:val="heading 3"/>
    <w:basedOn w:val="a"/>
    <w:next w:val="a"/>
    <w:link w:val="3Char"/>
    <w:unhideWhenUsed/>
    <w:qFormat/>
    <w:locked/>
    <w:rsid w:val="003F1872"/>
    <w:pPr>
      <w:keepNext/>
      <w:keepLines/>
      <w:spacing w:line="413" w:lineRule="auto"/>
      <w:outlineLvl w:val="2"/>
    </w:pPr>
    <w:rPr>
      <w:b/>
      <w:sz w:val="32"/>
    </w:rPr>
  </w:style>
  <w:style w:type="paragraph" w:styleId="4">
    <w:name w:val="heading 4"/>
    <w:basedOn w:val="a"/>
    <w:next w:val="a"/>
    <w:link w:val="4Char"/>
    <w:unhideWhenUsed/>
    <w:qFormat/>
    <w:locked/>
    <w:rsid w:val="003F1872"/>
    <w:pPr>
      <w:keepNext/>
      <w:keepLines/>
      <w:spacing w:line="372" w:lineRule="auto"/>
      <w:outlineLvl w:val="3"/>
    </w:pPr>
    <w:rPr>
      <w:rFonts w:ascii="Arial" w:eastAsia="黑体" w:hAnsi="Arial"/>
      <w:b/>
      <w:sz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3F1872"/>
    <w:pPr>
      <w:snapToGrid w:val="0"/>
      <w:jc w:val="left"/>
    </w:pPr>
    <w:rPr>
      <w:sz w:val="18"/>
      <w:szCs w:val="18"/>
    </w:rPr>
  </w:style>
  <w:style w:type="paragraph" w:styleId="a4">
    <w:name w:val="Body Text"/>
    <w:basedOn w:val="a"/>
    <w:autoRedefine/>
    <w:semiHidden/>
    <w:qFormat/>
    <w:rsid w:val="003F1872"/>
    <w:rPr>
      <w:rFonts w:ascii="仿宋" w:eastAsia="仿宋" w:hAnsi="仿宋" w:cs="仿宋"/>
      <w:sz w:val="31"/>
      <w:szCs w:val="31"/>
      <w:lang w:eastAsia="en-US"/>
    </w:rPr>
  </w:style>
  <w:style w:type="paragraph" w:styleId="a5">
    <w:name w:val="footer"/>
    <w:basedOn w:val="a"/>
    <w:link w:val="Char"/>
    <w:autoRedefine/>
    <w:uiPriority w:val="99"/>
    <w:qFormat/>
    <w:rsid w:val="003F1872"/>
    <w:pPr>
      <w:tabs>
        <w:tab w:val="center" w:pos="4153"/>
        <w:tab w:val="right" w:pos="8306"/>
      </w:tabs>
      <w:snapToGrid w:val="0"/>
      <w:jc w:val="left"/>
    </w:pPr>
    <w:rPr>
      <w:sz w:val="18"/>
      <w:szCs w:val="18"/>
    </w:rPr>
  </w:style>
  <w:style w:type="paragraph" w:styleId="a6">
    <w:name w:val="header"/>
    <w:basedOn w:val="a"/>
    <w:link w:val="Char0"/>
    <w:autoRedefine/>
    <w:uiPriority w:val="99"/>
    <w:qFormat/>
    <w:rsid w:val="003F1872"/>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3F187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3F1872"/>
    <w:rPr>
      <w:rFonts w:cs="Times New Roman"/>
    </w:rPr>
  </w:style>
  <w:style w:type="character" w:customStyle="1" w:styleId="Char">
    <w:name w:val="页脚 Char"/>
    <w:basedOn w:val="a1"/>
    <w:link w:val="a5"/>
    <w:autoRedefine/>
    <w:uiPriority w:val="99"/>
    <w:semiHidden/>
    <w:qFormat/>
    <w:rsid w:val="003F1872"/>
    <w:rPr>
      <w:sz w:val="18"/>
      <w:szCs w:val="18"/>
    </w:rPr>
  </w:style>
  <w:style w:type="character" w:customStyle="1" w:styleId="Char0">
    <w:name w:val="页眉 Char"/>
    <w:basedOn w:val="a1"/>
    <w:link w:val="a6"/>
    <w:autoRedefine/>
    <w:uiPriority w:val="99"/>
    <w:semiHidden/>
    <w:qFormat/>
    <w:rsid w:val="003F1872"/>
    <w:rPr>
      <w:sz w:val="18"/>
      <w:szCs w:val="18"/>
    </w:rPr>
  </w:style>
  <w:style w:type="paragraph" w:styleId="a9">
    <w:name w:val="List Paragraph"/>
    <w:basedOn w:val="a"/>
    <w:autoRedefine/>
    <w:uiPriority w:val="99"/>
    <w:qFormat/>
    <w:rsid w:val="003F1872"/>
    <w:pPr>
      <w:ind w:firstLineChars="200" w:firstLine="420"/>
    </w:pPr>
    <w:rPr>
      <w:rFonts w:ascii="Calibri" w:hAnsi="Calibri"/>
      <w:szCs w:val="22"/>
    </w:rPr>
  </w:style>
  <w:style w:type="table" w:customStyle="1" w:styleId="TableNormal">
    <w:name w:val="Table Normal"/>
    <w:autoRedefine/>
    <w:semiHidden/>
    <w:unhideWhenUsed/>
    <w:qFormat/>
    <w:rsid w:val="003F1872"/>
    <w:tblPr>
      <w:tblCellMar>
        <w:top w:w="0" w:type="dxa"/>
        <w:left w:w="0" w:type="dxa"/>
        <w:bottom w:w="0" w:type="dxa"/>
        <w:right w:w="0" w:type="dxa"/>
      </w:tblCellMar>
    </w:tblPr>
  </w:style>
  <w:style w:type="paragraph" w:customStyle="1" w:styleId="TableText">
    <w:name w:val="Table Text"/>
    <w:basedOn w:val="a"/>
    <w:autoRedefine/>
    <w:semiHidden/>
    <w:qFormat/>
    <w:rsid w:val="003F1872"/>
    <w:rPr>
      <w:rFonts w:ascii="Arial" w:eastAsia="Arial" w:hAnsi="Arial" w:cs="Arial"/>
      <w:szCs w:val="21"/>
      <w:lang w:eastAsia="en-US"/>
    </w:rPr>
  </w:style>
  <w:style w:type="paragraph" w:customStyle="1" w:styleId="Bodytext1">
    <w:name w:val="Body text|1"/>
    <w:basedOn w:val="a"/>
    <w:autoRedefine/>
    <w:qFormat/>
    <w:rsid w:val="003F1872"/>
    <w:pPr>
      <w:spacing w:line="401" w:lineRule="auto"/>
      <w:ind w:firstLine="400"/>
    </w:pPr>
    <w:rPr>
      <w:rFonts w:ascii="宋体" w:hAnsi="宋体" w:cs="宋体"/>
      <w:sz w:val="30"/>
      <w:szCs w:val="30"/>
      <w:lang w:val="zh-TW" w:eastAsia="zh-TW" w:bidi="zh-TW"/>
    </w:rPr>
  </w:style>
  <w:style w:type="character" w:customStyle="1" w:styleId="1Char">
    <w:name w:val="标题 1 Char"/>
    <w:link w:val="1"/>
    <w:rsid w:val="003F1872"/>
    <w:rPr>
      <w:rFonts w:eastAsia="黑体"/>
      <w:bCs/>
      <w:kern w:val="44"/>
      <w:szCs w:val="44"/>
    </w:rPr>
  </w:style>
  <w:style w:type="character" w:customStyle="1" w:styleId="3Char">
    <w:name w:val="标题 3 Char"/>
    <w:link w:val="3"/>
    <w:rsid w:val="003F1872"/>
    <w:rPr>
      <w:b/>
      <w:sz w:val="32"/>
    </w:rPr>
  </w:style>
  <w:style w:type="character" w:customStyle="1" w:styleId="2Char">
    <w:name w:val="标题 2 Char"/>
    <w:link w:val="2"/>
    <w:qFormat/>
    <w:rsid w:val="003F1872"/>
    <w:rPr>
      <w:rFonts w:ascii="Arial" w:eastAsia="黑体" w:hAnsi="Arial"/>
      <w:b/>
      <w:sz w:val="32"/>
    </w:rPr>
  </w:style>
  <w:style w:type="character" w:customStyle="1" w:styleId="4Char">
    <w:name w:val="标题 4 Char"/>
    <w:link w:val="4"/>
    <w:rsid w:val="003F1872"/>
    <w:rPr>
      <w:rFonts w:ascii="Arial" w:eastAsia="黑体" w:hAnsi="Arial"/>
      <w:b/>
      <w:sz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10</Pages>
  <Words>470</Words>
  <Characters>2685</Characters>
  <Application>Microsoft Office Word</Application>
  <DocSecurity>0</DocSecurity>
  <Lines>22</Lines>
  <Paragraphs>6</Paragraphs>
  <ScaleCrop>false</ScaleCrop>
  <Company/>
  <LinksUpToDate>false</LinksUpToDate>
  <CharactersWithSpaces>3149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cp:revision>
  <cp:lastPrinted>2024-05-20T07:59:00Z</cp:lastPrinted>
  <dcterms:created xsi:type="dcterms:W3CDTF">2020-06-06T01:07:00Z</dcterms:created>
  <dcterms:modified xsi:type="dcterms:W3CDTF">2024-05-27T03:45:00Z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7DED790E78D34CD48724F2FCBED8C8C7_13</vt:lpwstr>
  </property>
</Properties>
</file>