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黑体" w:hAnsi="黑体" w:eastAsia="黑体" w:cs="黑体"/>
          <w:color w:val="000000" w:themeColor="text1"/>
          <w:spacing w:val="-4"/>
          <w:sz w:val="31"/>
          <w:szCs w:val="31"/>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附件2</w:t>
      </w:r>
    </w:p>
    <w:p>
      <w:pPr>
        <w:spacing w:line="300" w:lineRule="exact"/>
        <w:rPr>
          <w:rFonts w:ascii="黑体" w:hAnsi="黑体" w:eastAsia="黑体" w:cs="黑体"/>
          <w:color w:val="000000" w:themeColor="text1"/>
          <w:spacing w:val="-4"/>
          <w:sz w:val="31"/>
          <w:szCs w:val="31"/>
          <w14:textFill>
            <w14:solidFill>
              <w14:schemeClr w14:val="tx1"/>
            </w14:solidFill>
          </w14:textFill>
        </w:rPr>
      </w:pPr>
    </w:p>
    <w:p>
      <w:pPr>
        <w:spacing w:line="500" w:lineRule="exact"/>
        <w:jc w:val="center"/>
        <w:rPr>
          <w:rFonts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2023年度部门整体支出绩效评价基础数据表</w:t>
      </w:r>
    </w:p>
    <w:p>
      <w:pPr>
        <w:spacing w:line="300" w:lineRule="exact"/>
        <w:rPr>
          <w:color w:val="000000" w:themeColor="text1"/>
          <w14:textFill>
            <w14:solidFill>
              <w14:schemeClr w14:val="tx1"/>
            </w14:solidFill>
          </w14:textFill>
        </w:rPr>
      </w:pPr>
    </w:p>
    <w:tbl>
      <w:tblPr>
        <w:tblStyle w:val="19"/>
        <w:tblW w:w="925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36"/>
        <w:gridCol w:w="958"/>
        <w:gridCol w:w="960"/>
        <w:gridCol w:w="980"/>
        <w:gridCol w:w="980"/>
        <w:gridCol w:w="972"/>
        <w:gridCol w:w="97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jc w:val="center"/>
        </w:trPr>
        <w:tc>
          <w:tcPr>
            <w:tcW w:w="3436" w:type="dxa"/>
            <w:vMerge w:val="restart"/>
            <w:tcBorders>
              <w:bottom w:val="nil"/>
            </w:tcBorders>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财政供养人员情况（人）</w:t>
            </w:r>
          </w:p>
        </w:tc>
        <w:tc>
          <w:tcPr>
            <w:tcW w:w="1918"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编制数</w:t>
            </w:r>
          </w:p>
        </w:tc>
        <w:tc>
          <w:tcPr>
            <w:tcW w:w="1960"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2023年实际</w:t>
            </w:r>
          </w:p>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在职人数</w:t>
            </w:r>
          </w:p>
        </w:tc>
        <w:tc>
          <w:tcPr>
            <w:tcW w:w="1945"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Merge w:val="continue"/>
            <w:tcBorders>
              <w:top w:val="nil"/>
            </w:tcBorders>
            <w:vAlign w:val="center"/>
          </w:tcPr>
          <w:p>
            <w:pPr>
              <w:spacing w:line="300" w:lineRule="exact"/>
              <w:jc w:val="center"/>
              <w:rPr>
                <w:rFonts w:ascii="黑体" w:hAnsi="黑体" w:eastAsia="黑体" w:cs="黑体"/>
                <w:color w:val="000000" w:themeColor="text1"/>
                <w:szCs w:val="21"/>
                <w14:textFill>
                  <w14:solidFill>
                    <w14:schemeClr w14:val="tx1"/>
                  </w14:solidFill>
                </w14:textFill>
              </w:rPr>
            </w:pPr>
          </w:p>
        </w:tc>
        <w:tc>
          <w:tcPr>
            <w:tcW w:w="1918"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43</w:t>
            </w:r>
          </w:p>
        </w:tc>
        <w:tc>
          <w:tcPr>
            <w:tcW w:w="1960"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77</w:t>
            </w:r>
          </w:p>
        </w:tc>
        <w:tc>
          <w:tcPr>
            <w:tcW w:w="1945"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56%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经费控制情况（万元）</w:t>
            </w:r>
          </w:p>
        </w:tc>
        <w:tc>
          <w:tcPr>
            <w:tcW w:w="1918"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2022年决算数</w:t>
            </w:r>
          </w:p>
        </w:tc>
        <w:tc>
          <w:tcPr>
            <w:tcW w:w="1960"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2023年预算数</w:t>
            </w:r>
          </w:p>
        </w:tc>
        <w:tc>
          <w:tcPr>
            <w:tcW w:w="1945" w:type="dxa"/>
            <w:gridSpan w:val="2"/>
            <w:vAlign w:val="center"/>
          </w:tcPr>
          <w:p>
            <w:pPr>
              <w:spacing w:line="30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三公经费：</w:t>
            </w: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w:t>
            </w: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w:t>
            </w: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ind w:firstLine="420" w:firstLineChars="2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1、公务用车购置和维护经费</w:t>
            </w:r>
          </w:p>
        </w:tc>
        <w:tc>
          <w:tcPr>
            <w:tcW w:w="1918"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60"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ind w:firstLine="840" w:firstLineChars="4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其中：公车购置</w:t>
            </w:r>
          </w:p>
        </w:tc>
        <w:tc>
          <w:tcPr>
            <w:tcW w:w="1918" w:type="dxa"/>
            <w:gridSpan w:val="2"/>
            <w:vAlign w:val="center"/>
          </w:tcPr>
          <w:p>
            <w:pPr>
              <w:spacing w:line="300" w:lineRule="exact"/>
              <w:ind w:firstLine="840" w:firstLineChars="4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60" w:type="dxa"/>
            <w:gridSpan w:val="2"/>
            <w:vAlign w:val="center"/>
          </w:tcPr>
          <w:p>
            <w:pPr>
              <w:spacing w:line="300" w:lineRule="exact"/>
              <w:ind w:firstLine="840" w:firstLineChars="4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ind w:firstLine="840" w:firstLineChars="400"/>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ind w:firstLine="1459" w:firstLineChars="695"/>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公车运行维护</w:t>
            </w: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ind w:firstLine="420" w:firstLineChars="2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2、出国经费</w:t>
            </w:r>
          </w:p>
        </w:tc>
        <w:tc>
          <w:tcPr>
            <w:tcW w:w="1918"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60"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ind w:firstLine="420" w:firstLineChars="2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3、公务接待</w:t>
            </w:r>
          </w:p>
        </w:tc>
        <w:tc>
          <w:tcPr>
            <w:tcW w:w="1918" w:type="dxa"/>
            <w:gridSpan w:val="2"/>
            <w:vAlign w:val="center"/>
          </w:tcPr>
          <w:p>
            <w:pPr>
              <w:spacing w:line="300" w:lineRule="exact"/>
              <w:ind w:firstLine="945" w:firstLineChars="45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w:t>
            </w:r>
          </w:p>
        </w:tc>
        <w:tc>
          <w:tcPr>
            <w:tcW w:w="1960" w:type="dxa"/>
            <w:gridSpan w:val="2"/>
            <w:vAlign w:val="center"/>
          </w:tcPr>
          <w:p>
            <w:pPr>
              <w:spacing w:line="300" w:lineRule="exact"/>
              <w:ind w:firstLine="945" w:firstLineChars="45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w:t>
            </w:r>
          </w:p>
        </w:tc>
        <w:tc>
          <w:tcPr>
            <w:tcW w:w="1945" w:type="dxa"/>
            <w:gridSpan w:val="2"/>
            <w:vAlign w:val="center"/>
          </w:tcPr>
          <w:p>
            <w:pPr>
              <w:spacing w:line="300" w:lineRule="exact"/>
              <w:ind w:firstLine="945" w:firstLineChars="45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项目支出：</w:t>
            </w: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2772.6</w:t>
            </w: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5361.66</w:t>
            </w: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5361.66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rPr>
              <w:t>1、其他城乡社区公共设施支出项目</w:t>
            </w:r>
          </w:p>
        </w:tc>
        <w:tc>
          <w:tcPr>
            <w:tcW w:w="1918"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2335</w:t>
            </w:r>
          </w:p>
        </w:tc>
        <w:tc>
          <w:tcPr>
            <w:tcW w:w="1960"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w:t>
            </w:r>
            <w:r>
              <w:rPr>
                <w:rFonts w:hint="eastAsia"/>
              </w:rPr>
              <w:t>城市基础设施配套费支出项目</w:t>
            </w:r>
          </w:p>
        </w:tc>
        <w:tc>
          <w:tcPr>
            <w:tcW w:w="1918"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391.6</w:t>
            </w:r>
          </w:p>
        </w:tc>
        <w:tc>
          <w:tcPr>
            <w:tcW w:w="1960"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1" w:hRule="atLeast"/>
          <w:jc w:val="center"/>
        </w:trPr>
        <w:tc>
          <w:tcPr>
            <w:tcW w:w="3436" w:type="dxa"/>
            <w:vAlign w:val="center"/>
          </w:tcPr>
          <w:p>
            <w:r>
              <w:rPr>
                <w:rFonts w:hint="eastAsia"/>
              </w:rPr>
              <w:t>1、其他城乡社区公共卫生设施支出项目</w:t>
            </w:r>
          </w:p>
        </w:tc>
        <w:tc>
          <w:tcPr>
            <w:tcW w:w="1918" w:type="dxa"/>
            <w:gridSpan w:val="2"/>
            <w:vAlign w:val="center"/>
          </w:tcPr>
          <w:p>
            <w:pPr>
              <w:spacing w:line="300" w:lineRule="exact"/>
              <w:ind w:firstLine="420" w:firstLineChars="200"/>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60"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3864.54</w:t>
            </w:r>
          </w:p>
        </w:tc>
        <w:tc>
          <w:tcPr>
            <w:tcW w:w="1945"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3864.54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r>
              <w:rPr>
                <w:rFonts w:hint="eastAsia"/>
              </w:rPr>
              <w:t>2、城乡垃圾处理服务项目</w:t>
            </w: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 1497.12</w:t>
            </w: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 1497.12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公用经费</w:t>
            </w: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721.86</w:t>
            </w: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138.42</w:t>
            </w: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 138.38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ind w:firstLine="840" w:firstLineChars="4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其中：办公经费</w:t>
            </w:r>
          </w:p>
        </w:tc>
        <w:tc>
          <w:tcPr>
            <w:tcW w:w="1918"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28.85</w:t>
            </w:r>
          </w:p>
        </w:tc>
        <w:tc>
          <w:tcPr>
            <w:tcW w:w="1960"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15</w:t>
            </w:r>
          </w:p>
        </w:tc>
        <w:tc>
          <w:tcPr>
            <w:tcW w:w="1945" w:type="dxa"/>
            <w:gridSpan w:val="2"/>
            <w:vAlign w:val="center"/>
          </w:tcPr>
          <w:p>
            <w:pPr>
              <w:spacing w:line="300" w:lineRule="exact"/>
              <w:ind w:firstLine="735" w:firstLineChars="35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14.21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ind w:firstLine="1478" w:firstLineChars="704"/>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水费、电费、差旅费</w:t>
            </w:r>
          </w:p>
        </w:tc>
        <w:tc>
          <w:tcPr>
            <w:tcW w:w="1918"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47.41</w:t>
            </w:r>
          </w:p>
        </w:tc>
        <w:tc>
          <w:tcPr>
            <w:tcW w:w="1960"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50</w:t>
            </w: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41.16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ind w:firstLine="1478" w:firstLineChars="704"/>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会议费、培训费</w:t>
            </w:r>
          </w:p>
        </w:tc>
        <w:tc>
          <w:tcPr>
            <w:tcW w:w="1918"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12.25</w:t>
            </w:r>
          </w:p>
        </w:tc>
        <w:tc>
          <w:tcPr>
            <w:tcW w:w="1960" w:type="dxa"/>
            <w:gridSpan w:val="2"/>
            <w:vAlign w:val="center"/>
          </w:tcPr>
          <w:p>
            <w:pPr>
              <w:spacing w:line="300" w:lineRule="exact"/>
              <w:ind w:firstLine="630" w:firstLineChars="3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8</w:t>
            </w:r>
          </w:p>
        </w:tc>
        <w:tc>
          <w:tcPr>
            <w:tcW w:w="1945" w:type="dxa"/>
            <w:gridSpan w:val="2"/>
            <w:vAlign w:val="center"/>
          </w:tcPr>
          <w:p>
            <w:pPr>
              <w:spacing w:line="300" w:lineRule="exact"/>
              <w:ind w:firstLine="735" w:firstLineChars="35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政府采购金额</w:t>
            </w: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w:t>
            </w: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 584.87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部门基本支出预算调整</w:t>
            </w: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w:t>
            </w: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jc w:val="center"/>
        </w:trPr>
        <w:tc>
          <w:tcPr>
            <w:tcW w:w="3436" w:type="dxa"/>
            <w:tcBorders>
              <w:bottom w:val="nil"/>
            </w:tcBorders>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楼堂馆所控制情况</w:t>
            </w:r>
          </w:p>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（2023年完工项目）</w:t>
            </w:r>
          </w:p>
        </w:tc>
        <w:tc>
          <w:tcPr>
            <w:tcW w:w="1918"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批复规模</w:t>
            </w:r>
          </w:p>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w:t>
            </w:r>
          </w:p>
        </w:tc>
        <w:tc>
          <w:tcPr>
            <w:tcW w:w="1960"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实际规模（㎡）</w:t>
            </w:r>
          </w:p>
        </w:tc>
        <w:tc>
          <w:tcPr>
            <w:tcW w:w="1945" w:type="dxa"/>
            <w:gridSpan w:val="2"/>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规模</w:t>
            </w:r>
          </w:p>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3436" w:type="dxa"/>
            <w:vMerge w:val="restart"/>
            <w:tcBorders>
              <w:top w:val="nil"/>
            </w:tcBorders>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p>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厉行节约保障措施</w:t>
            </w:r>
          </w:p>
        </w:tc>
        <w:tc>
          <w:tcPr>
            <w:tcW w:w="958"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960"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980"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980"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预算投资</w:t>
            </w:r>
          </w:p>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（万元）</w:t>
            </w:r>
          </w:p>
        </w:tc>
        <w:tc>
          <w:tcPr>
            <w:tcW w:w="972"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实际投资</w:t>
            </w:r>
          </w:p>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（万元）</w:t>
            </w:r>
          </w:p>
        </w:tc>
        <w:tc>
          <w:tcPr>
            <w:tcW w:w="973"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3436" w:type="dxa"/>
            <w:vMerge w:val="continue"/>
            <w:vAlign w:val="center"/>
          </w:tcPr>
          <w:p>
            <w:pPr>
              <w:spacing w:line="300" w:lineRule="exact"/>
              <w:jc w:val="left"/>
              <w:rPr>
                <w:rFonts w:asciiTheme="minorEastAsia" w:hAnsiTheme="minorEastAsia" w:eastAsiaTheme="minorEastAsia" w:cstheme="minorEastAsia"/>
                <w:color w:val="000000" w:themeColor="text1"/>
                <w:szCs w:val="21"/>
                <w14:textFill>
                  <w14:solidFill>
                    <w14:schemeClr w14:val="tx1"/>
                  </w14:solidFill>
                </w14:textFill>
              </w:rPr>
            </w:pPr>
          </w:p>
        </w:tc>
        <w:tc>
          <w:tcPr>
            <w:tcW w:w="958"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960" w:type="dxa"/>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980"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980"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972"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973"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jc w:val="center"/>
        </w:trPr>
        <w:tc>
          <w:tcPr>
            <w:tcW w:w="3436" w:type="dxa"/>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823" w:type="dxa"/>
            <w:gridSpan w:val="6"/>
            <w:vAlign w:val="center"/>
          </w:tcPr>
          <w:p>
            <w:pPr>
              <w:spacing w:line="30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r>
    </w:tbl>
    <w:p>
      <w:pPr>
        <w:rPr>
          <w:color w:val="000000" w:themeColor="text1"/>
          <w14:textFill>
            <w14:solidFill>
              <w14:schemeClr w14:val="tx1"/>
            </w14:solidFill>
          </w14:textFill>
        </w:rPr>
      </w:pPr>
      <w:r>
        <w:rPr>
          <w:rFonts w:hint="eastAsia"/>
          <w:color w:val="000000" w:themeColor="text1"/>
          <w14:textFill>
            <w14:solidFill>
              <w14:schemeClr w14:val="tx1"/>
            </w14:solidFill>
          </w14:textFill>
        </w:rPr>
        <w:t>说明：“项目支出” 需要填报基本支出以外的所有项目支出情况，“公用经费”填报基本支出中的一般商品和服务支出。</w:t>
      </w:r>
    </w:p>
    <w:p>
      <w:pPr>
        <w:pStyle w:val="9"/>
        <w:rPr>
          <w:color w:val="000000" w:themeColor="text1"/>
          <w14:textFill>
            <w14:solidFill>
              <w14:schemeClr w14:val="tx1"/>
            </w14:solidFill>
          </w14:textFill>
        </w:rPr>
      </w:pP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填表人：汤纯霞   填报日期：2024.5.28   联系电话：13548935858   单位负责人签字：</w:t>
      </w:r>
    </w:p>
    <w:p>
      <w:pPr>
        <w:rPr>
          <w:color w:val="000000" w:themeColor="text1"/>
          <w:spacing w:val="-13"/>
          <w:sz w:val="22"/>
          <w:szCs w:val="22"/>
          <w14:textFill>
            <w14:solidFill>
              <w14:schemeClr w14:val="tx1"/>
            </w14:solidFill>
          </w14:textFill>
        </w:rPr>
      </w:pPr>
      <w:r>
        <w:rPr>
          <w:color w:val="000000" w:themeColor="text1"/>
          <w:spacing w:val="-13"/>
          <w:sz w:val="22"/>
          <w:szCs w:val="22"/>
          <w14:textFill>
            <w14:solidFill>
              <w14:schemeClr w14:val="tx1"/>
            </w14:solidFill>
          </w14:textFill>
        </w:rPr>
        <w:br w:type="page"/>
      </w:r>
    </w:p>
    <w:p>
      <w:pPr>
        <w:spacing w:line="580" w:lineRule="exact"/>
        <w:jc w:val="left"/>
        <w:rPr>
          <w:rFonts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附件3</w:t>
      </w:r>
    </w:p>
    <w:p>
      <w:pPr>
        <w:spacing w:line="251" w:lineRule="auto"/>
        <w:rPr>
          <w:rFonts w:ascii="Arial"/>
          <w:color w:val="000000" w:themeColor="text1"/>
          <w14:textFill>
            <w14:solidFill>
              <w14:schemeClr w14:val="tx1"/>
            </w14:solidFill>
          </w14:textFill>
        </w:rPr>
      </w:pPr>
    </w:p>
    <w:p>
      <w:pPr>
        <w:spacing w:line="251" w:lineRule="auto"/>
        <w:rPr>
          <w:rFonts w:ascii="Arial"/>
          <w:color w:val="000000" w:themeColor="text1"/>
          <w14:textFill>
            <w14:solidFill>
              <w14:schemeClr w14:val="tx1"/>
            </w14:solidFill>
          </w14:textFill>
        </w:rPr>
      </w:pPr>
    </w:p>
    <w:p>
      <w:pPr>
        <w:rPr>
          <w:rFonts w:ascii="Arial"/>
          <w:color w:val="000000" w:themeColor="text1"/>
          <w14:textFill>
            <w14:solidFill>
              <w14:schemeClr w14:val="tx1"/>
            </w14:solidFill>
          </w14:textFill>
        </w:rPr>
      </w:pPr>
    </w:p>
    <w:p>
      <w:pPr>
        <w:pStyle w:val="9"/>
        <w:rPr>
          <w:color w:val="000000" w:themeColor="text1"/>
          <w14:textFill>
            <w14:solidFill>
              <w14:schemeClr w14:val="tx1"/>
            </w14:solidFill>
          </w14:textFill>
        </w:rPr>
      </w:pPr>
    </w:p>
    <w:p>
      <w:pPr>
        <w:rPr>
          <w:color w:val="000000" w:themeColor="text1"/>
          <w14:textFill>
            <w14:solidFill>
              <w14:schemeClr w14:val="tx1"/>
            </w14:solidFill>
          </w14:textFill>
        </w:rPr>
      </w:pPr>
    </w:p>
    <w:p>
      <w:pPr>
        <w:spacing w:before="223" w:line="218" w:lineRule="auto"/>
        <w:jc w:val="center"/>
        <w:rPr>
          <w:rFonts w:ascii="方正小标宋简体" w:hAnsi="方正小标宋简体" w:eastAsia="方正小标宋简体" w:cs="方正小标宋简体"/>
          <w:color w:val="000000" w:themeColor="text1"/>
          <w:w w:val="95"/>
          <w:sz w:val="52"/>
          <w:szCs w:val="52"/>
          <w14:textFill>
            <w14:solidFill>
              <w14:schemeClr w14:val="tx1"/>
            </w14:solidFill>
          </w14:textFill>
        </w:rPr>
      </w:pPr>
      <w:r>
        <w:rPr>
          <w:rFonts w:hint="eastAsia" w:ascii="方正小标宋简体" w:hAnsi="方正小标宋简体" w:eastAsia="方正小标宋简体" w:cs="方正小标宋简体"/>
          <w:color w:val="000000" w:themeColor="text1"/>
          <w:spacing w:val="-1"/>
          <w:w w:val="95"/>
          <w:sz w:val="52"/>
          <w:szCs w:val="52"/>
          <w14:textFill>
            <w14:solidFill>
              <w14:schemeClr w14:val="tx1"/>
            </w14:solidFill>
          </w14:textFill>
        </w:rPr>
        <w:t>2023年度华容县市容环境卫生服务中心整体支出</w:t>
      </w:r>
      <w:r>
        <w:rPr>
          <w:rFonts w:hint="eastAsia" w:ascii="方正小标宋简体" w:hAnsi="方正小标宋简体" w:eastAsia="方正小标宋简体" w:cs="方正小标宋简体"/>
          <w:color w:val="000000" w:themeColor="text1"/>
          <w:spacing w:val="-3"/>
          <w:w w:val="95"/>
          <w:sz w:val="52"/>
          <w:szCs w:val="52"/>
          <w14:textFill>
            <w14:solidFill>
              <w14:schemeClr w14:val="tx1"/>
            </w14:solidFill>
          </w14:textFill>
        </w:rPr>
        <w:t>绩效自评报告</w:t>
      </w: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pStyle w:val="9"/>
        <w:rPr>
          <w:rFonts w:ascii="Arial"/>
          <w:color w:val="000000" w:themeColor="text1"/>
          <w:sz w:val="2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3" w:lineRule="auto"/>
        <w:rPr>
          <w:rFonts w:ascii="Arial"/>
          <w:color w:val="000000" w:themeColor="text1"/>
          <w14:textFill>
            <w14:solidFill>
              <w14:schemeClr w14:val="tx1"/>
            </w14:solidFill>
          </w14:textFill>
        </w:rPr>
      </w:pPr>
    </w:p>
    <w:p>
      <w:pPr>
        <w:spacing w:line="244" w:lineRule="auto"/>
        <w:rPr>
          <w:rFonts w:ascii="Arial"/>
          <w:color w:val="000000" w:themeColor="text1"/>
          <w14:textFill>
            <w14:solidFill>
              <w14:schemeClr w14:val="tx1"/>
            </w14:solidFill>
          </w14:textFill>
        </w:rPr>
      </w:pPr>
    </w:p>
    <w:p>
      <w:pPr>
        <w:spacing w:line="244" w:lineRule="auto"/>
        <w:rPr>
          <w:rFonts w:ascii="Arial"/>
          <w:color w:val="000000" w:themeColor="text1"/>
          <w14:textFill>
            <w14:solidFill>
              <w14:schemeClr w14:val="tx1"/>
            </w14:solidFill>
          </w14:textFill>
        </w:rPr>
      </w:pPr>
    </w:p>
    <w:p>
      <w:pPr>
        <w:pStyle w:val="4"/>
        <w:spacing w:before="100" w:line="221" w:lineRule="auto"/>
        <w:ind w:firstLine="60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pacing w:val="-10"/>
          <w:sz w:val="32"/>
          <w:szCs w:val="32"/>
          <w14:textFill>
            <w14:solidFill>
              <w14:schemeClr w14:val="tx1"/>
            </w14:solidFill>
          </w14:textFill>
        </w:rPr>
        <w:t>部门（单位）名称</w:t>
      </w:r>
      <w:r>
        <w:rPr>
          <w:rFonts w:hint="eastAsia" w:ascii="仿宋_GB2312" w:hAnsi="仿宋_GB2312" w:eastAsia="仿宋_GB2312" w:cs="仿宋_GB2312"/>
          <w:color w:val="000000" w:themeColor="text1"/>
          <w:spacing w:val="4"/>
          <w:sz w:val="32"/>
          <w:szCs w:val="32"/>
          <w14:textFill>
            <w14:solidFill>
              <w14:schemeClr w14:val="tx1"/>
            </w14:solidFill>
          </w14:textFill>
        </w:rPr>
        <w:t>：</w:t>
      </w:r>
      <w:r>
        <w:rPr>
          <w:rFonts w:hint="eastAsia" w:ascii="仿宋_GB2312" w:hAnsi="仿宋_GB2312" w:eastAsia="仿宋_GB2312" w:cs="仿宋_GB2312"/>
          <w:color w:val="000000" w:themeColor="text1"/>
          <w:spacing w:val="4"/>
          <w:sz w:val="32"/>
          <w:szCs w:val="32"/>
          <w:u w:val="single"/>
          <w:lang w:eastAsia="zh-CN"/>
          <w14:textFill>
            <w14:solidFill>
              <w14:schemeClr w14:val="tx1"/>
            </w14:solidFill>
          </w14:textFill>
        </w:rPr>
        <w:t>(</w:t>
      </w:r>
      <w:r>
        <w:rPr>
          <w:rFonts w:hint="eastAsia" w:ascii="仿宋_GB2312" w:hAnsi="仿宋_GB2312" w:eastAsia="仿宋_GB2312" w:cs="仿宋_GB2312"/>
          <w:color w:val="000000" w:themeColor="text1"/>
          <w:spacing w:val="-118"/>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pacing w:val="-75"/>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pacing w:val="-10"/>
          <w:sz w:val="32"/>
          <w:szCs w:val="32"/>
          <w:u w:val="single"/>
          <w14:textFill>
            <w14:solidFill>
              <w14:schemeClr w14:val="tx1"/>
            </w14:solidFill>
          </w14:textFill>
        </w:rPr>
        <w:t>盖章）</w:t>
      </w:r>
      <w:r>
        <w:rPr>
          <w:rFonts w:hint="eastAsia" w:ascii="仿宋_GB2312" w:hAnsi="仿宋_GB2312" w:eastAsia="仿宋_GB2312" w:cs="仿宋_GB2312"/>
          <w:color w:val="000000" w:themeColor="text1"/>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z w:val="32"/>
          <w:szCs w:val="32"/>
          <w:u w:val="single"/>
          <w:lang w:eastAsia="zh-CN"/>
          <w14:textFill>
            <w14:solidFill>
              <w14:schemeClr w14:val="tx1"/>
            </w14:solidFill>
          </w14:textFill>
        </w:rPr>
        <w:t xml:space="preserve">     </w:t>
      </w:r>
      <w:r>
        <w:rPr>
          <w:rFonts w:hint="eastAsia" w:ascii="仿宋_GB2312" w:hAnsi="仿宋_GB2312" w:eastAsia="仿宋_GB2312" w:cs="仿宋_GB2312"/>
          <w:color w:val="000000" w:themeColor="text1"/>
          <w:sz w:val="32"/>
          <w:szCs w:val="32"/>
          <w:u w:val="single"/>
          <w14:textFill>
            <w14:solidFill>
              <w14:schemeClr w14:val="tx1"/>
            </w14:solidFill>
          </w14:textFill>
        </w:rPr>
        <w:t xml:space="preserve">  </w:t>
      </w:r>
    </w:p>
    <w:p>
      <w:pPr>
        <w:spacing w:before="228" w:line="222" w:lineRule="auto"/>
        <w:ind w:firstLine="4560" w:firstLineChars="15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pacing w:val="-8"/>
          <w:sz w:val="32"/>
          <w:szCs w:val="32"/>
          <w14:textFill>
            <w14:solidFill>
              <w14:schemeClr w14:val="tx1"/>
            </w14:solidFill>
          </w14:textFill>
        </w:rPr>
        <w:t>2024年</w:t>
      </w:r>
      <w:r>
        <w:rPr>
          <w:rFonts w:hint="eastAsia" w:ascii="仿宋_GB2312" w:hAnsi="仿宋_GB2312" w:eastAsia="仿宋_GB2312" w:cs="仿宋_GB2312"/>
          <w:color w:val="000000" w:themeColor="text1"/>
          <w:spacing w:val="21"/>
          <w:sz w:val="32"/>
          <w:szCs w:val="32"/>
          <w14:textFill>
            <w14:solidFill>
              <w14:schemeClr w14:val="tx1"/>
            </w14:solidFill>
          </w14:textFill>
        </w:rPr>
        <w:t xml:space="preserve"> 5月28</w:t>
      </w:r>
      <w:r>
        <w:rPr>
          <w:rFonts w:hint="eastAsia" w:ascii="仿宋_GB2312" w:hAnsi="仿宋_GB2312" w:eastAsia="仿宋_GB2312" w:cs="仿宋_GB2312"/>
          <w:color w:val="000000" w:themeColor="text1"/>
          <w:spacing w:val="43"/>
          <w:sz w:val="32"/>
          <w:szCs w:val="32"/>
          <w14:textFill>
            <w14:solidFill>
              <w14:schemeClr w14:val="tx1"/>
            </w14:solidFill>
          </w14:textFill>
        </w:rPr>
        <w:t xml:space="preserve">  </w:t>
      </w:r>
      <w:r>
        <w:rPr>
          <w:rFonts w:hint="eastAsia" w:ascii="仿宋_GB2312" w:hAnsi="仿宋_GB2312" w:eastAsia="仿宋_GB2312" w:cs="仿宋_GB2312"/>
          <w:color w:val="000000" w:themeColor="text1"/>
          <w:spacing w:val="-8"/>
          <w:sz w:val="32"/>
          <w:szCs w:val="32"/>
          <w14:textFill>
            <w14:solidFill>
              <w14:schemeClr w14:val="tx1"/>
            </w14:solidFill>
          </w14:textFill>
        </w:rPr>
        <w:t>日</w:t>
      </w:r>
    </w:p>
    <w:p>
      <w:pPr>
        <w:spacing w:line="335" w:lineRule="auto"/>
        <w:rPr>
          <w:rFonts w:ascii="仿宋_GB2312" w:hAnsi="仿宋_GB2312" w:eastAsia="仿宋_GB2312" w:cs="仿宋_GB2312"/>
          <w:color w:val="000000" w:themeColor="text1"/>
          <w:sz w:val="32"/>
          <w:szCs w:val="32"/>
          <w14:textFill>
            <w14:solidFill>
              <w14:schemeClr w14:val="tx1"/>
            </w14:solidFill>
          </w14:textFill>
        </w:rPr>
      </w:pPr>
    </w:p>
    <w:p>
      <w:pPr>
        <w:pStyle w:val="4"/>
        <w:spacing w:before="102" w:line="224" w:lineRule="auto"/>
        <w:ind w:left="3216"/>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pacing w:val="8"/>
          <w:sz w:val="32"/>
          <w:szCs w:val="32"/>
          <w14:textFill>
            <w14:solidFill>
              <w14:schemeClr w14:val="tx1"/>
            </w14:solidFill>
          </w14:textFill>
        </w:rPr>
        <w:t>（此页为封面）</w:t>
      </w:r>
    </w:p>
    <w:p>
      <w:pPr>
        <w:rPr>
          <w:color w:val="000000" w:themeColor="text1"/>
          <w14:textFill>
            <w14:solidFill>
              <w14:schemeClr w14:val="tx1"/>
            </w14:solidFill>
          </w14:textFill>
        </w:rPr>
      </w:pPr>
      <w:r>
        <w:rPr>
          <w:color w:val="000000" w:themeColor="text1"/>
          <w14:textFill>
            <w14:solidFill>
              <w14:schemeClr w14:val="tx1"/>
            </w14:solidFill>
          </w14:textFill>
        </w:rPr>
        <w:br w:type="page"/>
      </w:r>
    </w:p>
    <w:p>
      <w:pPr>
        <w:pStyle w:val="9"/>
        <w:rPr>
          <w:color w:val="000000" w:themeColor="text1"/>
          <w14:textFill>
            <w14:solidFill>
              <w14:schemeClr w14:val="tx1"/>
            </w14:solidFill>
          </w14:textFill>
        </w:rPr>
        <w:sectPr>
          <w:footerReference r:id="rId3" w:type="default"/>
          <w:pgSz w:w="11905" w:h="16838"/>
          <w:pgMar w:top="1984" w:right="1701" w:bottom="1984" w:left="1701" w:header="850" w:footer="1587" w:gutter="0"/>
          <w:pgNumType w:fmt="numberInDash" w:start="1"/>
          <w:cols w:space="0" w:num="1"/>
          <w:docGrid w:type="lines" w:linePitch="314" w:charSpace="0"/>
        </w:sectPr>
      </w:pPr>
    </w:p>
    <w:p>
      <w:pPr>
        <w:keepNext w:val="0"/>
        <w:keepLines w:val="0"/>
        <w:pageBreakBefore w:val="0"/>
        <w:kinsoku/>
        <w:wordWrap/>
        <w:overflowPunct/>
        <w:topLinePunct w:val="0"/>
        <w:autoSpaceDE/>
        <w:autoSpaceDN/>
        <w:bidi w:val="0"/>
        <w:adjustRightInd/>
        <w:spacing w:beforeAutospacing="0" w:afterAutospacing="0" w:line="580" w:lineRule="exact"/>
        <w:ind w:left="0"/>
        <w:jc w:val="center"/>
        <w:textAlignment w:val="auto"/>
        <w:rPr>
          <w:rFonts w:ascii="方正小标宋简体" w:hAnsi="方正小标宋简体" w:eastAsia="方正小标宋简体" w:cs="方正小标宋简体"/>
          <w:color w:val="000000" w:themeColor="text1"/>
          <w:w w:val="95"/>
          <w:sz w:val="52"/>
          <w:szCs w:val="52"/>
          <w14:textFill>
            <w14:solidFill>
              <w14:schemeClr w14:val="tx1"/>
            </w14:solidFill>
          </w14:textFill>
        </w:rPr>
      </w:pPr>
      <w:bookmarkStart w:id="0" w:name="第七部分部门决算分析报告撰写提纲"/>
      <w:r>
        <w:rPr>
          <w:rFonts w:hint="eastAsia" w:ascii="方正小标宋简体" w:hAnsi="方正小标宋简体" w:eastAsia="方正小标宋简体" w:cs="方正小标宋简体"/>
          <w:color w:val="000000" w:themeColor="text1"/>
          <w:spacing w:val="-1"/>
          <w:w w:val="95"/>
          <w:sz w:val="52"/>
          <w:szCs w:val="52"/>
          <w14:textFill>
            <w14:solidFill>
              <w14:schemeClr w14:val="tx1"/>
            </w14:solidFill>
          </w14:textFill>
        </w:rPr>
        <w:t>2023年度华容县市容环境卫生服务中心整体支出</w:t>
      </w:r>
      <w:r>
        <w:rPr>
          <w:rFonts w:hint="eastAsia" w:ascii="方正小标宋简体" w:hAnsi="方正小标宋简体" w:eastAsia="方正小标宋简体" w:cs="方正小标宋简体"/>
          <w:color w:val="000000" w:themeColor="text1"/>
          <w:spacing w:val="-3"/>
          <w:w w:val="95"/>
          <w:sz w:val="52"/>
          <w:szCs w:val="52"/>
          <w14:textFill>
            <w14:solidFill>
              <w14:schemeClr w14:val="tx1"/>
            </w14:solidFill>
          </w14:textFill>
        </w:rPr>
        <w:t>绩效自评报告</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eastAsia="仿宋_GB2312"/>
          <w:color w:val="000000" w:themeColor="text1"/>
          <w:sz w:val="32"/>
          <w:szCs w:val="32"/>
          <w14:textFill>
            <w14:solidFill>
              <w14:schemeClr w14:val="tx1"/>
            </w14:solidFill>
          </w14:textFill>
        </w:rPr>
      </w:pP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黑体" w:eastAsia="黑体"/>
          <w:color w:val="000000" w:themeColor="text1"/>
          <w:sz w:val="32"/>
          <w:szCs w:val="32"/>
          <w14:textFill>
            <w14:solidFill>
              <w14:schemeClr w14:val="tx1"/>
            </w14:solidFill>
          </w14:textFill>
        </w:rPr>
      </w:pPr>
      <w:bookmarkStart w:id="1" w:name="YS060101"/>
      <w:r>
        <w:rPr>
          <w:rFonts w:hint="eastAsia" w:ascii="黑体" w:eastAsia="黑体"/>
          <w:color w:val="000000" w:themeColor="text1"/>
          <w:sz w:val="32"/>
          <w:szCs w:val="32"/>
          <w14:textFill>
            <w14:solidFill>
              <w14:schemeClr w14:val="tx1"/>
            </w14:solidFill>
          </w14:textFill>
        </w:rPr>
        <w:t>一、单位情况</w:t>
      </w:r>
    </w:p>
    <w:bookmarkEnd w:id="1"/>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3" w:firstLineChars="200"/>
        <w:textAlignment w:val="auto"/>
        <w:rPr>
          <w:rFonts w:ascii="楷体_GB2312" w:eastAsia="楷体_GB2312"/>
          <w:b/>
          <w:color w:val="000000" w:themeColor="text1"/>
          <w:sz w:val="32"/>
          <w:szCs w:val="32"/>
          <w14:textFill>
            <w14:solidFill>
              <w14:schemeClr w14:val="tx1"/>
            </w14:solidFill>
          </w14:textFill>
        </w:rPr>
      </w:pPr>
      <w:r>
        <w:rPr>
          <w:rFonts w:hint="eastAsia" w:ascii="楷体_GB2312" w:eastAsia="楷体_GB2312"/>
          <w:b/>
          <w:color w:val="000000" w:themeColor="text1"/>
          <w:sz w:val="32"/>
          <w:szCs w:val="32"/>
          <w14:textFill>
            <w14:solidFill>
              <w14:schemeClr w14:val="tx1"/>
            </w14:solidFill>
          </w14:textFill>
        </w:rPr>
        <w:t>（一）基本情况。</w:t>
      </w:r>
    </w:p>
    <w:p>
      <w:pPr>
        <w:keepNext w:val="0"/>
        <w:keepLines w:val="0"/>
        <w:pageBreakBefore w:val="0"/>
        <w:widowControl w:val="0"/>
        <w:numPr>
          <w:ilvl w:val="0"/>
          <w:numId w:val="1"/>
        </w:numPr>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主要职能。</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负责监督城市环境卫生管理法规、政策的贯彻执行，拟定相关的行政规定，参与县城规划设计的评审和环卫工程设施计划的拟定。</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负责环境综合整治和创建文明卫生县城的工作。</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负责组织与管理环卫工程设施的建设；负责指导环境卫生的行业标准和环卫工程设施建设的技术标准。</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负责县城环卫工程设施的整修、保护；综合管理环卫机械、车辆、设备及遵章运行、安全、预防事故工作。</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负责县城环卫管理，监督单位或个人在街道上的不卫生行为。</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负责县城垃圾日产日清和垃圾粪便无害化处理；推行与落实街道全日制保洁和临街单位环卫管理；负责收集、运输和处理病毒性及放射性垃圾；负责垃圾处理场的覆土填埋和综合开发。</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监督县城基建渣土的运输和倾倒，防范其污染街道。</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负责全县环卫行业管理。</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代县财政收取有关规费。</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2．机构情况</w:t>
      </w:r>
    </w:p>
    <w:p>
      <w:pPr>
        <w:keepNext w:val="0"/>
        <w:keepLines w:val="0"/>
        <w:pageBreakBefore w:val="0"/>
        <w:kinsoku/>
        <w:wordWrap/>
        <w:overflowPunct/>
        <w:topLinePunct w:val="0"/>
        <w:autoSpaceDE/>
        <w:autoSpaceDN/>
        <w:bidi w:val="0"/>
        <w:adjustRightInd/>
        <w:spacing w:beforeAutospacing="0" w:afterAutospacing="0" w:line="580" w:lineRule="exact"/>
        <w:ind w:left="0" w:firstLine="800" w:firstLineChars="25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单位为县城管局管理的副科级公益一类事业单位，根据县编办“三定”方案设置，共内设8个职能股室：综合室、人力资源室、清扫保洁室、垃圾处理室、渣土处理室（职能已划转县城管局机关）、设备保障室、考评教育室及服务收费室。下辖华容首创、深圳中鑫航实业、深圳新高度环境和深圳华茂物业等4家服务外包公司。</w:t>
      </w:r>
    </w:p>
    <w:p>
      <w:pPr>
        <w:keepNext w:val="0"/>
        <w:keepLines w:val="0"/>
        <w:pageBreakBefore w:val="0"/>
        <w:kinsoku/>
        <w:wordWrap/>
        <w:overflowPunct/>
        <w:topLinePunct w:val="0"/>
        <w:autoSpaceDE/>
        <w:autoSpaceDN/>
        <w:bidi w:val="0"/>
        <w:adjustRightInd/>
        <w:spacing w:beforeAutospacing="0" w:afterAutospacing="0" w:line="580" w:lineRule="exact"/>
        <w:ind w:left="0" w:firstLine="800" w:firstLineChars="250"/>
        <w:textAlignment w:val="auto"/>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3．人员情况。</w:t>
      </w:r>
    </w:p>
    <w:p>
      <w:pPr>
        <w:keepNext w:val="0"/>
        <w:keepLines w:val="0"/>
        <w:pageBreakBefore w:val="0"/>
        <w:kinsoku/>
        <w:wordWrap/>
        <w:overflowPunct/>
        <w:topLinePunct w:val="0"/>
        <w:autoSpaceDE/>
        <w:autoSpaceDN/>
        <w:bidi w:val="0"/>
        <w:adjustRightInd/>
        <w:spacing w:beforeAutospacing="0" w:afterAutospacing="0" w:line="580" w:lineRule="exact"/>
        <w:ind w:left="0" w:firstLine="800" w:firstLineChars="25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至2023年12月31日机关干部共1032人。其中正式职工150人（在职人员77人，退休人员70人）、一线临聘人员882人，比上年度减少5人，变动原因是当年调出5人。</w:t>
      </w:r>
    </w:p>
    <w:p>
      <w:pPr>
        <w:keepNext w:val="0"/>
        <w:keepLines w:val="0"/>
        <w:pageBreakBefore w:val="0"/>
        <w:numPr>
          <w:ilvl w:val="0"/>
          <w:numId w:val="2"/>
        </w:numPr>
        <w:kinsoku/>
        <w:wordWrap/>
        <w:overflowPunct/>
        <w:topLinePunct w:val="0"/>
        <w:autoSpaceDE/>
        <w:autoSpaceDN/>
        <w:bidi w:val="0"/>
        <w:adjustRightInd/>
        <w:snapToGrid w:val="0"/>
        <w:spacing w:beforeAutospacing="0" w:afterAutospacing="0" w:line="580" w:lineRule="exact"/>
        <w:ind w:left="0" w:firstLine="643" w:firstLineChars="200"/>
        <w:textAlignment w:val="auto"/>
        <w:rPr>
          <w:rFonts w:ascii="仿宋_GB2312" w:hAnsi="仿宋_GB2312" w:eastAsia="仿宋_GB2312" w:cs="仿宋_GB2312"/>
          <w:color w:val="000000" w:themeColor="text1"/>
          <w:sz w:val="32"/>
          <w:szCs w:val="32"/>
          <w14:textFill>
            <w14:solidFill>
              <w14:schemeClr w14:val="tx1"/>
            </w14:solidFill>
          </w14:textFill>
        </w:rPr>
      </w:pPr>
      <w:r>
        <w:rPr>
          <w:rFonts w:hint="eastAsia" w:ascii="楷体_GB2312" w:eastAsia="楷体_GB2312"/>
          <w:b/>
          <w:bCs/>
          <w:color w:val="000000" w:themeColor="text1"/>
          <w:sz w:val="32"/>
          <w:szCs w:val="32"/>
          <w14:textFill>
            <w14:solidFill>
              <w14:schemeClr w14:val="tx1"/>
            </w14:solidFill>
          </w14:textFill>
        </w:rPr>
        <w:t>当年取得的主要事业成效。</w:t>
      </w:r>
    </w:p>
    <w:p>
      <w:pPr>
        <w:keepNext w:val="0"/>
        <w:keepLines w:val="0"/>
        <w:pageBreakBefore w:val="0"/>
        <w:kinsoku/>
        <w:wordWrap/>
        <w:overflowPunct/>
        <w:topLinePunct w:val="0"/>
        <w:autoSpaceDE/>
        <w:autoSpaceDN/>
        <w:bidi w:val="0"/>
        <w:adjustRightInd/>
        <w:spacing w:beforeAutospacing="0" w:afterAutospacing="0" w:line="580" w:lineRule="exact"/>
        <w:ind w:left="0" w:firstLine="640" w:firstLineChars="200"/>
        <w:textAlignment w:val="auto"/>
        <w:rPr>
          <w:rFonts w:ascii="仿宋" w:hAnsi="仿宋" w:eastAsia="仿宋"/>
          <w:color w:val="000000" w:themeColor="text1"/>
          <w:sz w:val="32"/>
          <w:szCs w:val="32"/>
          <w14:textFill>
            <w14:solidFill>
              <w14:schemeClr w14:val="tx1"/>
            </w14:solidFill>
          </w14:textFill>
        </w:rPr>
      </w:pPr>
      <w:bookmarkStart w:id="2" w:name="YS060102"/>
      <w:r>
        <w:rPr>
          <w:rFonts w:hint="eastAsia" w:ascii="仿宋" w:hAnsi="仿宋" w:eastAsia="仿宋"/>
          <w:color w:val="000000" w:themeColor="text1"/>
          <w:sz w:val="32"/>
          <w:szCs w:val="32"/>
          <w14:textFill>
            <w14:solidFill>
              <w14:schemeClr w14:val="tx1"/>
            </w14:solidFill>
          </w14:textFill>
        </w:rPr>
        <w:t>今年以来，县市容环卫中心紧扣“服务做优、职能做强、阵地做大”目标定位，围绕标准化、精细化、网格化、信息化、机械化及市场化要求，进一步完善环卫市场化机制，树立精细化管理理念，推动城市市容环卫工作行稳、质优、势好。</w:t>
      </w:r>
      <w:r>
        <w:rPr>
          <w:rFonts w:hint="eastAsia" w:ascii="仿宋" w:hAnsi="仿宋" w:eastAsia="仿宋" w:cs="宋体"/>
          <w:color w:val="000000" w:themeColor="text1"/>
          <w:sz w:val="32"/>
          <w:szCs w:val="32"/>
          <w14:textFill>
            <w14:solidFill>
              <w14:schemeClr w14:val="tx1"/>
            </w14:solidFill>
          </w14:textFill>
        </w:rPr>
        <w:t>县城</w:t>
      </w:r>
      <w:r>
        <w:rPr>
          <w:rFonts w:hint="eastAsia" w:ascii="仿宋" w:hAnsi="仿宋" w:eastAsia="仿宋"/>
          <w:color w:val="000000" w:themeColor="text1"/>
          <w:sz w:val="32"/>
          <w:szCs w:val="32"/>
          <w14:textFill>
            <w14:solidFill>
              <w14:schemeClr w14:val="tx1"/>
            </w14:solidFill>
          </w14:textFill>
        </w:rPr>
        <w:t>环境卫生管理取得明显成效，卫生面貌明显改观。</w:t>
      </w:r>
    </w:p>
    <w:p>
      <w:pPr>
        <w:keepNext w:val="0"/>
        <w:keepLines w:val="0"/>
        <w:pageBreakBefore w:val="0"/>
        <w:widowControl/>
        <w:kinsoku/>
        <w:wordWrap/>
        <w:overflowPunct/>
        <w:topLinePunct w:val="0"/>
        <w:autoSpaceDE/>
        <w:autoSpaceDN/>
        <w:bidi w:val="0"/>
        <w:adjustRightInd/>
        <w:spacing w:beforeAutospacing="0" w:afterAutospacing="0" w:line="580" w:lineRule="exact"/>
        <w:ind w:left="0" w:firstLine="640" w:firstLineChars="200"/>
        <w:jc w:val="left"/>
        <w:textAlignment w:val="auto"/>
        <w:rPr>
          <w:rFonts w:ascii="黑体" w:eastAsia="黑体" w:cs="宋体"/>
          <w:color w:val="000000" w:themeColor="text1"/>
          <w:kern w:val="0"/>
          <w:sz w:val="32"/>
          <w:szCs w:val="32"/>
          <w14:textFill>
            <w14:solidFill>
              <w14:schemeClr w14:val="tx1"/>
            </w14:solidFill>
          </w14:textFill>
        </w:rPr>
      </w:pPr>
      <w:r>
        <w:rPr>
          <w:rFonts w:hint="eastAsia" w:ascii="黑体" w:eastAsia="黑体" w:cs="宋体"/>
          <w:color w:val="000000" w:themeColor="text1"/>
          <w:kern w:val="0"/>
          <w:sz w:val="32"/>
          <w:szCs w:val="32"/>
          <w14:textFill>
            <w14:solidFill>
              <w14:schemeClr w14:val="tx1"/>
            </w14:solidFill>
          </w14:textFill>
        </w:rPr>
        <w:t>二、收入支出预算执行情况分析</w:t>
      </w:r>
    </w:p>
    <w:bookmarkEnd w:id="2"/>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3" w:firstLineChars="200"/>
        <w:textAlignment w:val="auto"/>
        <w:rPr>
          <w:rFonts w:ascii="楷体_GB2312" w:eastAsia="楷体_GB2312"/>
          <w:b/>
          <w:color w:val="000000" w:themeColor="text1"/>
          <w:sz w:val="32"/>
          <w:szCs w:val="32"/>
          <w14:textFill>
            <w14:solidFill>
              <w14:schemeClr w14:val="tx1"/>
            </w14:solidFill>
          </w14:textFill>
        </w:rPr>
      </w:pPr>
      <w:r>
        <w:rPr>
          <w:rFonts w:hint="eastAsia" w:ascii="楷体_GB2312" w:eastAsia="楷体_GB2312"/>
          <w:b/>
          <w:color w:val="000000" w:themeColor="text1"/>
          <w:sz w:val="32"/>
          <w:szCs w:val="32"/>
          <w14:textFill>
            <w14:solidFill>
              <w14:schemeClr w14:val="tx1"/>
            </w14:solidFill>
          </w14:textFill>
        </w:rPr>
        <w:t>（一）收入支出预算安排情况。</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2023年，县财政下达我单位预算计划6395.82万元，其中：一般公共预算财政拨款收入5998.64万元,政府性基金预算财政拨款收入397.18万元；支出计划6395.82万元；年末无结余，预算收支平衡。预算拨款总额比2022年增加1186.16万元，增加的主要原因人员经费及专项目经费的增加。</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3" w:firstLineChars="200"/>
        <w:textAlignment w:val="auto"/>
        <w:rPr>
          <w:rFonts w:ascii="楷体_GB2312" w:eastAsia="楷体_GB2312"/>
          <w:b/>
          <w:color w:val="000000" w:themeColor="text1"/>
          <w:sz w:val="32"/>
          <w:szCs w:val="32"/>
          <w14:textFill>
            <w14:solidFill>
              <w14:schemeClr w14:val="tx1"/>
            </w14:solidFill>
          </w14:textFill>
        </w:rPr>
      </w:pPr>
      <w:r>
        <w:rPr>
          <w:rFonts w:hint="eastAsia" w:ascii="楷体_GB2312" w:eastAsia="楷体_GB2312"/>
          <w:b/>
          <w:color w:val="000000" w:themeColor="text1"/>
          <w:sz w:val="32"/>
          <w:szCs w:val="32"/>
          <w14:textFill>
            <w14:solidFill>
              <w14:schemeClr w14:val="tx1"/>
            </w14:solidFill>
          </w14:textFill>
        </w:rPr>
        <w:t>（二）收入支出预算执行情况。</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2023年，县财政下达我单位预算计划6395.82万元，其中：一般公共预算财政拨款收入5998.64万元,政府性基金预算财政拨款收入397.182万元；支出计划6395.82万元；年末无结余，预算收支平衡。预算拨款总额比2022年增加1186.16万元，增加的主要原因人员经费及专项目经费的增加。</w:t>
      </w:r>
    </w:p>
    <w:p>
      <w:pPr>
        <w:keepNext w:val="0"/>
        <w:keepLines w:val="0"/>
        <w:pageBreakBefore w:val="0"/>
        <w:numPr>
          <w:ilvl w:val="0"/>
          <w:numId w:val="3"/>
        </w:numPr>
        <w:kinsoku/>
        <w:wordWrap/>
        <w:overflowPunct/>
        <w:topLinePunct w:val="0"/>
        <w:autoSpaceDE/>
        <w:autoSpaceDN/>
        <w:bidi w:val="0"/>
        <w:adjustRightInd/>
        <w:snapToGrid w:val="0"/>
        <w:spacing w:beforeAutospacing="0" w:afterAutospacing="0" w:line="580" w:lineRule="exact"/>
        <w:ind w:left="0" w:firstLine="643" w:firstLineChars="200"/>
        <w:textAlignment w:val="auto"/>
        <w:rPr>
          <w:rFonts w:ascii="楷体_GB2312" w:hAnsi="仿宋" w:eastAsia="楷体_GB2312"/>
          <w:b/>
          <w:color w:val="000000" w:themeColor="text1"/>
          <w:sz w:val="32"/>
          <w:szCs w:val="32"/>
          <w14:textFill>
            <w14:solidFill>
              <w14:schemeClr w14:val="tx1"/>
            </w14:solidFill>
          </w14:textFill>
        </w:rPr>
      </w:pPr>
      <w:r>
        <w:rPr>
          <w:rFonts w:hint="eastAsia" w:ascii="楷体_GB2312" w:hAnsi="仿宋" w:eastAsia="楷体_GB2312"/>
          <w:b/>
          <w:color w:val="000000" w:themeColor="text1"/>
          <w:sz w:val="32"/>
          <w:szCs w:val="32"/>
          <w14:textFill>
            <w14:solidFill>
              <w14:schemeClr w14:val="tx1"/>
            </w14:solidFill>
          </w14:textFill>
        </w:rPr>
        <w:t>收入支出预算执行情况。</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2023年，县财政下达我单位预算计划6395.82万元，其中：一般公共预算财政拨款收入5998.64万元,政府性基金预算财政拨款收入397.18万元；支出计划6395.82万元；年末无结余，预算收支平衡。预算拨款总额比2022年增加1186.16万元，增加的主要原因人员经费及专项目经费的增加。</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3" w:firstLineChars="200"/>
        <w:textAlignment w:val="auto"/>
        <w:rPr>
          <w:rFonts w:ascii="仿宋_GB2312" w:hAnsi="仿宋" w:eastAsia="仿宋_GB2312"/>
          <w:b/>
          <w:color w:val="000000" w:themeColor="text1"/>
          <w:sz w:val="32"/>
          <w:szCs w:val="32"/>
          <w14:textFill>
            <w14:solidFill>
              <w14:schemeClr w14:val="tx1"/>
            </w14:solidFill>
          </w14:textFill>
        </w:rPr>
      </w:pPr>
      <w:r>
        <w:rPr>
          <w:rFonts w:hint="eastAsia" w:ascii="仿宋_GB2312" w:hAnsi="仿宋" w:eastAsia="仿宋_GB2312"/>
          <w:b/>
          <w:color w:val="000000" w:themeColor="text1"/>
          <w:sz w:val="32"/>
          <w:szCs w:val="32"/>
          <w14:textFill>
            <w14:solidFill>
              <w14:schemeClr w14:val="tx1"/>
            </w14:solidFill>
          </w14:textFill>
        </w:rPr>
        <w:t>1．收入支出与预算对比分析。</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今年实际预算数为1930.57万元，决算数为6395.82万元，增加231.29%，增加的原因是年初做了部分专项资金的预算。</w:t>
      </w:r>
    </w:p>
    <w:p>
      <w:pPr>
        <w:keepNext w:val="0"/>
        <w:keepLines w:val="0"/>
        <w:pageBreakBefore w:val="0"/>
        <w:kinsoku/>
        <w:wordWrap/>
        <w:overflowPunct/>
        <w:topLinePunct w:val="0"/>
        <w:autoSpaceDE/>
        <w:autoSpaceDN/>
        <w:bidi w:val="0"/>
        <w:adjustRightInd/>
        <w:snapToGrid w:val="0"/>
        <w:spacing w:beforeAutospacing="0" w:afterAutospacing="0" w:line="580" w:lineRule="exact"/>
        <w:ind w:left="0" w:firstLine="643" w:firstLineChars="200"/>
        <w:textAlignment w:val="auto"/>
        <w:rPr>
          <w:rFonts w:ascii="仿宋_GB2312" w:hAnsi="仿宋" w:eastAsia="仿宋_GB2312"/>
          <w:b/>
          <w:color w:val="000000" w:themeColor="text1"/>
          <w:sz w:val="32"/>
          <w:szCs w:val="32"/>
          <w14:textFill>
            <w14:solidFill>
              <w14:schemeClr w14:val="tx1"/>
            </w14:solidFill>
          </w14:textFill>
        </w:rPr>
      </w:pPr>
      <w:r>
        <w:rPr>
          <w:rFonts w:hint="eastAsia" w:ascii="仿宋_GB2312" w:hAnsi="仿宋" w:eastAsia="仿宋_GB2312"/>
          <w:b/>
          <w:color w:val="000000" w:themeColor="text1"/>
          <w:sz w:val="32"/>
          <w:szCs w:val="32"/>
          <w14:textFill>
            <w14:solidFill>
              <w14:schemeClr w14:val="tx1"/>
            </w14:solidFill>
          </w14:textFill>
        </w:rPr>
        <w:t>2．收入支出结构分析。</w:t>
      </w:r>
    </w:p>
    <w:p>
      <w:pPr>
        <w:snapToGrid w:val="0"/>
        <w:spacing w:line="520" w:lineRule="exact"/>
        <w:ind w:firstLine="643" w:firstLineChars="200"/>
        <w:rPr>
          <w:rFonts w:ascii="仿宋_GB2312" w:hAnsi="仿宋" w:eastAsia="仿宋_GB2312"/>
          <w:b/>
          <w:color w:val="000000" w:themeColor="text1"/>
          <w:sz w:val="32"/>
          <w:szCs w:val="32"/>
          <w14:textFill>
            <w14:solidFill>
              <w14:schemeClr w14:val="tx1"/>
            </w14:solidFill>
          </w14:textFill>
        </w:rPr>
      </w:pPr>
    </w:p>
    <w:p>
      <w:pPr>
        <w:snapToGrid w:val="0"/>
        <w:spacing w:line="520" w:lineRule="exact"/>
        <w:ind w:firstLine="643" w:firstLineChars="200"/>
        <w:rPr>
          <w:rFonts w:ascii="仿宋_GB2312" w:hAnsi="仿宋" w:eastAsia="仿宋_GB2312"/>
          <w:b/>
          <w:color w:val="000000" w:themeColor="text1"/>
          <w:sz w:val="32"/>
          <w:szCs w:val="32"/>
          <w14:textFill>
            <w14:solidFill>
              <w14:schemeClr w14:val="tx1"/>
            </w14:solidFill>
          </w14:textFill>
        </w:rPr>
      </w:pPr>
    </w:p>
    <w:p>
      <w:pPr>
        <w:snapToGrid w:val="0"/>
        <w:spacing w:line="520" w:lineRule="exact"/>
        <w:ind w:firstLine="643" w:firstLineChars="200"/>
        <w:rPr>
          <w:rFonts w:ascii="仿宋_GB2312" w:hAnsi="仿宋" w:eastAsia="仿宋_GB2312"/>
          <w:b/>
          <w:color w:val="000000" w:themeColor="text1"/>
          <w:sz w:val="32"/>
          <w:szCs w:val="32"/>
          <w14:textFill>
            <w14:solidFill>
              <w14:schemeClr w14:val="tx1"/>
            </w14:solidFill>
          </w14:textFill>
        </w:rPr>
      </w:pPr>
    </w:p>
    <w:p>
      <w:pPr>
        <w:snapToGrid w:val="0"/>
        <w:spacing w:line="520" w:lineRule="exact"/>
        <w:ind w:firstLine="640" w:firstLineChars="200"/>
        <w:rPr>
          <w:rFonts w:ascii="仿宋_GB2312" w:hAnsi="仿宋" w:eastAsia="仿宋_GB2312"/>
          <w:b/>
          <w:color w:val="000000" w:themeColor="text1"/>
          <w:sz w:val="32"/>
          <w:szCs w:val="32"/>
          <w14:textFill>
            <w14:solidFill>
              <w14:schemeClr w14:val="tx1"/>
            </w14:solidFill>
          </w14:textFill>
        </w:rPr>
      </w:pPr>
      <w:r>
        <w:rPr>
          <w:rFonts w:hint="eastAsia" w:ascii="仿宋_GB2312" w:hAnsi="仿宋" w:eastAsia="仿宋_GB2312"/>
          <w:bCs/>
          <w:color w:val="000000" w:themeColor="text1"/>
          <w:sz w:val="32"/>
          <w:szCs w:val="32"/>
          <w14:textFill>
            <w14:solidFill>
              <w14:schemeClr w14:val="tx1"/>
            </w14:solidFill>
          </w14:textFill>
        </w:rPr>
        <w:t>收入结构如图：</w:t>
      </w:r>
    </w:p>
    <w:tbl>
      <w:tblPr>
        <w:tblStyle w:val="12"/>
        <w:tblpPr w:leftFromText="180" w:rightFromText="180" w:vertAnchor="text" w:horzAnchor="page" w:tblpX="1805" w:tblpY="78"/>
        <w:tblOverlap w:val="never"/>
        <w:tblW w:w="8639" w:type="dxa"/>
        <w:tblInd w:w="0" w:type="dxa"/>
        <w:tblLayout w:type="fixed"/>
        <w:tblCellMar>
          <w:top w:w="15" w:type="dxa"/>
          <w:left w:w="15" w:type="dxa"/>
          <w:bottom w:w="15" w:type="dxa"/>
          <w:right w:w="15" w:type="dxa"/>
        </w:tblCellMar>
      </w:tblPr>
      <w:tblGrid>
        <w:gridCol w:w="1024"/>
        <w:gridCol w:w="1381"/>
        <w:gridCol w:w="1144"/>
        <w:gridCol w:w="589"/>
        <w:gridCol w:w="1170"/>
        <w:gridCol w:w="641"/>
        <w:gridCol w:w="1122"/>
        <w:gridCol w:w="590"/>
        <w:gridCol w:w="978"/>
      </w:tblGrid>
      <w:tr>
        <w:tblPrEx>
          <w:tblCellMar>
            <w:top w:w="15" w:type="dxa"/>
            <w:left w:w="15" w:type="dxa"/>
            <w:bottom w:w="15" w:type="dxa"/>
            <w:right w:w="15" w:type="dxa"/>
          </w:tblCellMar>
        </w:tblPrEx>
        <w:trPr>
          <w:trHeight w:val="404" w:hRule="atLeast"/>
        </w:trPr>
        <w:tc>
          <w:tcPr>
            <w:tcW w:w="8639" w:type="dxa"/>
            <w:gridSpan w:val="9"/>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收入结构</w:t>
            </w:r>
          </w:p>
        </w:tc>
      </w:tr>
      <w:tr>
        <w:tblPrEx>
          <w:tblCellMar>
            <w:top w:w="15" w:type="dxa"/>
            <w:left w:w="15" w:type="dxa"/>
            <w:bottom w:w="15" w:type="dxa"/>
            <w:right w:w="15" w:type="dxa"/>
          </w:tblCellMar>
        </w:tblPrEx>
        <w:trPr>
          <w:trHeight w:val="404" w:hRule="atLeast"/>
        </w:trPr>
        <w:tc>
          <w:tcPr>
            <w:tcW w:w="1024"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本年收入</w:t>
            </w:r>
          </w:p>
        </w:tc>
        <w:tc>
          <w:tcPr>
            <w:tcW w:w="2525" w:type="dxa"/>
            <w:gridSpan w:val="2"/>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财政拨款收入</w:t>
            </w:r>
          </w:p>
        </w:tc>
        <w:tc>
          <w:tcPr>
            <w:tcW w:w="1759" w:type="dxa"/>
            <w:gridSpan w:val="2"/>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事业收入</w:t>
            </w:r>
          </w:p>
        </w:tc>
        <w:tc>
          <w:tcPr>
            <w:tcW w:w="1763" w:type="dxa"/>
            <w:gridSpan w:val="2"/>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经营收入</w:t>
            </w:r>
          </w:p>
        </w:tc>
        <w:tc>
          <w:tcPr>
            <w:tcW w:w="1568" w:type="dxa"/>
            <w:gridSpan w:val="2"/>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其他</w:t>
            </w:r>
          </w:p>
        </w:tc>
      </w:tr>
      <w:tr>
        <w:tblPrEx>
          <w:tblCellMar>
            <w:top w:w="15" w:type="dxa"/>
            <w:left w:w="15" w:type="dxa"/>
            <w:bottom w:w="15" w:type="dxa"/>
            <w:right w:w="15" w:type="dxa"/>
          </w:tblCellMar>
        </w:tblPrEx>
        <w:trPr>
          <w:trHeight w:val="391" w:hRule="atLeast"/>
        </w:trPr>
        <w:tc>
          <w:tcPr>
            <w:tcW w:w="1024"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1381"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金额</w:t>
            </w:r>
          </w:p>
        </w:tc>
        <w:tc>
          <w:tcPr>
            <w:tcW w:w="1144"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占本年收入%</w:t>
            </w:r>
          </w:p>
        </w:tc>
        <w:tc>
          <w:tcPr>
            <w:tcW w:w="589"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金额</w:t>
            </w:r>
          </w:p>
        </w:tc>
        <w:tc>
          <w:tcPr>
            <w:tcW w:w="1170"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占本年收入%</w:t>
            </w:r>
          </w:p>
        </w:tc>
        <w:tc>
          <w:tcPr>
            <w:tcW w:w="641"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金额</w:t>
            </w:r>
          </w:p>
        </w:tc>
        <w:tc>
          <w:tcPr>
            <w:tcW w:w="1122"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占本年收入%</w:t>
            </w:r>
          </w:p>
        </w:tc>
        <w:tc>
          <w:tcPr>
            <w:tcW w:w="590"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金额</w:t>
            </w:r>
          </w:p>
        </w:tc>
        <w:tc>
          <w:tcPr>
            <w:tcW w:w="978"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占本年收入%</w:t>
            </w:r>
          </w:p>
        </w:tc>
      </w:tr>
      <w:tr>
        <w:tblPrEx>
          <w:tblCellMar>
            <w:top w:w="15" w:type="dxa"/>
            <w:left w:w="15" w:type="dxa"/>
            <w:bottom w:w="15" w:type="dxa"/>
            <w:right w:w="15" w:type="dxa"/>
          </w:tblCellMar>
        </w:tblPrEx>
        <w:trPr>
          <w:trHeight w:val="391" w:hRule="atLeast"/>
        </w:trPr>
        <w:tc>
          <w:tcPr>
            <w:tcW w:w="1024"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1381"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1144"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589"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1170"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641"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1122"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590"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978"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r>
      <w:tr>
        <w:tblPrEx>
          <w:tblCellMar>
            <w:top w:w="15" w:type="dxa"/>
            <w:left w:w="15" w:type="dxa"/>
            <w:bottom w:w="15" w:type="dxa"/>
            <w:right w:w="15" w:type="dxa"/>
          </w:tblCellMar>
        </w:tblPrEx>
        <w:trPr>
          <w:trHeight w:val="404" w:hRule="atLeast"/>
        </w:trPr>
        <w:tc>
          <w:tcPr>
            <w:tcW w:w="1024"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w:t>
            </w:r>
          </w:p>
        </w:tc>
        <w:tc>
          <w:tcPr>
            <w:tcW w:w="1381"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2</w:t>
            </w:r>
          </w:p>
        </w:tc>
        <w:tc>
          <w:tcPr>
            <w:tcW w:w="1144"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3</w:t>
            </w:r>
          </w:p>
        </w:tc>
        <w:tc>
          <w:tcPr>
            <w:tcW w:w="589"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4</w:t>
            </w:r>
          </w:p>
        </w:tc>
        <w:tc>
          <w:tcPr>
            <w:tcW w:w="1170"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5</w:t>
            </w:r>
          </w:p>
        </w:tc>
        <w:tc>
          <w:tcPr>
            <w:tcW w:w="641"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6</w:t>
            </w:r>
          </w:p>
        </w:tc>
        <w:tc>
          <w:tcPr>
            <w:tcW w:w="1122"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7</w:t>
            </w:r>
          </w:p>
        </w:tc>
        <w:tc>
          <w:tcPr>
            <w:tcW w:w="590"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8</w:t>
            </w:r>
          </w:p>
        </w:tc>
        <w:tc>
          <w:tcPr>
            <w:tcW w:w="978"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9</w:t>
            </w:r>
          </w:p>
        </w:tc>
      </w:tr>
      <w:tr>
        <w:tblPrEx>
          <w:tblCellMar>
            <w:top w:w="15" w:type="dxa"/>
            <w:left w:w="15" w:type="dxa"/>
            <w:bottom w:w="15" w:type="dxa"/>
            <w:right w:w="15" w:type="dxa"/>
          </w:tblCellMar>
        </w:tblPrEx>
        <w:trPr>
          <w:trHeight w:val="424" w:hRule="atLeast"/>
        </w:trPr>
        <w:tc>
          <w:tcPr>
            <w:tcW w:w="1024"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6395.82</w:t>
            </w:r>
          </w:p>
        </w:tc>
        <w:tc>
          <w:tcPr>
            <w:tcW w:w="1381"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6395.82</w:t>
            </w:r>
          </w:p>
        </w:tc>
        <w:tc>
          <w:tcPr>
            <w:tcW w:w="1144"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100.00</w:t>
            </w:r>
          </w:p>
        </w:tc>
        <w:tc>
          <w:tcPr>
            <w:tcW w:w="589"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c>
          <w:tcPr>
            <w:tcW w:w="1170"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c>
          <w:tcPr>
            <w:tcW w:w="641"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c>
          <w:tcPr>
            <w:tcW w:w="1122"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c>
          <w:tcPr>
            <w:tcW w:w="590"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c>
          <w:tcPr>
            <w:tcW w:w="978"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r>
    </w:tbl>
    <w:p>
      <w:pPr>
        <w:snapToGrid w:val="0"/>
        <w:spacing w:line="520" w:lineRule="exact"/>
        <w:ind w:firstLine="640" w:firstLineChars="200"/>
        <w:rPr>
          <w:rFonts w:ascii="仿宋_GB2312" w:hAnsi="仿宋" w:eastAsia="仿宋_GB2312"/>
          <w:bCs/>
          <w:color w:val="000000" w:themeColor="text1"/>
          <w:sz w:val="32"/>
          <w:szCs w:val="32"/>
          <w14:textFill>
            <w14:solidFill>
              <w14:schemeClr w14:val="tx1"/>
            </w14:solidFill>
          </w14:textFill>
        </w:rPr>
      </w:pPr>
      <w:r>
        <w:rPr>
          <w:rFonts w:hint="eastAsia" w:ascii="仿宋_GB2312" w:hAnsi="仿宋" w:eastAsia="仿宋_GB2312"/>
          <w:bCs/>
          <w:color w:val="000000" w:themeColor="text1"/>
          <w:sz w:val="32"/>
          <w:szCs w:val="32"/>
          <w14:textFill>
            <w14:solidFill>
              <w14:schemeClr w14:val="tx1"/>
            </w14:solidFill>
          </w14:textFill>
        </w:rPr>
        <w:t>支出结构如图：</w:t>
      </w:r>
    </w:p>
    <w:tbl>
      <w:tblPr>
        <w:tblStyle w:val="12"/>
        <w:tblpPr w:leftFromText="180" w:rightFromText="180" w:vertAnchor="text" w:horzAnchor="page" w:tblpX="1817" w:tblpY="142"/>
        <w:tblOverlap w:val="never"/>
        <w:tblW w:w="8905" w:type="dxa"/>
        <w:tblInd w:w="0" w:type="dxa"/>
        <w:tblLayout w:type="fixed"/>
        <w:tblCellMar>
          <w:top w:w="15" w:type="dxa"/>
          <w:left w:w="15" w:type="dxa"/>
          <w:bottom w:w="15" w:type="dxa"/>
          <w:right w:w="15" w:type="dxa"/>
        </w:tblCellMar>
      </w:tblPr>
      <w:tblGrid>
        <w:gridCol w:w="1036"/>
        <w:gridCol w:w="985"/>
        <w:gridCol w:w="834"/>
        <w:gridCol w:w="875"/>
        <w:gridCol w:w="633"/>
        <w:gridCol w:w="1058"/>
        <w:gridCol w:w="650"/>
        <w:gridCol w:w="967"/>
        <w:gridCol w:w="733"/>
        <w:gridCol w:w="617"/>
        <w:gridCol w:w="517"/>
      </w:tblGrid>
      <w:tr>
        <w:tblPrEx>
          <w:tblCellMar>
            <w:top w:w="15" w:type="dxa"/>
            <w:left w:w="15" w:type="dxa"/>
            <w:bottom w:w="15" w:type="dxa"/>
            <w:right w:w="15" w:type="dxa"/>
          </w:tblCellMar>
        </w:tblPrEx>
        <w:trPr>
          <w:trHeight w:val="695" w:hRule="atLeast"/>
        </w:trPr>
        <w:tc>
          <w:tcPr>
            <w:tcW w:w="8905" w:type="dxa"/>
            <w:gridSpan w:val="11"/>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支出结构</w:t>
            </w:r>
          </w:p>
          <w:p>
            <w:pPr>
              <w:pStyle w:val="11"/>
              <w:rPr>
                <w:color w:val="000000" w:themeColor="text1"/>
                <w14:textFill>
                  <w14:solidFill>
                    <w14:schemeClr w14:val="tx1"/>
                  </w14:solidFill>
                </w14:textFill>
              </w:rPr>
            </w:pPr>
          </w:p>
        </w:tc>
      </w:tr>
      <w:tr>
        <w:tblPrEx>
          <w:tblCellMar>
            <w:top w:w="15" w:type="dxa"/>
            <w:left w:w="15" w:type="dxa"/>
            <w:bottom w:w="15" w:type="dxa"/>
            <w:right w:w="15" w:type="dxa"/>
          </w:tblCellMar>
        </w:tblPrEx>
        <w:trPr>
          <w:trHeight w:val="428" w:hRule="atLeast"/>
        </w:trPr>
        <w:tc>
          <w:tcPr>
            <w:tcW w:w="1036"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本年支出</w:t>
            </w:r>
          </w:p>
        </w:tc>
        <w:tc>
          <w:tcPr>
            <w:tcW w:w="3327" w:type="dxa"/>
            <w:gridSpan w:val="4"/>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按资金来源</w:t>
            </w:r>
          </w:p>
        </w:tc>
        <w:tc>
          <w:tcPr>
            <w:tcW w:w="4542" w:type="dxa"/>
            <w:gridSpan w:val="6"/>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按支出性质</w:t>
            </w:r>
          </w:p>
        </w:tc>
      </w:tr>
      <w:tr>
        <w:tblPrEx>
          <w:tblCellMar>
            <w:top w:w="15" w:type="dxa"/>
            <w:left w:w="15" w:type="dxa"/>
            <w:bottom w:w="15" w:type="dxa"/>
            <w:right w:w="15" w:type="dxa"/>
          </w:tblCellMar>
        </w:tblPrEx>
        <w:trPr>
          <w:trHeight w:val="416" w:hRule="atLeast"/>
        </w:trPr>
        <w:tc>
          <w:tcPr>
            <w:tcW w:w="1036"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985"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财政拨款支出</w:t>
            </w:r>
          </w:p>
        </w:tc>
        <w:tc>
          <w:tcPr>
            <w:tcW w:w="834"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占本年支出%</w:t>
            </w:r>
          </w:p>
        </w:tc>
        <w:tc>
          <w:tcPr>
            <w:tcW w:w="875"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其他</w:t>
            </w:r>
          </w:p>
        </w:tc>
        <w:tc>
          <w:tcPr>
            <w:tcW w:w="633"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占本年支出%</w:t>
            </w:r>
          </w:p>
        </w:tc>
        <w:tc>
          <w:tcPr>
            <w:tcW w:w="1058"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基本支出</w:t>
            </w:r>
          </w:p>
        </w:tc>
        <w:tc>
          <w:tcPr>
            <w:tcW w:w="650"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占本年支出%</w:t>
            </w:r>
          </w:p>
        </w:tc>
        <w:tc>
          <w:tcPr>
            <w:tcW w:w="967"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项目支出</w:t>
            </w:r>
          </w:p>
        </w:tc>
        <w:tc>
          <w:tcPr>
            <w:tcW w:w="733"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占本年支出%</w:t>
            </w:r>
          </w:p>
        </w:tc>
        <w:tc>
          <w:tcPr>
            <w:tcW w:w="617"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经营支出</w:t>
            </w:r>
          </w:p>
        </w:tc>
        <w:tc>
          <w:tcPr>
            <w:tcW w:w="517"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占本年支出%</w:t>
            </w:r>
          </w:p>
        </w:tc>
      </w:tr>
      <w:tr>
        <w:tblPrEx>
          <w:tblCellMar>
            <w:top w:w="15" w:type="dxa"/>
            <w:left w:w="15" w:type="dxa"/>
            <w:bottom w:w="15" w:type="dxa"/>
            <w:right w:w="15" w:type="dxa"/>
          </w:tblCellMar>
        </w:tblPrEx>
        <w:trPr>
          <w:trHeight w:val="625" w:hRule="atLeast"/>
        </w:trPr>
        <w:tc>
          <w:tcPr>
            <w:tcW w:w="1036"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985"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834"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875"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633"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1058"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650"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967"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733"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617"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c>
          <w:tcPr>
            <w:tcW w:w="517"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 w:val="24"/>
                <w14:textFill>
                  <w14:solidFill>
                    <w14:schemeClr w14:val="tx1"/>
                  </w14:solidFill>
                </w14:textFill>
              </w:rPr>
            </w:pPr>
          </w:p>
        </w:tc>
      </w:tr>
      <w:tr>
        <w:tblPrEx>
          <w:tblCellMar>
            <w:top w:w="15" w:type="dxa"/>
            <w:left w:w="15" w:type="dxa"/>
            <w:bottom w:w="15" w:type="dxa"/>
            <w:right w:w="15" w:type="dxa"/>
          </w:tblCellMar>
        </w:tblPrEx>
        <w:trPr>
          <w:trHeight w:val="428" w:hRule="atLeast"/>
        </w:trPr>
        <w:tc>
          <w:tcPr>
            <w:tcW w:w="1036"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10</w:t>
            </w:r>
          </w:p>
        </w:tc>
        <w:tc>
          <w:tcPr>
            <w:tcW w:w="985"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11</w:t>
            </w:r>
          </w:p>
        </w:tc>
        <w:tc>
          <w:tcPr>
            <w:tcW w:w="834"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12</w:t>
            </w:r>
          </w:p>
        </w:tc>
        <w:tc>
          <w:tcPr>
            <w:tcW w:w="875"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13</w:t>
            </w:r>
          </w:p>
        </w:tc>
        <w:tc>
          <w:tcPr>
            <w:tcW w:w="633"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14</w:t>
            </w:r>
          </w:p>
        </w:tc>
        <w:tc>
          <w:tcPr>
            <w:tcW w:w="1058"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15</w:t>
            </w:r>
          </w:p>
        </w:tc>
        <w:tc>
          <w:tcPr>
            <w:tcW w:w="650"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16</w:t>
            </w:r>
          </w:p>
        </w:tc>
        <w:tc>
          <w:tcPr>
            <w:tcW w:w="967"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17</w:t>
            </w:r>
          </w:p>
        </w:tc>
        <w:tc>
          <w:tcPr>
            <w:tcW w:w="733"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18</w:t>
            </w:r>
          </w:p>
        </w:tc>
        <w:tc>
          <w:tcPr>
            <w:tcW w:w="617"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19</w:t>
            </w:r>
          </w:p>
        </w:tc>
        <w:tc>
          <w:tcPr>
            <w:tcW w:w="517"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20</w:t>
            </w:r>
          </w:p>
        </w:tc>
      </w:tr>
      <w:tr>
        <w:tblPrEx>
          <w:tblCellMar>
            <w:top w:w="15" w:type="dxa"/>
            <w:left w:w="15" w:type="dxa"/>
            <w:bottom w:w="15" w:type="dxa"/>
            <w:right w:w="15" w:type="dxa"/>
          </w:tblCellMar>
        </w:tblPrEx>
        <w:trPr>
          <w:trHeight w:val="458" w:hRule="atLeast"/>
        </w:trPr>
        <w:tc>
          <w:tcPr>
            <w:tcW w:w="1036"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6395.82</w:t>
            </w:r>
          </w:p>
        </w:tc>
        <w:tc>
          <w:tcPr>
            <w:tcW w:w="985"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6395.82</w:t>
            </w:r>
          </w:p>
        </w:tc>
        <w:tc>
          <w:tcPr>
            <w:tcW w:w="834"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100.00</w:t>
            </w:r>
          </w:p>
        </w:tc>
        <w:tc>
          <w:tcPr>
            <w:tcW w:w="875"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c>
          <w:tcPr>
            <w:tcW w:w="633"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c>
          <w:tcPr>
            <w:tcW w:w="1058"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1034.17</w:t>
            </w:r>
          </w:p>
        </w:tc>
        <w:tc>
          <w:tcPr>
            <w:tcW w:w="650"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16.17</w:t>
            </w:r>
          </w:p>
        </w:tc>
        <w:tc>
          <w:tcPr>
            <w:tcW w:w="967"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5361.65</w:t>
            </w:r>
          </w:p>
        </w:tc>
        <w:tc>
          <w:tcPr>
            <w:tcW w:w="733"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83.83</w:t>
            </w:r>
          </w:p>
        </w:tc>
        <w:tc>
          <w:tcPr>
            <w:tcW w:w="617"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c>
          <w:tcPr>
            <w:tcW w:w="517"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0.00</w:t>
            </w:r>
          </w:p>
        </w:tc>
      </w:tr>
    </w:tbl>
    <w:p>
      <w:pPr>
        <w:snapToGrid w:val="0"/>
        <w:spacing w:line="520" w:lineRule="exact"/>
        <w:ind w:firstLine="643" w:firstLineChars="200"/>
        <w:rPr>
          <w:rFonts w:ascii="仿宋_GB2312" w:hAnsi="仿宋" w:eastAsia="仿宋_GB2312"/>
          <w:b/>
          <w:color w:val="000000" w:themeColor="text1"/>
          <w:sz w:val="32"/>
          <w:szCs w:val="32"/>
          <w14:textFill>
            <w14:solidFill>
              <w14:schemeClr w14:val="tx1"/>
            </w14:solidFill>
          </w14:textFill>
        </w:rPr>
      </w:pPr>
      <w:r>
        <w:rPr>
          <w:rFonts w:hint="eastAsia" w:ascii="仿宋_GB2312" w:hAnsi="仿宋" w:eastAsia="仿宋_GB2312"/>
          <w:b/>
          <w:color w:val="000000" w:themeColor="text1"/>
          <w:sz w:val="32"/>
          <w:szCs w:val="32"/>
          <w14:textFill>
            <w14:solidFill>
              <w14:schemeClr w14:val="tx1"/>
            </w14:solidFill>
          </w14:textFill>
        </w:rPr>
        <w:t>经济分类如图：</w:t>
      </w:r>
    </w:p>
    <w:tbl>
      <w:tblPr>
        <w:tblStyle w:val="12"/>
        <w:tblpPr w:leftFromText="180" w:rightFromText="180" w:vertAnchor="text" w:horzAnchor="page" w:tblpX="1829" w:tblpY="428"/>
        <w:tblOverlap w:val="never"/>
        <w:tblW w:w="8720" w:type="dxa"/>
        <w:tblInd w:w="0" w:type="dxa"/>
        <w:tblLayout w:type="fixed"/>
        <w:tblCellMar>
          <w:top w:w="15" w:type="dxa"/>
          <w:left w:w="15" w:type="dxa"/>
          <w:bottom w:w="15" w:type="dxa"/>
          <w:right w:w="15" w:type="dxa"/>
        </w:tblCellMar>
      </w:tblPr>
      <w:tblGrid>
        <w:gridCol w:w="1162"/>
        <w:gridCol w:w="904"/>
        <w:gridCol w:w="1054"/>
        <w:gridCol w:w="603"/>
        <w:gridCol w:w="1054"/>
        <w:gridCol w:w="762"/>
        <w:gridCol w:w="910"/>
        <w:gridCol w:w="756"/>
        <w:gridCol w:w="838"/>
        <w:gridCol w:w="677"/>
      </w:tblGrid>
      <w:tr>
        <w:tblPrEx>
          <w:tblCellMar>
            <w:top w:w="15" w:type="dxa"/>
            <w:left w:w="15" w:type="dxa"/>
            <w:bottom w:w="15" w:type="dxa"/>
            <w:right w:w="15" w:type="dxa"/>
          </w:tblCellMar>
        </w:tblPrEx>
        <w:trPr>
          <w:trHeight w:val="770" w:hRule="atLeast"/>
        </w:trPr>
        <w:tc>
          <w:tcPr>
            <w:tcW w:w="8720" w:type="dxa"/>
            <w:gridSpan w:val="10"/>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按支出经济分类</w:t>
            </w:r>
          </w:p>
        </w:tc>
      </w:tr>
      <w:tr>
        <w:tblPrEx>
          <w:tblCellMar>
            <w:top w:w="15" w:type="dxa"/>
            <w:left w:w="15" w:type="dxa"/>
            <w:bottom w:w="15" w:type="dxa"/>
            <w:right w:w="15" w:type="dxa"/>
          </w:tblCellMar>
        </w:tblPrEx>
        <w:trPr>
          <w:trHeight w:val="753" w:hRule="atLeast"/>
        </w:trPr>
        <w:tc>
          <w:tcPr>
            <w:tcW w:w="1162"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hint="eastAsia" w:ascii="宋体" w:hAnsi="宋体" w:cs="宋体"/>
                <w:color w:val="000000" w:themeColor="text1"/>
                <w:kern w:val="0"/>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工资福利</w:t>
            </w:r>
          </w:p>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支出</w:t>
            </w:r>
          </w:p>
        </w:tc>
        <w:tc>
          <w:tcPr>
            <w:tcW w:w="904"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占本年支出%</w:t>
            </w:r>
          </w:p>
        </w:tc>
        <w:tc>
          <w:tcPr>
            <w:tcW w:w="1054"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商品和服务支出</w:t>
            </w:r>
          </w:p>
        </w:tc>
        <w:tc>
          <w:tcPr>
            <w:tcW w:w="603"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占本年支出%</w:t>
            </w:r>
          </w:p>
        </w:tc>
        <w:tc>
          <w:tcPr>
            <w:tcW w:w="1054"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对个人和家庭的补助</w:t>
            </w:r>
          </w:p>
        </w:tc>
        <w:tc>
          <w:tcPr>
            <w:tcW w:w="762"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占本年支出%</w:t>
            </w:r>
          </w:p>
        </w:tc>
        <w:tc>
          <w:tcPr>
            <w:tcW w:w="910"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对企业的补助</w:t>
            </w:r>
          </w:p>
        </w:tc>
        <w:tc>
          <w:tcPr>
            <w:tcW w:w="756"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占本年支出%</w:t>
            </w:r>
          </w:p>
        </w:tc>
        <w:tc>
          <w:tcPr>
            <w:tcW w:w="838"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资本性支出</w:t>
            </w:r>
          </w:p>
        </w:tc>
        <w:tc>
          <w:tcPr>
            <w:tcW w:w="677" w:type="dxa"/>
            <w:vMerge w:val="restart"/>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占本年支出%</w:t>
            </w:r>
          </w:p>
        </w:tc>
      </w:tr>
      <w:tr>
        <w:tblPrEx>
          <w:tblCellMar>
            <w:top w:w="15" w:type="dxa"/>
            <w:left w:w="15" w:type="dxa"/>
            <w:bottom w:w="15" w:type="dxa"/>
            <w:right w:w="15" w:type="dxa"/>
          </w:tblCellMar>
        </w:tblPrEx>
        <w:trPr>
          <w:trHeight w:val="753" w:hRule="atLeast"/>
        </w:trPr>
        <w:tc>
          <w:tcPr>
            <w:tcW w:w="1162"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904"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1054"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603"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1054"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762"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910"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756"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838"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c>
          <w:tcPr>
            <w:tcW w:w="677" w:type="dxa"/>
            <w:vMerge w:val="continue"/>
            <w:tcBorders>
              <w:top w:val="single" w:color="auto" w:sz="4" w:space="0"/>
              <w:left w:val="single" w:color="auto" w:sz="4" w:space="0"/>
              <w:bottom w:val="single" w:color="auto" w:sz="4" w:space="0"/>
              <w:right w:val="single" w:color="auto" w:sz="4" w:space="0"/>
            </w:tcBorders>
            <w:shd w:val="clear" w:color="FFFFFF" w:fill="FFFFFF"/>
            <w:vAlign w:val="center"/>
          </w:tcPr>
          <w:p>
            <w:pPr>
              <w:jc w:val="center"/>
              <w:rPr>
                <w:rFonts w:ascii="宋体" w:hAnsi="宋体" w:cs="宋体"/>
                <w:color w:val="000000" w:themeColor="text1"/>
                <w:szCs w:val="21"/>
                <w14:textFill>
                  <w14:solidFill>
                    <w14:schemeClr w14:val="tx1"/>
                  </w14:solidFill>
                </w14:textFill>
              </w:rPr>
            </w:pPr>
          </w:p>
        </w:tc>
      </w:tr>
      <w:tr>
        <w:tblPrEx>
          <w:tblCellMar>
            <w:top w:w="15" w:type="dxa"/>
            <w:left w:w="15" w:type="dxa"/>
            <w:bottom w:w="15" w:type="dxa"/>
            <w:right w:w="15" w:type="dxa"/>
          </w:tblCellMar>
        </w:tblPrEx>
        <w:trPr>
          <w:trHeight w:val="770" w:hRule="atLeast"/>
        </w:trPr>
        <w:tc>
          <w:tcPr>
            <w:tcW w:w="1162"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21</w:t>
            </w:r>
          </w:p>
        </w:tc>
        <w:tc>
          <w:tcPr>
            <w:tcW w:w="904"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22</w:t>
            </w:r>
          </w:p>
        </w:tc>
        <w:tc>
          <w:tcPr>
            <w:tcW w:w="1054"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23</w:t>
            </w:r>
          </w:p>
        </w:tc>
        <w:tc>
          <w:tcPr>
            <w:tcW w:w="603"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24</w:t>
            </w:r>
          </w:p>
        </w:tc>
        <w:tc>
          <w:tcPr>
            <w:tcW w:w="1054"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25</w:t>
            </w:r>
          </w:p>
        </w:tc>
        <w:tc>
          <w:tcPr>
            <w:tcW w:w="762"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26</w:t>
            </w:r>
          </w:p>
        </w:tc>
        <w:tc>
          <w:tcPr>
            <w:tcW w:w="910"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27</w:t>
            </w:r>
          </w:p>
        </w:tc>
        <w:tc>
          <w:tcPr>
            <w:tcW w:w="756"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28</w:t>
            </w:r>
          </w:p>
        </w:tc>
        <w:tc>
          <w:tcPr>
            <w:tcW w:w="838"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29</w:t>
            </w:r>
          </w:p>
        </w:tc>
        <w:tc>
          <w:tcPr>
            <w:tcW w:w="677" w:type="dxa"/>
            <w:tcBorders>
              <w:top w:val="single" w:color="auto" w:sz="4" w:space="0"/>
              <w:left w:val="single" w:color="auto" w:sz="4" w:space="0"/>
              <w:bottom w:val="single" w:color="auto" w:sz="4" w:space="0"/>
              <w:right w:val="single" w:color="auto" w:sz="4" w:space="0"/>
            </w:tcBorders>
            <w:shd w:val="clear" w:color="FFFFFF" w:fill="FFFFFF"/>
            <w:vAlign w:val="center"/>
          </w:tcPr>
          <w:p>
            <w:pPr>
              <w:widowControl/>
              <w:jc w:val="center"/>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30</w:t>
            </w:r>
          </w:p>
        </w:tc>
      </w:tr>
      <w:tr>
        <w:tblPrEx>
          <w:tblCellMar>
            <w:top w:w="15" w:type="dxa"/>
            <w:left w:w="15" w:type="dxa"/>
            <w:bottom w:w="15" w:type="dxa"/>
            <w:right w:w="15" w:type="dxa"/>
          </w:tblCellMar>
        </w:tblPrEx>
        <w:trPr>
          <w:trHeight w:val="855" w:hRule="atLeast"/>
        </w:trPr>
        <w:tc>
          <w:tcPr>
            <w:tcW w:w="1162"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859.02</w:t>
            </w:r>
          </w:p>
        </w:tc>
        <w:tc>
          <w:tcPr>
            <w:tcW w:w="904"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13.43</w:t>
            </w:r>
          </w:p>
        </w:tc>
        <w:tc>
          <w:tcPr>
            <w:tcW w:w="1054"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138.38</w:t>
            </w:r>
          </w:p>
        </w:tc>
        <w:tc>
          <w:tcPr>
            <w:tcW w:w="603"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2.16</w:t>
            </w:r>
          </w:p>
        </w:tc>
        <w:tc>
          <w:tcPr>
            <w:tcW w:w="1054"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4075.60</w:t>
            </w:r>
          </w:p>
        </w:tc>
        <w:tc>
          <w:tcPr>
            <w:tcW w:w="762"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63.72</w:t>
            </w:r>
          </w:p>
        </w:tc>
        <w:tc>
          <w:tcPr>
            <w:tcW w:w="910"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0</w:t>
            </w:r>
          </w:p>
        </w:tc>
        <w:tc>
          <w:tcPr>
            <w:tcW w:w="756"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0</w:t>
            </w:r>
          </w:p>
        </w:tc>
        <w:tc>
          <w:tcPr>
            <w:tcW w:w="838"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1322.82</w:t>
            </w:r>
          </w:p>
        </w:tc>
        <w:tc>
          <w:tcPr>
            <w:tcW w:w="677"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jc w:val="right"/>
              <w:textAlignment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20.69</w:t>
            </w:r>
          </w:p>
        </w:tc>
      </w:tr>
    </w:tbl>
    <w:p>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ascii="仿宋_GB2312" w:eastAsia="仿宋_GB2312"/>
          <w:b/>
          <w:color w:val="000000" w:themeColor="text1"/>
          <w:sz w:val="32"/>
          <w:szCs w:val="32"/>
          <w14:textFill>
            <w14:solidFill>
              <w14:schemeClr w14:val="tx1"/>
            </w14:solidFill>
          </w14:textFill>
        </w:rPr>
      </w:pPr>
      <w:r>
        <w:rPr>
          <w:rFonts w:hint="eastAsia" w:ascii="仿宋_GB2312" w:eastAsia="仿宋_GB2312"/>
          <w:b/>
          <w:color w:val="000000" w:themeColor="text1"/>
          <w:sz w:val="32"/>
          <w:szCs w:val="32"/>
          <w14:textFill>
            <w14:solidFill>
              <w14:schemeClr w14:val="tx1"/>
            </w14:solidFill>
          </w14:textFill>
        </w:rPr>
        <w:t>3．支出按经济分类科目分析。</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（1）“三公”经费支出情况：</w:t>
      </w:r>
      <w:r>
        <w:rPr>
          <w:rFonts w:hint="eastAsia" w:ascii="仿宋_GB2312" w:hAnsi="仿宋" w:eastAsia="仿宋_GB2312"/>
          <w:color w:val="000000" w:themeColor="text1"/>
          <w:sz w:val="32"/>
          <w:szCs w:val="32"/>
          <w14:textFill>
            <w14:solidFill>
              <w14:schemeClr w14:val="tx1"/>
            </w14:solidFill>
          </w14:textFill>
        </w:rPr>
        <w:t>2023年会议费与上年相同，比预算减少100.00%。</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仿宋_GB2312" w:hAnsi="仿宋"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（2）会议费支出情况：</w:t>
      </w:r>
      <w:r>
        <w:rPr>
          <w:rFonts w:hint="eastAsia" w:ascii="仿宋_GB2312" w:hAnsi="仿宋" w:eastAsia="仿宋_GB2312"/>
          <w:color w:val="000000" w:themeColor="text1"/>
          <w:sz w:val="32"/>
          <w:szCs w:val="32"/>
          <w14:textFill>
            <w14:solidFill>
              <w14:schemeClr w14:val="tx1"/>
            </w14:solidFill>
          </w14:textFill>
        </w:rPr>
        <w:t>2023年会议费与上年相同，比预算减少100.00%。</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仿宋_GB2312" w:eastAsia="仿宋_GB2312" w:cs="仿宋"/>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（3）培训费支出情况：本年度培训费为6.00万元，与上年度相比，</w:t>
      </w:r>
      <w:r>
        <w:rPr>
          <w:rFonts w:hint="eastAsia" w:ascii="仿宋_GB2312" w:eastAsia="仿宋_GB2312" w:cs="仿宋"/>
          <w:color w:val="000000" w:themeColor="text1"/>
          <w:sz w:val="32"/>
          <w:szCs w:val="32"/>
          <w14:textFill>
            <w14:solidFill>
              <w14:schemeClr w14:val="tx1"/>
            </w14:solidFill>
          </w14:textFill>
        </w:rPr>
        <w:t>减少6.25</w:t>
      </w:r>
      <w:r>
        <w:rPr>
          <w:rFonts w:hint="eastAsia" w:ascii="仿宋_GB2312" w:eastAsia="仿宋_GB2312"/>
          <w:color w:val="000000" w:themeColor="text1"/>
          <w:sz w:val="32"/>
          <w:szCs w:val="32"/>
          <w14:textFill>
            <w14:solidFill>
              <w14:schemeClr w14:val="tx1"/>
            </w14:solidFill>
          </w14:textFill>
        </w:rPr>
        <w:t>万元，</w:t>
      </w:r>
      <w:r>
        <w:rPr>
          <w:rFonts w:hint="eastAsia" w:ascii="仿宋_GB2312" w:eastAsia="仿宋_GB2312" w:cs="仿宋"/>
          <w:color w:val="000000" w:themeColor="text1"/>
          <w:sz w:val="32"/>
          <w:szCs w:val="32"/>
          <w14:textFill>
            <w14:solidFill>
              <w14:schemeClr w14:val="tx1"/>
            </w14:solidFill>
          </w14:textFill>
        </w:rPr>
        <w:t>增减比率为-51.00%。主要是因为培训项目减少。</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（4）其他对单位影响较大的支出情况。无</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（5）重点经济分类支出中存在的问题及改进措施。无</w:t>
      </w:r>
    </w:p>
    <w:p>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hint="eastAsia" w:ascii="仿宋_GB2312" w:eastAsia="仿宋_GB2312"/>
          <w:b/>
          <w:color w:val="000000" w:themeColor="text1"/>
          <w:sz w:val="32"/>
          <w:szCs w:val="32"/>
          <w14:textFill>
            <w14:solidFill>
              <w14:schemeClr w14:val="tx1"/>
            </w14:solidFill>
          </w14:textFill>
        </w:rPr>
      </w:pPr>
      <w:r>
        <w:rPr>
          <w:rFonts w:hint="eastAsia" w:ascii="仿宋_GB2312" w:eastAsia="仿宋_GB2312"/>
          <w:b/>
          <w:color w:val="000000" w:themeColor="text1"/>
          <w:sz w:val="32"/>
          <w:szCs w:val="32"/>
          <w14:textFill>
            <w14:solidFill>
              <w14:schemeClr w14:val="tx1"/>
            </w14:solidFill>
          </w14:textFill>
        </w:rPr>
        <w:t>4.财政拨款收入、支出分析。</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仿宋_GB2312" w:hAnsi="仿宋" w:eastAsia="仿宋_GB2312"/>
          <w:b/>
          <w:color w:val="000000" w:themeColor="text1"/>
          <w:sz w:val="32"/>
          <w:szCs w:val="32"/>
          <w14:textFill>
            <w14:solidFill>
              <w14:schemeClr w14:val="tx1"/>
            </w14:solidFill>
          </w14:textFill>
        </w:rPr>
      </w:pPr>
      <w:r>
        <w:rPr>
          <w:rFonts w:hint="eastAsia" w:ascii="仿宋_GB2312" w:hAnsi="仿宋" w:eastAsia="仿宋_GB2312"/>
          <w:bCs/>
          <w:color w:val="000000" w:themeColor="text1"/>
          <w:sz w:val="32"/>
          <w:szCs w:val="32"/>
          <w14:textFill>
            <w14:solidFill>
              <w14:schemeClr w14:val="tx1"/>
            </w14:solidFill>
          </w14:textFill>
        </w:rPr>
        <w:t>2023年财政拨款收入6395.82万元，总支出6395.82万元，收支平衡。2023年基本支出1034.17万元，项目支出5361.65万元。</w:t>
      </w:r>
    </w:p>
    <w:p>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ascii="仿宋_GB2312" w:eastAsia="仿宋_GB2312"/>
          <w:b/>
          <w:color w:val="000000" w:themeColor="text1"/>
          <w:sz w:val="32"/>
          <w:szCs w:val="32"/>
          <w14:textFill>
            <w14:solidFill>
              <w14:schemeClr w14:val="tx1"/>
            </w14:solidFill>
          </w14:textFill>
        </w:rPr>
      </w:pPr>
      <w:r>
        <w:rPr>
          <w:rFonts w:hint="eastAsia" w:ascii="仿宋_GB2312" w:eastAsia="仿宋_GB2312"/>
          <w:b/>
          <w:color w:val="000000" w:themeColor="text1"/>
          <w:sz w:val="32"/>
          <w:szCs w:val="32"/>
          <w14:textFill>
            <w14:solidFill>
              <w14:schemeClr w14:val="tx1"/>
            </w14:solidFill>
          </w14:textFill>
        </w:rPr>
        <w:t>5.非财政拨款收入分析。</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无非财政拨款收入。</w:t>
      </w:r>
    </w:p>
    <w:p>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ascii="楷体_GB2312" w:eastAsia="楷体_GB2312"/>
          <w:b/>
          <w:color w:val="000000" w:themeColor="text1"/>
          <w:sz w:val="32"/>
          <w:szCs w:val="32"/>
          <w14:textFill>
            <w14:solidFill>
              <w14:schemeClr w14:val="tx1"/>
            </w14:solidFill>
          </w14:textFill>
        </w:rPr>
      </w:pPr>
      <w:r>
        <w:rPr>
          <w:rFonts w:hint="eastAsia" w:ascii="楷体_GB2312" w:eastAsia="楷体_GB2312"/>
          <w:b/>
          <w:color w:val="000000" w:themeColor="text1"/>
          <w:sz w:val="32"/>
          <w:szCs w:val="32"/>
          <w14:textFill>
            <w14:solidFill>
              <w14:schemeClr w14:val="tx1"/>
            </w14:solidFill>
          </w14:textFill>
        </w:rPr>
        <w:t>（三）年末结转和结余情况。</w:t>
      </w:r>
    </w:p>
    <w:bookmarkEnd w:id="0"/>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楷体_GB2312" w:hAnsi="仿宋" w:eastAsia="楷体_GB2312"/>
          <w:b/>
          <w:color w:val="000000" w:themeColor="text1"/>
          <w:sz w:val="32"/>
          <w:szCs w:val="32"/>
          <w14:textFill>
            <w14:solidFill>
              <w14:schemeClr w14:val="tx1"/>
            </w14:solidFill>
          </w14:textFill>
        </w:rPr>
      </w:pPr>
      <w:bookmarkStart w:id="3" w:name="YS060103"/>
      <w:r>
        <w:rPr>
          <w:rFonts w:hint="eastAsia" w:ascii="仿宋_GB2312" w:hAnsi="仿宋" w:eastAsia="仿宋_GB2312"/>
          <w:color w:val="000000" w:themeColor="text1"/>
          <w:sz w:val="32"/>
          <w:szCs w:val="32"/>
          <w14:textFill>
            <w14:solidFill>
              <w14:schemeClr w14:val="tx1"/>
            </w14:solidFill>
          </w14:textFill>
        </w:rPr>
        <w:t>2023年末无结转结余。</w:t>
      </w:r>
    </w:p>
    <w:p>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ascii="楷体_GB2312" w:eastAsia="楷体_GB2312"/>
          <w:b/>
          <w:color w:val="000000" w:themeColor="text1"/>
          <w:sz w:val="32"/>
          <w:szCs w:val="32"/>
          <w14:textFill>
            <w14:solidFill>
              <w14:schemeClr w14:val="tx1"/>
            </w14:solidFill>
          </w14:textFill>
        </w:rPr>
      </w:pPr>
      <w:r>
        <w:rPr>
          <w:rFonts w:hint="eastAsia" w:ascii="楷体_GB2312" w:eastAsia="楷体_GB2312"/>
          <w:b/>
          <w:color w:val="000000" w:themeColor="text1"/>
          <w:sz w:val="32"/>
          <w:szCs w:val="32"/>
          <w14:textFill>
            <w14:solidFill>
              <w14:schemeClr w14:val="tx1"/>
            </w14:solidFill>
          </w14:textFill>
        </w:rPr>
        <w:t>（四）与预算支出相关的其他指标分析。</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textAlignment w:val="auto"/>
        <w:rPr>
          <w:rFonts w:ascii="楷体_GB2312" w:hAnsi="仿宋" w:eastAsia="楷体_GB2312"/>
          <w:b/>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年末资产总计599.65万元，比年初资产总计485.54万元增加114.11万元，增加23.50%，主要原因是，本年度新增了固定资产。</w:t>
      </w:r>
    </w:p>
    <w:p>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ascii="楷体_GB2312" w:eastAsia="楷体_GB2312"/>
          <w:b/>
          <w:bCs/>
          <w:color w:val="000000" w:themeColor="text1"/>
          <w:sz w:val="32"/>
          <w:szCs w:val="32"/>
          <w14:textFill>
            <w14:solidFill>
              <w14:schemeClr w14:val="tx1"/>
            </w14:solidFill>
          </w14:textFill>
        </w:rPr>
      </w:pPr>
      <w:r>
        <w:rPr>
          <w:rFonts w:hint="eastAsia" w:ascii="楷体_GB2312" w:eastAsia="楷体_GB2312"/>
          <w:b/>
          <w:bCs/>
          <w:color w:val="000000" w:themeColor="text1"/>
          <w:sz w:val="32"/>
          <w:szCs w:val="32"/>
          <w14:textFill>
            <w14:solidFill>
              <w14:schemeClr w14:val="tx1"/>
            </w14:solidFill>
          </w14:textFill>
        </w:rPr>
        <w:t>（五）绩效目标完成情况。</w:t>
      </w:r>
    </w:p>
    <w:p>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ascii="仿宋_GB2312" w:eastAsia="仿宋_GB2312"/>
          <w:b/>
          <w:bCs/>
          <w:color w:val="000000" w:themeColor="text1"/>
          <w:sz w:val="32"/>
          <w:szCs w:val="32"/>
          <w14:textFill>
            <w14:solidFill>
              <w14:schemeClr w14:val="tx1"/>
            </w14:solidFill>
          </w14:textFill>
        </w:rPr>
      </w:pPr>
      <w:r>
        <w:rPr>
          <w:rFonts w:hint="eastAsia" w:ascii="仿宋_GB2312" w:eastAsia="仿宋_GB2312"/>
          <w:b/>
          <w:bCs/>
          <w:color w:val="000000" w:themeColor="text1"/>
          <w:sz w:val="32"/>
          <w:szCs w:val="32"/>
          <w14:textFill>
            <w14:solidFill>
              <w14:schemeClr w14:val="tx1"/>
            </w14:solidFill>
          </w14:textFill>
        </w:rPr>
        <w:t>1.概述项目绩效目标完成情况。</w:t>
      </w:r>
    </w:p>
    <w:p>
      <w:pPr>
        <w:spacing w:line="620" w:lineRule="exact"/>
        <w:ind w:firstLine="643" w:firstLineChars="200"/>
        <w:rPr>
          <w:rFonts w:ascii="仿宋" w:hAnsi="仿宋" w:eastAsia="仿宋" w:cs="仿宋_GB2312"/>
          <w:color w:val="000000" w:themeColor="text1"/>
          <w:sz w:val="32"/>
          <w:szCs w:val="32"/>
          <w14:textFill>
            <w14:solidFill>
              <w14:schemeClr w14:val="tx1"/>
            </w14:solidFill>
          </w14:textFill>
        </w:rPr>
      </w:pPr>
      <w:r>
        <w:rPr>
          <w:rFonts w:hint="eastAsia" w:ascii="楷体" w:hAnsi="楷体" w:eastAsia="楷体" w:cs="宋体"/>
          <w:b/>
          <w:color w:val="000000" w:themeColor="text1"/>
          <w:kern w:val="0"/>
          <w:sz w:val="32"/>
          <w:szCs w:val="32"/>
          <w14:textFill>
            <w14:solidFill>
              <w14:schemeClr w14:val="tx1"/>
            </w14:solidFill>
          </w14:textFill>
        </w:rPr>
        <w:t>（一）强力推进固文创卫迎检</w:t>
      </w:r>
      <w:r>
        <w:rPr>
          <w:rFonts w:hint="eastAsia" w:ascii="楷体" w:hAnsi="楷体" w:eastAsia="楷体"/>
          <w:b/>
          <w:color w:val="000000" w:themeColor="text1"/>
          <w:sz w:val="32"/>
          <w:szCs w:val="32"/>
          <w14:textFill>
            <w14:solidFill>
              <w14:schemeClr w14:val="tx1"/>
            </w14:solidFill>
          </w14:textFill>
        </w:rPr>
        <w:t>工作。</w:t>
      </w:r>
      <w:r>
        <w:rPr>
          <w:rFonts w:hint="eastAsia" w:ascii="仿宋" w:hAnsi="仿宋" w:eastAsia="仿宋"/>
          <w:color w:val="000000" w:themeColor="text1"/>
          <w:sz w:val="32"/>
          <w:szCs w:val="32"/>
          <w14:textFill>
            <w14:solidFill>
              <w14:schemeClr w14:val="tx1"/>
            </w14:solidFill>
          </w14:textFill>
        </w:rPr>
        <w:t>一是全面贯彻全县创文固卫工作交办会议精神，举全中心之力打响</w:t>
      </w:r>
      <w:r>
        <w:rPr>
          <w:rFonts w:hint="eastAsia" w:ascii="仿宋" w:hAnsi="仿宋" w:eastAsia="仿宋" w:cs="仿宋_GB2312"/>
          <w:color w:val="000000" w:themeColor="text1"/>
          <w:sz w:val="32"/>
          <w:szCs w:val="32"/>
          <w14:textFill>
            <w14:solidFill>
              <w14:schemeClr w14:val="tx1"/>
            </w14:solidFill>
          </w14:textFill>
        </w:rPr>
        <w:t>复审迎检</w:t>
      </w:r>
      <w:r>
        <w:rPr>
          <w:rFonts w:hint="eastAsia" w:ascii="仿宋" w:hAnsi="仿宋" w:eastAsia="仿宋"/>
          <w:color w:val="000000" w:themeColor="text1"/>
          <w:sz w:val="32"/>
          <w:szCs w:val="32"/>
          <w14:textFill>
            <w14:solidFill>
              <w14:schemeClr w14:val="tx1"/>
            </w14:solidFill>
          </w14:textFill>
        </w:rPr>
        <w:t>攻坚战，明确重点再加劲，突出抓手促提升，认真制定了《关于</w:t>
      </w:r>
      <w:r>
        <w:rPr>
          <w:rFonts w:hint="eastAsia" w:ascii="仿宋" w:hAnsi="仿宋" w:eastAsia="仿宋" w:cs="仿宋"/>
          <w:bCs/>
          <w:color w:val="000000" w:themeColor="text1"/>
          <w:sz w:val="32"/>
          <w:szCs w:val="32"/>
          <w14:textFill>
            <w14:solidFill>
              <w14:schemeClr w14:val="tx1"/>
            </w14:solidFill>
          </w14:textFill>
        </w:rPr>
        <w:t>组织开展“双创”环境卫生专项整治行动</w:t>
      </w:r>
      <w:r>
        <w:rPr>
          <w:rFonts w:hint="eastAsia" w:ascii="仿宋" w:hAnsi="仿宋" w:eastAsia="仿宋"/>
          <w:color w:val="000000" w:themeColor="text1"/>
          <w:sz w:val="32"/>
          <w:szCs w:val="32"/>
          <w14:textFill>
            <w14:solidFill>
              <w14:schemeClr w14:val="tx1"/>
            </w14:solidFill>
          </w14:textFill>
        </w:rPr>
        <w:t>方案》，坚持“5+2”、“白+黑”工作模式，配足专业人员，配齐专用设备，对标对表补齐短板，确保</w:t>
      </w:r>
      <w:r>
        <w:rPr>
          <w:rFonts w:hint="eastAsia" w:ascii="仿宋" w:hAnsi="仿宋" w:eastAsia="仿宋" w:cs="仿宋_GB2312"/>
          <w:color w:val="000000" w:themeColor="text1"/>
          <w:sz w:val="32"/>
          <w:szCs w:val="32"/>
          <w14:textFill>
            <w14:solidFill>
              <w14:schemeClr w14:val="tx1"/>
            </w14:solidFill>
          </w14:textFill>
        </w:rPr>
        <w:t>复审迎检</w:t>
      </w:r>
      <w:r>
        <w:rPr>
          <w:rFonts w:hint="eastAsia" w:ascii="仿宋" w:hAnsi="仿宋" w:eastAsia="仿宋"/>
          <w:color w:val="000000" w:themeColor="text1"/>
          <w:sz w:val="32"/>
          <w:szCs w:val="32"/>
          <w14:textFill>
            <w14:solidFill>
              <w14:schemeClr w14:val="tx1"/>
            </w14:solidFill>
          </w14:textFill>
        </w:rPr>
        <w:t>工作做到动员快、整改实、成效好。二是全天候实施“两扫一保”作业制度，</w:t>
      </w:r>
      <w:r>
        <w:rPr>
          <w:rFonts w:hint="eastAsia" w:ascii="仿宋" w:hAnsi="仿宋" w:eastAsia="仿宋" w:cs="仿宋_GB2312"/>
          <w:color w:val="000000" w:themeColor="text1"/>
          <w:sz w:val="32"/>
          <w:szCs w:val="32"/>
          <w14:textFill>
            <w14:solidFill>
              <w14:schemeClr w14:val="tx1"/>
            </w14:solidFill>
          </w14:textFill>
        </w:rPr>
        <w:t>及时清扫</w:t>
      </w:r>
      <w:r>
        <w:rPr>
          <w:rFonts w:hint="eastAsia" w:ascii="仿宋" w:hAnsi="仿宋" w:eastAsia="仿宋" w:cs="仿宋"/>
          <w:color w:val="000000" w:themeColor="text1"/>
          <w:kern w:val="0"/>
          <w:sz w:val="32"/>
          <w:szCs w:val="32"/>
          <w:shd w:val="clear" w:color="auto" w:fill="FFFFFF"/>
          <w14:textFill>
            <w14:solidFill>
              <w14:schemeClr w14:val="tx1"/>
            </w14:solidFill>
          </w14:textFill>
        </w:rPr>
        <w:t>主要道路、</w:t>
      </w:r>
      <w:r>
        <w:rPr>
          <w:rFonts w:hint="eastAsia" w:ascii="仿宋" w:hAnsi="仿宋" w:eastAsia="仿宋" w:cs="仿宋_GB2312"/>
          <w:color w:val="000000" w:themeColor="text1"/>
          <w:sz w:val="32"/>
          <w:szCs w:val="32"/>
          <w14:textFill>
            <w14:solidFill>
              <w14:schemeClr w14:val="tx1"/>
            </w14:solidFill>
          </w14:textFill>
        </w:rPr>
        <w:t>绿化带、</w:t>
      </w:r>
      <w:r>
        <w:rPr>
          <w:rFonts w:hint="eastAsia" w:ascii="仿宋" w:hAnsi="仿宋" w:eastAsia="仿宋" w:cs="仿宋"/>
          <w:color w:val="000000" w:themeColor="text1"/>
          <w:kern w:val="0"/>
          <w:sz w:val="32"/>
          <w:szCs w:val="32"/>
          <w:shd w:val="clear" w:color="auto" w:fill="FFFFFF"/>
          <w14:textFill>
            <w14:solidFill>
              <w14:schemeClr w14:val="tx1"/>
            </w14:solidFill>
          </w14:textFill>
        </w:rPr>
        <w:t>树蔸草丛、</w:t>
      </w:r>
      <w:r>
        <w:rPr>
          <w:rFonts w:hint="eastAsia" w:ascii="仿宋" w:hAnsi="仿宋" w:eastAsia="仿宋" w:cs="仿宋_GB2312"/>
          <w:color w:val="000000" w:themeColor="text1"/>
          <w:sz w:val="32"/>
          <w:szCs w:val="32"/>
          <w14:textFill>
            <w14:solidFill>
              <w14:schemeClr w14:val="tx1"/>
            </w14:solidFill>
          </w14:textFill>
        </w:rPr>
        <w:t>渠化岛及城乡接合部、</w:t>
      </w:r>
      <w:r>
        <w:rPr>
          <w:rFonts w:hint="eastAsia" w:ascii="仿宋" w:hAnsi="仿宋" w:eastAsia="仿宋"/>
          <w:color w:val="000000" w:themeColor="text1"/>
          <w:sz w:val="32"/>
          <w:szCs w:val="32"/>
          <w14:textFill>
            <w14:solidFill>
              <w14:schemeClr w14:val="tx1"/>
            </w14:solidFill>
          </w14:textFill>
        </w:rPr>
        <w:t>各建制小区</w:t>
      </w:r>
      <w:r>
        <w:rPr>
          <w:rFonts w:hint="eastAsia" w:ascii="仿宋" w:hAnsi="仿宋" w:eastAsia="仿宋" w:cs="仿宋_GB2312"/>
          <w:color w:val="000000" w:themeColor="text1"/>
          <w:sz w:val="32"/>
          <w:szCs w:val="32"/>
          <w14:textFill>
            <w14:solidFill>
              <w14:schemeClr w14:val="tx1"/>
            </w14:solidFill>
          </w14:textFill>
        </w:rPr>
        <w:t>交接处</w:t>
      </w:r>
      <w:r>
        <w:rPr>
          <w:rFonts w:hint="eastAsia" w:ascii="仿宋" w:hAnsi="仿宋" w:eastAsia="仿宋" w:cs="仿宋"/>
          <w:color w:val="000000" w:themeColor="text1"/>
          <w:kern w:val="0"/>
          <w:sz w:val="32"/>
          <w:szCs w:val="32"/>
          <w:shd w:val="clear" w:color="auto" w:fill="FFFFFF"/>
          <w14:textFill>
            <w14:solidFill>
              <w14:schemeClr w14:val="tx1"/>
            </w14:solidFill>
          </w14:textFill>
        </w:rPr>
        <w:t>偏僻地段</w:t>
      </w:r>
      <w:r>
        <w:rPr>
          <w:rFonts w:hint="eastAsia" w:ascii="仿宋" w:hAnsi="仿宋" w:eastAsia="仿宋" w:cs="仿宋_GB2312"/>
          <w:color w:val="000000" w:themeColor="text1"/>
          <w:sz w:val="32"/>
          <w:szCs w:val="32"/>
          <w14:textFill>
            <w14:solidFill>
              <w14:schemeClr w14:val="tx1"/>
            </w14:solidFill>
          </w14:textFill>
        </w:rPr>
        <w:t>卫生死角</w:t>
      </w:r>
      <w:r>
        <w:rPr>
          <w:rFonts w:hint="eastAsia" w:ascii="仿宋" w:hAnsi="仿宋" w:eastAsia="仿宋"/>
          <w:color w:val="000000" w:themeColor="text1"/>
          <w:sz w:val="32"/>
          <w:szCs w:val="32"/>
          <w14:textFill>
            <w14:solidFill>
              <w14:schemeClr w14:val="tx1"/>
            </w14:solidFill>
          </w14:textFill>
        </w:rPr>
        <w:t>，</w:t>
      </w:r>
      <w:r>
        <w:rPr>
          <w:rFonts w:hint="eastAsia" w:ascii="仿宋" w:hAnsi="仿宋" w:eastAsia="仿宋" w:cs="仿宋"/>
          <w:color w:val="000000" w:themeColor="text1"/>
          <w:kern w:val="0"/>
          <w:sz w:val="32"/>
          <w:szCs w:val="32"/>
          <w:shd w:val="clear" w:color="auto" w:fill="FFFFFF"/>
          <w14:textFill>
            <w14:solidFill>
              <w14:schemeClr w14:val="tx1"/>
            </w14:solidFill>
          </w14:textFill>
        </w:rPr>
        <w:t>及时清掏道路两侧的两分类垃圾桶、果皮箱内垃圾，确保日常保洁时间不低于12个小时，重要地段不低于16个小时。早上7点之前要完成普扫作业。</w:t>
      </w:r>
      <w:r>
        <w:rPr>
          <w:rFonts w:hint="eastAsia" w:ascii="仿宋" w:hAnsi="仿宋" w:eastAsia="仿宋"/>
          <w:color w:val="000000" w:themeColor="text1"/>
          <w:sz w:val="32"/>
          <w:szCs w:val="32"/>
          <w14:textFill>
            <w14:solidFill>
              <w14:schemeClr w14:val="tx1"/>
            </w14:solidFill>
          </w14:textFill>
        </w:rPr>
        <w:t>三是</w:t>
      </w:r>
      <w:r>
        <w:rPr>
          <w:rFonts w:hint="eastAsia" w:ascii="仿宋" w:hAnsi="仿宋" w:eastAsia="仿宋" w:cs="仿宋"/>
          <w:color w:val="000000" w:themeColor="text1"/>
          <w:kern w:val="0"/>
          <w:sz w:val="32"/>
          <w:szCs w:val="32"/>
          <w:shd w:val="clear" w:color="auto" w:fill="FFFFFF"/>
          <w14:textFill>
            <w14:solidFill>
              <w14:schemeClr w14:val="tx1"/>
            </w14:solidFill>
          </w14:textFill>
        </w:rPr>
        <w:t>全天候道路洒水、冲洗路面、渠化岛，对城市广场路面所遗留的油迹、污渍进行强碱清洗，及时清洗垃圾桶、果皮箱等市政设施，保持容器干净整洁。</w:t>
      </w:r>
      <w:r>
        <w:rPr>
          <w:rFonts w:hint="eastAsia" w:ascii="仿宋" w:hAnsi="仿宋" w:eastAsia="仿宋"/>
          <w:color w:val="000000" w:themeColor="text1"/>
          <w:sz w:val="32"/>
          <w:szCs w:val="32"/>
          <w14:textFill>
            <w14:solidFill>
              <w14:schemeClr w14:val="tx1"/>
            </w14:solidFill>
          </w14:textFill>
        </w:rPr>
        <w:t>四是以城乡接合部、偏僻地段等主要路段为突破口，</w:t>
      </w:r>
      <w:r>
        <w:rPr>
          <w:rFonts w:hint="eastAsia" w:ascii="仿宋" w:hAnsi="仿宋" w:eastAsia="仿宋" w:cs="仿宋"/>
          <w:color w:val="000000" w:themeColor="text1"/>
          <w:kern w:val="0"/>
          <w:sz w:val="32"/>
          <w:szCs w:val="32"/>
          <w:shd w:val="clear" w:color="auto" w:fill="FFFFFF"/>
          <w14:textFill>
            <w14:solidFill>
              <w14:schemeClr w14:val="tx1"/>
            </w14:solidFill>
          </w14:textFill>
        </w:rPr>
        <w:t>加大背街小巷、城乡接合部及老旧小区等地段积存垃圾抢运力度，</w:t>
      </w:r>
      <w:r>
        <w:rPr>
          <w:rFonts w:hint="eastAsia" w:ascii="仿宋" w:hAnsi="仿宋" w:eastAsia="仿宋"/>
          <w:color w:val="000000" w:themeColor="text1"/>
          <w:sz w:val="32"/>
          <w:szCs w:val="32"/>
          <w14:textFill>
            <w14:solidFill>
              <w14:schemeClr w14:val="tx1"/>
            </w14:solidFill>
          </w14:textFill>
        </w:rPr>
        <w:t>投入经费9.7万余元，调配挖机、铲车及收集运输车130台次，重点对</w:t>
      </w:r>
      <w:r>
        <w:rPr>
          <w:rFonts w:hint="eastAsia" w:ascii="仿宋" w:hAnsi="仿宋" w:eastAsia="仿宋" w:cs="仿宋"/>
          <w:color w:val="000000" w:themeColor="text1"/>
          <w:sz w:val="32"/>
          <w:szCs w:val="32"/>
          <w14:textFill>
            <w14:solidFill>
              <w14:schemeClr w14:val="tx1"/>
            </w14:solidFill>
          </w14:textFill>
        </w:rPr>
        <w:t>烈士陵园、白鼎山路、港西北路、马鞍山西路、</w:t>
      </w:r>
      <w:r>
        <w:rPr>
          <w:rFonts w:hint="eastAsia" w:ascii="仿宋" w:hAnsi="仿宋" w:eastAsia="仿宋"/>
          <w:color w:val="000000" w:themeColor="text1"/>
          <w:sz w:val="32"/>
          <w:szCs w:val="32"/>
          <w14:textFill>
            <w14:solidFill>
              <w14:schemeClr w14:val="tx1"/>
            </w14:solidFill>
          </w14:textFill>
        </w:rPr>
        <w:t>迎宾北路、水乡街等重点部位进行集中整治，清运生活垃圾、建筑垃圾230车。</w:t>
      </w:r>
      <w:r>
        <w:rPr>
          <w:rFonts w:hint="eastAsia" w:ascii="仿宋" w:hAnsi="仿宋" w:eastAsia="仿宋" w:cs="仿宋"/>
          <w:color w:val="000000" w:themeColor="text1"/>
          <w:kern w:val="0"/>
          <w:sz w:val="32"/>
          <w:szCs w:val="32"/>
          <w:shd w:val="clear" w:color="auto" w:fill="FFFFFF"/>
          <w14:textFill>
            <w14:solidFill>
              <w14:schemeClr w14:val="tx1"/>
            </w14:solidFill>
          </w14:textFill>
        </w:rPr>
        <w:t>确保城区垃圾收集清运不积压，车走地净、垃圾桶摆放整齐。</w:t>
      </w:r>
      <w:r>
        <w:rPr>
          <w:rFonts w:hint="eastAsia" w:ascii="仿宋" w:hAnsi="仿宋" w:eastAsia="仿宋" w:cs="仿宋"/>
          <w:color w:val="000000" w:themeColor="text1"/>
          <w:sz w:val="32"/>
          <w:szCs w:val="32"/>
          <w14:textFill>
            <w14:solidFill>
              <w14:schemeClr w14:val="tx1"/>
            </w14:solidFill>
          </w14:textFill>
        </w:rPr>
        <w:t>五是全面清理街道两边已破损、有污渍的垃圾箱(桶)，按照150米一个的标准，足量配置果皮箱且摆放合理，对杏花村东西路、沿河北路、范蠡路、解放路、状元文化街及附近街区破损的果皮桶进行更新置换380个，在港东路、港西路道路两侧投放两分类垃圾桶40个，并依次逐步对城区主街道破损的果皮桶进行更新置换。</w:t>
      </w:r>
      <w:r>
        <w:rPr>
          <w:rFonts w:hint="eastAsia" w:ascii="仿宋" w:hAnsi="仿宋" w:eastAsia="仿宋" w:cs="仿宋"/>
          <w:color w:val="000000" w:themeColor="text1"/>
          <w:kern w:val="0"/>
          <w:sz w:val="32"/>
          <w:szCs w:val="32"/>
          <w:shd w:val="clear" w:color="auto" w:fill="FFFFFF"/>
          <w14:textFill>
            <w14:solidFill>
              <w14:schemeClr w14:val="tx1"/>
            </w14:solidFill>
          </w14:textFill>
        </w:rPr>
        <w:t xml:space="preserve">六是抓好垃圾转运站内外日常保洁，及时清洗设备设施，去除牛皮癣、蜘蛛网。建立垃圾压缩、渗滤液转运台帐，确保数据详实、准确无偏差。及时清运二桥垃圾站、工农桥垃圾站等临时堆放点放废旧沙发、烂桌椅等大件垃圾47车。 </w:t>
      </w:r>
      <w:r>
        <w:rPr>
          <w:rFonts w:hint="eastAsia" w:ascii="仿宋" w:hAnsi="仿宋" w:eastAsia="仿宋" w:cs="仿宋"/>
          <w:color w:val="000000" w:themeColor="text1"/>
          <w:sz w:val="32"/>
          <w:szCs w:val="40"/>
          <w14:textFill>
            <w14:solidFill>
              <w14:schemeClr w14:val="tx1"/>
            </w14:solidFill>
          </w14:textFill>
        </w:rPr>
        <w:t>七是积极推进公厕提质改造，</w:t>
      </w:r>
      <w:r>
        <w:rPr>
          <w:rFonts w:ascii="仿宋" w:hAnsi="仿宋" w:eastAsia="仿宋" w:cs="仿宋"/>
          <w:color w:val="000000" w:themeColor="text1"/>
          <w:kern w:val="0"/>
          <w:sz w:val="32"/>
          <w:szCs w:val="32"/>
          <w:shd w:val="clear" w:color="auto" w:fill="FFFFFF"/>
          <w14:textFill>
            <w14:solidFill>
              <w14:schemeClr w14:val="tx1"/>
            </w14:solidFill>
          </w14:textFill>
        </w:rPr>
        <w:t>完成陵园街公厕的拆除、重建，对血防巷、机械厂、步行街、东门水码头及南城墙巷公司进行旱厕改水厕工程，对煤建巷、老石油公司及世纪联华公厕进行下水道改造，对南门、城中路、西下街及清水广场公厕进行屋面维修，对南街居委会、南街巷内公厕进行封存处理。</w:t>
      </w:r>
    </w:p>
    <w:p>
      <w:pPr>
        <w:spacing w:line="620" w:lineRule="exact"/>
        <w:ind w:firstLine="643" w:firstLineChars="200"/>
        <w:rPr>
          <w:rFonts w:ascii="仿宋" w:hAnsi="仿宋" w:eastAsia="仿宋"/>
          <w:color w:val="000000" w:themeColor="text1"/>
          <w:sz w:val="32"/>
          <w:szCs w:val="32"/>
          <w14:textFill>
            <w14:solidFill>
              <w14:schemeClr w14:val="tx1"/>
            </w14:solidFill>
          </w14:textFill>
        </w:rPr>
      </w:pPr>
      <w:r>
        <w:rPr>
          <w:rFonts w:hint="eastAsia" w:ascii="楷体" w:hAnsi="楷体" w:eastAsia="楷体" w:cs="宋体"/>
          <w:b/>
          <w:color w:val="000000" w:themeColor="text1"/>
          <w:kern w:val="0"/>
          <w:sz w:val="32"/>
          <w:szCs w:val="32"/>
          <w14:textFill>
            <w14:solidFill>
              <w14:schemeClr w14:val="tx1"/>
            </w14:solidFill>
          </w14:textFill>
        </w:rPr>
        <w:t>（二）</w:t>
      </w:r>
      <w:r>
        <w:rPr>
          <w:rFonts w:hint="eastAsia" w:ascii="楷体" w:hAnsi="楷体" w:eastAsia="楷体"/>
          <w:b/>
          <w:color w:val="000000" w:themeColor="text1"/>
          <w:sz w:val="32"/>
          <w:szCs w:val="32"/>
          <w14:textFill>
            <w14:solidFill>
              <w14:schemeClr w14:val="tx1"/>
            </w14:solidFill>
          </w14:textFill>
        </w:rPr>
        <w:t>全力护航节会提升环卫保洁。</w:t>
      </w:r>
      <w:r>
        <w:rPr>
          <w:rFonts w:hint="eastAsia" w:ascii="仿宋" w:hAnsi="仿宋" w:eastAsia="仿宋"/>
          <w:color w:val="000000" w:themeColor="text1"/>
          <w:sz w:val="32"/>
          <w:szCs w:val="32"/>
          <w14:textFill>
            <w14:solidFill>
              <w14:schemeClr w14:val="tx1"/>
            </w14:solidFill>
          </w14:textFill>
        </w:rPr>
        <w:t>在今年的“华容芥菜节”和“啤酒节”期间，为营造良好的节会环境氛围，</w:t>
      </w:r>
      <w:r>
        <w:rPr>
          <w:rFonts w:ascii="仿宋" w:hAnsi="仿宋" w:eastAsia="仿宋" w:cs="Arial"/>
          <w:color w:val="000000" w:themeColor="text1"/>
          <w:sz w:val="32"/>
          <w:szCs w:val="32"/>
          <w:shd w:val="clear" w:color="auto" w:fill="FFFFFF"/>
          <w14:textFill>
            <w14:solidFill>
              <w14:schemeClr w14:val="tx1"/>
            </w14:solidFill>
          </w14:textFill>
        </w:rPr>
        <w:t>实行全时段、全值守、全方位的保障模式，采取多项措施扎实做好环境综合整治、夜间环卫保洁等工作。活动期间，广大环卫工人</w:t>
      </w:r>
      <w:r>
        <w:rPr>
          <w:rFonts w:hint="eastAsia" w:ascii="仿宋" w:hAnsi="仿宋" w:eastAsia="仿宋"/>
          <w:color w:val="000000" w:themeColor="text1"/>
          <w:sz w:val="32"/>
          <w:szCs w:val="32"/>
          <w14:textFill>
            <w14:solidFill>
              <w14:schemeClr w14:val="tx1"/>
            </w14:solidFill>
          </w14:textFill>
        </w:rPr>
        <w:t>顶烈日</w:t>
      </w:r>
      <w:r>
        <w:rPr>
          <w:rFonts w:hint="eastAsia" w:ascii="仿宋" w:hAnsi="仿宋" w:eastAsia="仿宋"/>
          <w:bCs/>
          <w:color w:val="000000" w:themeColor="text1"/>
          <w:sz w:val="32"/>
          <w:szCs w:val="32"/>
          <w14:textFill>
            <w14:solidFill>
              <w14:schemeClr w14:val="tx1"/>
            </w14:solidFill>
          </w14:textFill>
        </w:rPr>
        <w:t>战酷暑</w:t>
      </w:r>
      <w:r>
        <w:rPr>
          <w:rFonts w:hint="eastAsia" w:ascii="仿宋" w:hAnsi="仿宋" w:eastAsia="仿宋"/>
          <w:color w:val="000000" w:themeColor="text1"/>
          <w:sz w:val="32"/>
          <w:szCs w:val="32"/>
          <w14:textFill>
            <w14:solidFill>
              <w14:schemeClr w14:val="tx1"/>
            </w14:solidFill>
          </w14:textFill>
        </w:rPr>
        <w:t>，</w:t>
      </w:r>
      <w:r>
        <w:rPr>
          <w:rFonts w:ascii="仿宋" w:hAnsi="仿宋" w:eastAsia="仿宋" w:cs="Arial"/>
          <w:color w:val="000000" w:themeColor="text1"/>
          <w:sz w:val="32"/>
          <w:szCs w:val="32"/>
          <w:shd w:val="clear" w:color="auto" w:fill="FFFFFF"/>
          <w14:textFill>
            <w14:solidFill>
              <w14:schemeClr w14:val="tx1"/>
            </w14:solidFill>
          </w14:textFill>
        </w:rPr>
        <w:t>不怕脏累，始终忘我工作，坚持全天候、全方位卫生保洁，</w:t>
      </w:r>
      <w:r>
        <w:rPr>
          <w:rFonts w:hint="eastAsia" w:ascii="仿宋" w:hAnsi="仿宋" w:eastAsia="仿宋"/>
          <w:color w:val="000000" w:themeColor="text1"/>
          <w:sz w:val="32"/>
          <w:szCs w:val="32"/>
          <w14:textFill>
            <w14:solidFill>
              <w14:schemeClr w14:val="tx1"/>
            </w14:solidFill>
          </w14:textFill>
        </w:rPr>
        <w:t>挥汗如雨用汗水为城市“美容”。共出动清洁员780人次，各类环卫机械车辆146台次，清理夜宵市场污渍43处，冲洗保洁面积15.2万</w:t>
      </w:r>
      <w:r>
        <w:rPr>
          <w:rFonts w:ascii="仿宋" w:hAnsi="仿宋" w:eastAsia="仿宋"/>
          <w:color w:val="000000" w:themeColor="text1"/>
          <w:sz w:val="32"/>
          <w:szCs w:val="32"/>
          <w14:textFill>
            <w14:solidFill>
              <w14:schemeClr w14:val="tx1"/>
            </w14:solidFill>
          </w14:textFill>
        </w:rPr>
        <w:t>㎡</w:t>
      </w:r>
      <w:r>
        <w:rPr>
          <w:rFonts w:ascii="仿宋" w:hAnsi="仿宋" w:eastAsia="仿宋"/>
          <w:bCs/>
          <w:color w:val="000000" w:themeColor="text1"/>
          <w:sz w:val="32"/>
          <w:szCs w:val="32"/>
          <w14:textFill>
            <w14:solidFill>
              <w14:schemeClr w14:val="tx1"/>
            </w14:solidFill>
          </w14:textFill>
        </w:rPr>
        <w:t>，</w:t>
      </w:r>
      <w:r>
        <w:rPr>
          <w:rFonts w:hint="eastAsia" w:ascii="仿宋" w:hAnsi="仿宋" w:eastAsia="仿宋"/>
          <w:color w:val="000000" w:themeColor="text1"/>
          <w:sz w:val="32"/>
          <w:szCs w:val="32"/>
          <w14:textFill>
            <w14:solidFill>
              <w14:schemeClr w14:val="tx1"/>
            </w14:solidFill>
          </w14:textFill>
        </w:rPr>
        <w:t>清理华都国际、华容大道、滨江新城（三同御院）、杏花村、城市广场及港东港西路城乡接合部的生活垃圾、基建垃圾960余吨，维修、维护各类环卫设备82台次，投放移动公厕2座，塑钢垃圾桶80个，密封垃圾箱4个。</w:t>
      </w:r>
      <w:r>
        <w:rPr>
          <w:rFonts w:ascii="仿宋" w:hAnsi="仿宋" w:eastAsia="仿宋" w:cs="Arial"/>
          <w:color w:val="000000" w:themeColor="text1"/>
          <w:sz w:val="32"/>
          <w:szCs w:val="32"/>
          <w:shd w:val="clear" w:color="auto" w:fill="FFFFFF"/>
          <w14:textFill>
            <w14:solidFill>
              <w14:schemeClr w14:val="tx1"/>
            </w14:solidFill>
          </w14:textFill>
        </w:rPr>
        <w:t>确保节会场地环境卫生洁化、美化，</w:t>
      </w:r>
      <w:r>
        <w:rPr>
          <w:rFonts w:hint="eastAsia" w:ascii="仿宋" w:hAnsi="仿宋" w:eastAsia="仿宋"/>
          <w:color w:val="000000" w:themeColor="text1"/>
          <w:sz w:val="32"/>
          <w:szCs w:val="32"/>
          <w14:textFill>
            <w14:solidFill>
              <w14:schemeClr w14:val="tx1"/>
            </w14:solidFill>
          </w14:textFill>
        </w:rPr>
        <w:t>用实际行动诠释了“宁愿一人脏，换来万人洁”的无私奉献精神。</w:t>
      </w:r>
    </w:p>
    <w:p>
      <w:pPr>
        <w:spacing w:line="620" w:lineRule="exact"/>
        <w:ind w:firstLine="643" w:firstLineChars="200"/>
        <w:rPr>
          <w:rFonts w:ascii="楷体" w:hAnsi="楷体" w:eastAsia="楷体" w:cs="仿宋_GB2312"/>
          <w:b/>
          <w:color w:val="000000" w:themeColor="text1"/>
          <w:sz w:val="32"/>
          <w:szCs w:val="32"/>
          <w14:textFill>
            <w14:solidFill>
              <w14:schemeClr w14:val="tx1"/>
            </w14:solidFill>
          </w14:textFill>
        </w:rPr>
      </w:pPr>
      <w:r>
        <w:rPr>
          <w:rFonts w:hint="eastAsia" w:ascii="楷体" w:hAnsi="楷体" w:eastAsia="楷体" w:cs="宋体"/>
          <w:b/>
          <w:color w:val="000000" w:themeColor="text1"/>
          <w:kern w:val="0"/>
          <w:sz w:val="32"/>
          <w:szCs w:val="32"/>
          <w14:textFill>
            <w14:solidFill>
              <w14:schemeClr w14:val="tx1"/>
            </w14:solidFill>
          </w14:textFill>
        </w:rPr>
        <w:t>（三）</w:t>
      </w:r>
      <w:r>
        <w:rPr>
          <w:rFonts w:hint="eastAsia" w:ascii="楷体" w:hAnsi="楷体" w:eastAsia="楷体" w:cs="仿宋_GB2312"/>
          <w:b/>
          <w:color w:val="000000" w:themeColor="text1"/>
          <w:sz w:val="32"/>
          <w:szCs w:val="32"/>
          <w14:textFill>
            <w14:solidFill>
              <w14:schemeClr w14:val="tx1"/>
            </w14:solidFill>
          </w14:textFill>
        </w:rPr>
        <w:t>规范实施服务项目政府采购</w:t>
      </w:r>
    </w:p>
    <w:p>
      <w:pPr>
        <w:spacing w:line="620" w:lineRule="exact"/>
        <w:ind w:firstLine="627" w:firstLineChars="196"/>
        <w:rPr>
          <w:rFonts w:ascii="仿宋" w:hAnsi="仿宋" w:eastAsia="仿宋" w:cs="宋体"/>
          <w:color w:val="000000" w:themeColor="text1"/>
          <w:kern w:val="0"/>
          <w:sz w:val="32"/>
          <w:szCs w:val="32"/>
          <w14:textFill>
            <w14:solidFill>
              <w14:schemeClr w14:val="tx1"/>
            </w14:solidFill>
          </w14:textFill>
        </w:rPr>
      </w:pPr>
      <w:r>
        <w:rPr>
          <w:rFonts w:hint="eastAsia" w:ascii="仿宋" w:hAnsi="仿宋" w:eastAsia="仿宋" w:cs="仿宋_GB2312"/>
          <w:color w:val="000000" w:themeColor="text1"/>
          <w:sz w:val="32"/>
          <w:szCs w:val="32"/>
          <w14:textFill>
            <w14:solidFill>
              <w14:schemeClr w14:val="tx1"/>
            </w14:solidFill>
          </w14:textFill>
        </w:rPr>
        <w:t>按照国家政府采购法规定</w:t>
      </w:r>
      <w:r>
        <w:rPr>
          <w:rFonts w:hint="eastAsia" w:ascii="仿宋" w:hAnsi="仿宋" w:eastAsia="仿宋"/>
          <w:color w:val="000000" w:themeColor="text1"/>
          <w:sz w:val="32"/>
          <w:szCs w:val="32"/>
          <w14:textFill>
            <w14:solidFill>
              <w14:schemeClr w14:val="tx1"/>
            </w14:solidFill>
          </w14:textFill>
        </w:rPr>
        <w:t>，依法实施环卫服务项目政府采购，田家湖生态新区</w:t>
      </w:r>
      <w:r>
        <w:rPr>
          <w:rFonts w:hint="eastAsia" w:ascii="仿宋" w:hAnsi="仿宋" w:eastAsia="仿宋" w:cs="宋体"/>
          <w:color w:val="000000" w:themeColor="text1"/>
          <w:kern w:val="0"/>
          <w:sz w:val="32"/>
          <w:szCs w:val="32"/>
          <w14:textFill>
            <w14:solidFill>
              <w14:schemeClr w14:val="tx1"/>
            </w14:solidFill>
          </w14:textFill>
        </w:rPr>
        <w:t>清扫保洁、各乡镇生活垃圾收集运输、主次道路洒水、清洗及生活垃圾综合处理等服务项目已全面实施市场化运作，由具备资质的专业公司负责运营。环卫作业</w:t>
      </w:r>
      <w:r>
        <w:rPr>
          <w:rFonts w:hint="eastAsia" w:ascii="仿宋" w:hAnsi="仿宋" w:eastAsia="仿宋"/>
          <w:color w:val="000000" w:themeColor="text1"/>
          <w:sz w:val="32"/>
          <w:szCs w:val="32"/>
          <w14:textFill>
            <w14:solidFill>
              <w14:schemeClr w14:val="tx1"/>
            </w14:solidFill>
          </w14:textFill>
        </w:rPr>
        <w:t>实行市场化运作以来，优势日益显现，</w:t>
      </w:r>
      <w:r>
        <w:rPr>
          <w:rFonts w:hint="eastAsia" w:ascii="仿宋" w:hAnsi="仿宋" w:eastAsia="仿宋" w:cs="仿宋_GB2312"/>
          <w:color w:val="000000" w:themeColor="text1"/>
          <w:sz w:val="32"/>
          <w:szCs w:val="32"/>
          <w:shd w:val="clear" w:color="auto" w:fill="FFFFFF"/>
          <w14:textFill>
            <w14:solidFill>
              <w14:schemeClr w14:val="tx1"/>
            </w14:solidFill>
          </w14:textFill>
        </w:rPr>
        <w:t>提高了作业专业程度</w:t>
      </w:r>
      <w:r>
        <w:rPr>
          <w:rFonts w:hint="eastAsia" w:ascii="仿宋" w:hAnsi="仿宋" w:eastAsia="仿宋" w:cs="宋体"/>
          <w:color w:val="000000" w:themeColor="text1"/>
          <w:kern w:val="0"/>
          <w:sz w:val="32"/>
          <w:szCs w:val="32"/>
          <w14:textFill>
            <w14:solidFill>
              <w14:schemeClr w14:val="tx1"/>
            </w14:solidFill>
          </w14:textFill>
        </w:rPr>
        <w:t>和服务效率</w:t>
      </w:r>
      <w:r>
        <w:rPr>
          <w:rFonts w:hint="eastAsia" w:ascii="仿宋" w:hAnsi="仿宋" w:eastAsia="仿宋" w:cs="仿宋_GB2312"/>
          <w:color w:val="000000" w:themeColor="text1"/>
          <w:sz w:val="32"/>
          <w:szCs w:val="32"/>
          <w:shd w:val="clear" w:color="auto" w:fill="FFFFFF"/>
          <w14:textFill>
            <w14:solidFill>
              <w14:schemeClr w14:val="tx1"/>
            </w14:solidFill>
          </w14:textFill>
        </w:rPr>
        <w:t>，</w:t>
      </w:r>
      <w:r>
        <w:rPr>
          <w:rFonts w:hint="eastAsia" w:ascii="仿宋" w:hAnsi="仿宋" w:eastAsia="仿宋" w:cs="宋体"/>
          <w:color w:val="000000" w:themeColor="text1"/>
          <w:kern w:val="0"/>
          <w:sz w:val="32"/>
          <w:szCs w:val="32"/>
          <w14:textFill>
            <w14:solidFill>
              <w14:schemeClr w14:val="tx1"/>
            </w14:solidFill>
          </w14:textFill>
        </w:rPr>
        <w:t>有效避免了管理环节的矛盾。</w:t>
      </w:r>
    </w:p>
    <w:p>
      <w:pPr>
        <w:spacing w:line="620" w:lineRule="exact"/>
        <w:ind w:firstLine="643" w:firstLineChars="200"/>
        <w:rPr>
          <w:rFonts w:ascii="楷体" w:hAnsi="楷体" w:eastAsia="楷体" w:cs="仿宋_GB2312"/>
          <w:color w:val="000000" w:themeColor="text1"/>
          <w:sz w:val="32"/>
          <w:szCs w:val="32"/>
          <w14:textFill>
            <w14:solidFill>
              <w14:schemeClr w14:val="tx1"/>
            </w14:solidFill>
          </w14:textFill>
        </w:rPr>
      </w:pPr>
      <w:r>
        <w:rPr>
          <w:rFonts w:hint="eastAsia" w:ascii="楷体" w:hAnsi="楷体" w:eastAsia="楷体"/>
          <w:b/>
          <w:color w:val="000000" w:themeColor="text1"/>
          <w:sz w:val="32"/>
          <w:szCs w:val="32"/>
          <w14:textFill>
            <w14:solidFill>
              <w14:schemeClr w14:val="tx1"/>
            </w14:solidFill>
          </w14:textFill>
        </w:rPr>
        <w:t>（四）</w:t>
      </w:r>
      <w:r>
        <w:rPr>
          <w:rFonts w:hint="eastAsia" w:ascii="楷体" w:hAnsi="楷体" w:eastAsia="楷体" w:cs="宋体"/>
          <w:b/>
          <w:color w:val="000000" w:themeColor="text1"/>
          <w:kern w:val="0"/>
          <w:sz w:val="32"/>
          <w:szCs w:val="32"/>
          <w14:textFill>
            <w14:solidFill>
              <w14:schemeClr w14:val="tx1"/>
            </w14:solidFill>
          </w14:textFill>
        </w:rPr>
        <w:t>全面</w:t>
      </w:r>
      <w:r>
        <w:rPr>
          <w:rFonts w:hint="eastAsia" w:ascii="楷体" w:hAnsi="楷体" w:eastAsia="楷体" w:cs="仿宋_GB2312"/>
          <w:b/>
          <w:color w:val="000000" w:themeColor="text1"/>
          <w:sz w:val="32"/>
          <w:szCs w:val="32"/>
          <w14:textFill>
            <w14:solidFill>
              <w14:schemeClr w14:val="tx1"/>
            </w14:solidFill>
          </w14:textFill>
        </w:rPr>
        <w:t>改善城市环境卫生质量</w:t>
      </w:r>
    </w:p>
    <w:p>
      <w:pPr>
        <w:spacing w:line="620" w:lineRule="exact"/>
        <w:ind w:firstLine="630"/>
        <w:rPr>
          <w:rFonts w:ascii="仿宋" w:hAnsi="仿宋" w:eastAsia="仿宋" w:cs="仿宋_GB2312"/>
          <w:b/>
          <w:color w:val="000000" w:themeColor="text1"/>
          <w:sz w:val="32"/>
          <w:szCs w:val="32"/>
          <w14:textFill>
            <w14:solidFill>
              <w14:schemeClr w14:val="tx1"/>
            </w14:solidFill>
          </w14:textFill>
        </w:rPr>
      </w:pPr>
      <w:r>
        <w:rPr>
          <w:rFonts w:hint="eastAsia" w:ascii="仿宋" w:hAnsi="仿宋" w:eastAsia="仿宋"/>
          <w:b/>
          <w:color w:val="000000" w:themeColor="text1"/>
          <w:sz w:val="32"/>
          <w:szCs w:val="32"/>
          <w14:textFill>
            <w14:solidFill>
              <w14:schemeClr w14:val="tx1"/>
            </w14:solidFill>
          </w14:textFill>
        </w:rPr>
        <w:t>1、</w:t>
      </w:r>
      <w:r>
        <w:rPr>
          <w:rFonts w:hint="eastAsia" w:ascii="仿宋" w:hAnsi="仿宋" w:eastAsia="仿宋" w:cs="宋体"/>
          <w:b/>
          <w:color w:val="000000" w:themeColor="text1"/>
          <w:kern w:val="0"/>
          <w:sz w:val="32"/>
          <w:szCs w:val="32"/>
          <w14:textFill>
            <w14:solidFill>
              <w14:schemeClr w14:val="tx1"/>
            </w14:solidFill>
          </w14:textFill>
        </w:rPr>
        <w:t>加快</w:t>
      </w:r>
      <w:r>
        <w:rPr>
          <w:rFonts w:hint="eastAsia" w:ascii="仿宋" w:hAnsi="仿宋" w:eastAsia="仿宋"/>
          <w:b/>
          <w:color w:val="000000" w:themeColor="text1"/>
          <w:sz w:val="32"/>
          <w:szCs w:val="32"/>
          <w14:textFill>
            <w14:solidFill>
              <w14:schemeClr w14:val="tx1"/>
            </w14:solidFill>
          </w14:textFill>
        </w:rPr>
        <w:t>推进环卫市场化。</w:t>
      </w:r>
      <w:r>
        <w:rPr>
          <w:rFonts w:ascii="仿宋" w:hAnsi="仿宋" w:eastAsia="仿宋"/>
          <w:color w:val="000000" w:themeColor="text1"/>
          <w:sz w:val="32"/>
          <w:szCs w:val="32"/>
          <w14:textFill>
            <w14:solidFill>
              <w14:schemeClr w14:val="tx1"/>
            </w14:solidFill>
          </w14:textFill>
        </w:rPr>
        <w:t>20</w:t>
      </w:r>
      <w:r>
        <w:rPr>
          <w:rFonts w:hint="eastAsia" w:ascii="仿宋" w:hAnsi="仿宋" w:eastAsia="仿宋"/>
          <w:color w:val="000000" w:themeColor="text1"/>
          <w:sz w:val="32"/>
          <w:szCs w:val="32"/>
          <w14:textFill>
            <w14:solidFill>
              <w14:schemeClr w14:val="tx1"/>
            </w14:solidFill>
          </w14:textFill>
        </w:rPr>
        <w:t>23</w:t>
      </w:r>
      <w:r>
        <w:rPr>
          <w:rFonts w:ascii="仿宋" w:hAnsi="仿宋" w:eastAsia="仿宋"/>
          <w:color w:val="000000" w:themeColor="text1"/>
          <w:sz w:val="32"/>
          <w:szCs w:val="32"/>
          <w14:textFill>
            <w14:solidFill>
              <w14:schemeClr w14:val="tx1"/>
            </w14:solidFill>
          </w14:textFill>
        </w:rPr>
        <w:t>年8月，</w:t>
      </w:r>
      <w:r>
        <w:rPr>
          <w:rFonts w:hint="eastAsia" w:ascii="仿宋" w:hAnsi="仿宋" w:eastAsia="仿宋"/>
          <w:color w:val="000000" w:themeColor="text1"/>
          <w:sz w:val="32"/>
          <w:szCs w:val="32"/>
          <w14:textFill>
            <w14:solidFill>
              <w14:schemeClr w14:val="tx1"/>
            </w14:solidFill>
          </w14:textFill>
        </w:rPr>
        <w:t>城区洒水道路清洗服务外包项目已实行政府采购，中标价格为177.81万元，服务期限为3年，由洁臣环境科技（深圳）有限公司中标，现已签订政府采购合同，按照合同要求投放运行。</w:t>
      </w:r>
    </w:p>
    <w:p>
      <w:pPr>
        <w:spacing w:line="620" w:lineRule="exact"/>
        <w:ind w:firstLine="643" w:firstLineChars="200"/>
        <w:rPr>
          <w:rFonts w:ascii="仿宋" w:hAnsi="仿宋" w:eastAsia="仿宋" w:cs="仿宋_GB2312"/>
          <w:color w:val="000000" w:themeColor="text1"/>
          <w:sz w:val="32"/>
          <w:szCs w:val="32"/>
          <w14:textFill>
            <w14:solidFill>
              <w14:schemeClr w14:val="tx1"/>
            </w14:solidFill>
          </w14:textFill>
        </w:rPr>
      </w:pPr>
      <w:r>
        <w:rPr>
          <w:rFonts w:hint="eastAsia" w:ascii="仿宋" w:hAnsi="仿宋" w:eastAsia="仿宋" w:cs="仿宋_GB2312"/>
          <w:b/>
          <w:color w:val="000000" w:themeColor="text1"/>
          <w:sz w:val="32"/>
          <w:szCs w:val="32"/>
          <w14:textFill>
            <w14:solidFill>
              <w14:schemeClr w14:val="tx1"/>
            </w14:solidFill>
          </w14:textFill>
        </w:rPr>
        <w:t>2、道路清扫保洁长效化。</w:t>
      </w:r>
      <w:r>
        <w:rPr>
          <w:rFonts w:hint="eastAsia" w:ascii="仿宋" w:hAnsi="仿宋" w:eastAsia="仿宋" w:cs="仿宋_GB2312"/>
          <w:color w:val="000000" w:themeColor="text1"/>
          <w:sz w:val="32"/>
          <w:szCs w:val="32"/>
          <w14:textFill>
            <w14:solidFill>
              <w14:schemeClr w14:val="tx1"/>
            </w14:solidFill>
          </w14:textFill>
        </w:rPr>
        <w:t>一是</w:t>
      </w:r>
      <w:r>
        <w:rPr>
          <w:rFonts w:hint="eastAsia" w:ascii="仿宋" w:hAnsi="仿宋" w:eastAsia="仿宋"/>
          <w:color w:val="000000" w:themeColor="text1"/>
          <w:sz w:val="32"/>
          <w:szCs w:val="32"/>
          <w14:textFill>
            <w14:solidFill>
              <w14:schemeClr w14:val="tx1"/>
            </w14:solidFill>
          </w14:textFill>
        </w:rPr>
        <w:t>严格按照国家卫生城市标准清扫作业，落实“两扫一保”制度，经济责任承包区域划分为23个路段，实行两班倒清扫作业，强化重点路段、夜间环境卫生的保洁力度，繁华路段保洁至晚上12点，确保达到“六无六净”标准。二是</w:t>
      </w:r>
      <w:r>
        <w:rPr>
          <w:rFonts w:hint="eastAsia" w:ascii="仿宋" w:hAnsi="仿宋" w:eastAsia="仿宋" w:cs="仿宋_GB2312"/>
          <w:color w:val="000000" w:themeColor="text1"/>
          <w:sz w:val="32"/>
          <w:szCs w:val="32"/>
          <w14:textFill>
            <w14:solidFill>
              <w14:schemeClr w14:val="tx1"/>
            </w14:solidFill>
          </w14:textFill>
        </w:rPr>
        <w:t>加强环卫机械化清扫作业，洗扫车每日对人民南路、华容大道、华鲇路、杏花村西路等主要道路机械洗扫，保洁员及时清洗垃圾桶、果皮箱等市政设施，保持容器干净整洁。</w:t>
      </w:r>
      <w:r>
        <w:rPr>
          <w:rFonts w:hint="eastAsia" w:ascii="仿宋" w:hAnsi="仿宋" w:eastAsia="仿宋"/>
          <w:color w:val="000000" w:themeColor="text1"/>
          <w:sz w:val="32"/>
          <w:szCs w:val="32"/>
          <w14:textFill>
            <w14:solidFill>
              <w14:schemeClr w14:val="tx1"/>
            </w14:solidFill>
          </w14:textFill>
        </w:rPr>
        <w:t>三是按照县委、县政府及县创建指挥部的指示，全面接管城市广场停车场、步步高新天地、新城大道等主次道路的</w:t>
      </w:r>
      <w:r>
        <w:rPr>
          <w:rFonts w:hint="eastAsia" w:ascii="仿宋" w:hAnsi="仿宋" w:eastAsia="仿宋" w:cs="Arial"/>
          <w:color w:val="000000" w:themeColor="text1"/>
          <w:sz w:val="32"/>
          <w:szCs w:val="32"/>
          <w:shd w:val="clear" w:color="auto" w:fill="FFFFFF"/>
          <w14:textFill>
            <w14:solidFill>
              <w14:schemeClr w14:val="tx1"/>
            </w14:solidFill>
          </w14:textFill>
        </w:rPr>
        <w:t>清扫保洁、垃圾收集运输作业，</w:t>
      </w:r>
      <w:r>
        <w:rPr>
          <w:rFonts w:hint="eastAsia" w:ascii="仿宋" w:hAnsi="仿宋" w:eastAsia="仿宋" w:cs="仿宋_GB2312"/>
          <w:color w:val="000000" w:themeColor="text1"/>
          <w:sz w:val="32"/>
          <w:szCs w:val="32"/>
          <w14:textFill>
            <w14:solidFill>
              <w14:schemeClr w14:val="tx1"/>
            </w14:solidFill>
          </w14:textFill>
        </w:rPr>
        <w:t>促进了环卫事业的可持续发展。</w:t>
      </w:r>
    </w:p>
    <w:p>
      <w:pPr>
        <w:spacing w:line="620" w:lineRule="exact"/>
        <w:ind w:firstLine="643"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s="仿宋_GB2312"/>
          <w:b/>
          <w:bCs/>
          <w:color w:val="000000" w:themeColor="text1"/>
          <w:sz w:val="32"/>
          <w:szCs w:val="32"/>
          <w14:textFill>
            <w14:solidFill>
              <w14:schemeClr w14:val="tx1"/>
            </w14:solidFill>
          </w14:textFill>
        </w:rPr>
        <w:t>3、垃圾收集运输标准化。</w:t>
      </w:r>
      <w:r>
        <w:rPr>
          <w:rFonts w:hint="eastAsia" w:ascii="仿宋" w:hAnsi="仿宋" w:eastAsia="仿宋"/>
          <w:color w:val="000000" w:themeColor="text1"/>
          <w:sz w:val="32"/>
          <w:szCs w:val="32"/>
          <w14:textFill>
            <w14:solidFill>
              <w14:schemeClr w14:val="tx1"/>
            </w14:solidFill>
          </w14:textFill>
        </w:rPr>
        <w:t>一是</w:t>
      </w:r>
      <w:r>
        <w:rPr>
          <w:rFonts w:hint="eastAsia" w:ascii="仿宋" w:hAnsi="仿宋" w:eastAsia="仿宋" w:cs="宋体"/>
          <w:color w:val="000000" w:themeColor="text1"/>
          <w:sz w:val="32"/>
          <w:szCs w:val="32"/>
          <w14:textFill>
            <w14:solidFill>
              <w14:schemeClr w14:val="tx1"/>
            </w14:solidFill>
          </w14:textFill>
        </w:rPr>
        <w:t>建立县域全覆盖生活垃圾收集运输系</w:t>
      </w:r>
      <w:r>
        <w:rPr>
          <w:rFonts w:hint="eastAsia" w:ascii="仿宋" w:hAnsi="仿宋" w:eastAsia="仿宋" w:cs="Arial"/>
          <w:color w:val="000000" w:themeColor="text1"/>
          <w:sz w:val="32"/>
          <w:szCs w:val="32"/>
          <w14:textFill>
            <w14:solidFill>
              <w14:schemeClr w14:val="tx1"/>
            </w14:solidFill>
          </w14:textFill>
        </w:rPr>
        <w:t>统</w:t>
      </w:r>
      <w:r>
        <w:rPr>
          <w:rFonts w:hint="eastAsia" w:ascii="仿宋" w:hAnsi="仿宋" w:eastAsia="仿宋" w:cs="宋体"/>
          <w:color w:val="000000" w:themeColor="text1"/>
          <w:sz w:val="32"/>
          <w:szCs w:val="32"/>
          <w14:textFill>
            <w14:solidFill>
              <w14:schemeClr w14:val="tx1"/>
            </w14:solidFill>
          </w14:textFill>
        </w:rPr>
        <w:t>，</w:t>
      </w:r>
      <w:r>
        <w:rPr>
          <w:rFonts w:hint="eastAsia" w:ascii="仿宋" w:hAnsi="仿宋" w:eastAsia="仿宋"/>
          <w:color w:val="000000" w:themeColor="text1"/>
          <w:sz w:val="32"/>
          <w:szCs w:val="32"/>
          <w14:textFill>
            <w14:solidFill>
              <w14:schemeClr w14:val="tx1"/>
            </w14:solidFill>
          </w14:textFill>
        </w:rPr>
        <w:t>形成了生活垃圾</w:t>
      </w:r>
      <w:r>
        <w:rPr>
          <w:rFonts w:hint="eastAsia" w:ascii="仿宋" w:hAnsi="仿宋" w:eastAsia="仿宋" w:cs="宋体"/>
          <w:color w:val="000000" w:themeColor="text1"/>
          <w:kern w:val="0"/>
          <w:sz w:val="32"/>
          <w:szCs w:val="32"/>
          <w14:textFill>
            <w14:solidFill>
              <w14:schemeClr w14:val="tx1"/>
            </w14:solidFill>
          </w14:textFill>
        </w:rPr>
        <w:t>分类投放、定时收集、密闭运输的</w:t>
      </w:r>
      <w:r>
        <w:rPr>
          <w:rFonts w:hint="eastAsia" w:ascii="仿宋" w:hAnsi="仿宋" w:eastAsia="仿宋"/>
          <w:color w:val="000000" w:themeColor="text1"/>
          <w:sz w:val="32"/>
          <w:szCs w:val="32"/>
          <w14:textFill>
            <w14:solidFill>
              <w14:schemeClr w14:val="tx1"/>
            </w14:solidFill>
          </w14:textFill>
        </w:rPr>
        <w:t>收集转运处理模式。加强环卫城乡统筹，全面落实“户收集、镇运输、县处理”运行模式，加快实现城乡环卫一体化。</w:t>
      </w:r>
      <w:r>
        <w:rPr>
          <w:rFonts w:hint="eastAsia" w:ascii="仿宋" w:hAnsi="仿宋" w:eastAsia="仿宋" w:cs="仿宋_GB2312"/>
          <w:bCs/>
          <w:color w:val="000000" w:themeColor="text1"/>
          <w:sz w:val="32"/>
          <w:szCs w:val="32"/>
          <w14:textFill>
            <w14:solidFill>
              <w14:schemeClr w14:val="tx1"/>
            </w14:solidFill>
          </w14:textFill>
        </w:rPr>
        <w:t>二是</w:t>
      </w:r>
      <w:r>
        <w:rPr>
          <w:rFonts w:hint="eastAsia" w:ascii="仿宋" w:hAnsi="仿宋" w:eastAsia="仿宋"/>
          <w:color w:val="000000" w:themeColor="text1"/>
          <w:sz w:val="32"/>
          <w:szCs w:val="32"/>
          <w14:textFill>
            <w14:solidFill>
              <w14:schemeClr w14:val="tx1"/>
            </w14:solidFill>
          </w14:textFill>
        </w:rPr>
        <w:t>建立生活垃圾定时、定点上门收集机制，清扫员采取电动三轮车巡回收集生活垃圾，集中运输至所属区域的垃圾转运站，经站内压缩处理，由密闭式转运车运输至鼎山垃圾填埋场进行无害化处理，确保及时高效收运，</w:t>
      </w:r>
      <w:r>
        <w:rPr>
          <w:rFonts w:hint="eastAsia" w:ascii="仿宋" w:hAnsi="仿宋" w:eastAsia="仿宋" w:cs="仿宋"/>
          <w:color w:val="000000" w:themeColor="text1"/>
          <w:sz w:val="32"/>
          <w:szCs w:val="32"/>
          <w14:textFill>
            <w14:solidFill>
              <w14:schemeClr w14:val="tx1"/>
            </w14:solidFill>
          </w14:textFill>
        </w:rPr>
        <w:t>垃圾</w:t>
      </w:r>
      <w:r>
        <w:rPr>
          <w:rFonts w:hint="eastAsia" w:ascii="仿宋" w:hAnsi="仿宋" w:eastAsia="仿宋"/>
          <w:color w:val="000000" w:themeColor="text1"/>
          <w:sz w:val="32"/>
          <w:szCs w:val="32"/>
          <w14:textFill>
            <w14:solidFill>
              <w14:schemeClr w14:val="tx1"/>
            </w14:solidFill>
          </w14:textFill>
        </w:rPr>
        <w:t>日产日清。</w:t>
      </w:r>
    </w:p>
    <w:p>
      <w:pPr>
        <w:spacing w:line="620" w:lineRule="exact"/>
        <w:ind w:firstLine="630" w:firstLineChars="196"/>
        <w:rPr>
          <w:rFonts w:ascii="仿宋" w:hAnsi="仿宋" w:eastAsia="仿宋"/>
          <w:color w:val="000000" w:themeColor="text1"/>
          <w:sz w:val="32"/>
          <w:szCs w:val="32"/>
          <w14:textFill>
            <w14:solidFill>
              <w14:schemeClr w14:val="tx1"/>
            </w14:solidFill>
          </w14:textFill>
        </w:rPr>
      </w:pPr>
      <w:r>
        <w:rPr>
          <w:rFonts w:hint="eastAsia" w:ascii="仿宋" w:hAnsi="仿宋" w:eastAsia="仿宋" w:cs="仿宋_GB2312"/>
          <w:b/>
          <w:color w:val="000000" w:themeColor="text1"/>
          <w:sz w:val="32"/>
          <w:szCs w:val="32"/>
          <w14:textFill>
            <w14:solidFill>
              <w14:schemeClr w14:val="tx1"/>
            </w14:solidFill>
          </w14:textFill>
        </w:rPr>
        <w:t>4</w:t>
      </w:r>
      <w:r>
        <w:rPr>
          <w:rFonts w:hint="eastAsia" w:ascii="仿宋" w:hAnsi="仿宋" w:eastAsia="仿宋" w:cs="仿宋_GB2312"/>
          <w:b/>
          <w:color w:val="000000" w:themeColor="text1"/>
          <w:kern w:val="0"/>
          <w:sz w:val="32"/>
          <w:szCs w:val="32"/>
          <w14:textFill>
            <w14:solidFill>
              <w14:schemeClr w14:val="tx1"/>
            </w14:solidFill>
          </w14:textFill>
        </w:rPr>
        <w:t>、</w:t>
      </w:r>
      <w:r>
        <w:rPr>
          <w:rFonts w:hint="eastAsia" w:ascii="仿宋" w:hAnsi="仿宋" w:eastAsia="仿宋"/>
          <w:b/>
          <w:color w:val="000000" w:themeColor="text1"/>
          <w:sz w:val="32"/>
          <w:szCs w:val="32"/>
          <w14:textFill>
            <w14:solidFill>
              <w14:schemeClr w14:val="tx1"/>
            </w14:solidFill>
          </w14:textFill>
        </w:rPr>
        <w:t>道路洒水</w:t>
      </w:r>
      <w:r>
        <w:rPr>
          <w:rFonts w:hint="eastAsia" w:ascii="仿宋" w:hAnsi="仿宋" w:eastAsia="仿宋" w:cs="宋体"/>
          <w:b/>
          <w:color w:val="000000" w:themeColor="text1"/>
          <w:kern w:val="0"/>
          <w:sz w:val="32"/>
          <w:szCs w:val="32"/>
          <w14:textFill>
            <w14:solidFill>
              <w14:schemeClr w14:val="tx1"/>
            </w14:solidFill>
          </w14:textFill>
        </w:rPr>
        <w:t>清洗常态化。</w:t>
      </w:r>
      <w:r>
        <w:rPr>
          <w:rFonts w:hint="eastAsia" w:ascii="仿宋" w:hAnsi="仿宋" w:eastAsia="仿宋" w:cs="宋体"/>
          <w:color w:val="000000" w:themeColor="text1"/>
          <w:kern w:val="0"/>
          <w:sz w:val="32"/>
          <w:szCs w:val="32"/>
          <w14:textFill>
            <w14:solidFill>
              <w14:schemeClr w14:val="tx1"/>
            </w14:solidFill>
          </w14:textFill>
        </w:rPr>
        <w:t>一是</w:t>
      </w:r>
      <w:r>
        <w:rPr>
          <w:rFonts w:hint="eastAsia" w:ascii="仿宋" w:hAnsi="仿宋" w:eastAsia="仿宋"/>
          <w:color w:val="000000" w:themeColor="text1"/>
          <w:sz w:val="32"/>
          <w:szCs w:val="32"/>
          <w14:textFill>
            <w14:solidFill>
              <w14:schemeClr w14:val="tx1"/>
            </w14:solidFill>
          </w14:textFill>
        </w:rPr>
        <w:t>建立健全定期洗街、抹街的工作机制，形成洒水车常规洒水降尘、清扫车重点冲洗、护栏清洗车定点清洗交通护拦的格局。二是按照路段实际路况，采取人工和机械相结合方式，利用早中晚错峰时间，对快车道、人行道、渠化岛、桥墩等区域进行全面冲洗，实行定人、定车、定时、定标及定责的“五定”运行制度，路面和交通标志线见“本色”，确保道路“六无六净”，道路洒水及</w:t>
      </w:r>
      <w:r>
        <w:rPr>
          <w:rFonts w:hint="eastAsia" w:ascii="仿宋" w:hAnsi="仿宋" w:eastAsia="仿宋" w:cs="宋体"/>
          <w:color w:val="000000" w:themeColor="text1"/>
          <w:kern w:val="0"/>
          <w:sz w:val="32"/>
          <w:szCs w:val="32"/>
          <w14:textFill>
            <w14:solidFill>
              <w14:schemeClr w14:val="tx1"/>
            </w14:solidFill>
          </w14:textFill>
        </w:rPr>
        <w:t>清洗作业已形成常态化，</w:t>
      </w:r>
      <w:r>
        <w:rPr>
          <w:rFonts w:hint="eastAsia" w:ascii="仿宋" w:hAnsi="仿宋" w:eastAsia="仿宋"/>
          <w:color w:val="000000" w:themeColor="text1"/>
          <w:sz w:val="32"/>
          <w:szCs w:val="32"/>
          <w14:textFill>
            <w14:solidFill>
              <w14:schemeClr w14:val="tx1"/>
            </w14:solidFill>
          </w14:textFill>
        </w:rPr>
        <w:t>实现了由定时扫街向定期洗街的转变。</w:t>
      </w:r>
    </w:p>
    <w:p>
      <w:pPr>
        <w:spacing w:line="620" w:lineRule="exact"/>
        <w:ind w:firstLine="643" w:firstLineChars="200"/>
        <w:rPr>
          <w:rFonts w:ascii="仿宋" w:hAnsi="仿宋" w:eastAsia="仿宋" w:cs="仿宋_GB2312"/>
          <w:color w:val="000000" w:themeColor="text1"/>
          <w:kern w:val="0"/>
          <w:sz w:val="32"/>
          <w:szCs w:val="32"/>
          <w14:textFill>
            <w14:solidFill>
              <w14:schemeClr w14:val="tx1"/>
            </w14:solidFill>
          </w14:textFill>
        </w:rPr>
      </w:pPr>
      <w:r>
        <w:rPr>
          <w:rFonts w:hint="eastAsia" w:ascii="仿宋" w:hAnsi="仿宋" w:eastAsia="仿宋"/>
          <w:b/>
          <w:color w:val="000000" w:themeColor="text1"/>
          <w:sz w:val="32"/>
          <w:szCs w:val="32"/>
          <w14:textFill>
            <w14:solidFill>
              <w14:schemeClr w14:val="tx1"/>
            </w14:solidFill>
          </w14:textFill>
        </w:rPr>
        <w:t>5、市容监察管理经常化。</w:t>
      </w:r>
      <w:r>
        <w:rPr>
          <w:rFonts w:hint="eastAsia" w:ascii="仿宋" w:hAnsi="仿宋" w:eastAsia="仿宋"/>
          <w:color w:val="000000" w:themeColor="text1"/>
          <w:sz w:val="32"/>
          <w:szCs w:val="32"/>
          <w14:textFill>
            <w14:solidFill>
              <w14:schemeClr w14:val="tx1"/>
            </w14:solidFill>
          </w14:textFill>
        </w:rPr>
        <w:t>加强环卫政策法规宣传，向服务对象发放倡议书宣传资料0.5万份，</w:t>
      </w:r>
      <w:r>
        <w:rPr>
          <w:rFonts w:hint="eastAsia" w:ascii="仿宋" w:hAnsi="仿宋" w:eastAsia="仿宋" w:cs="Arial"/>
          <w:color w:val="000000" w:themeColor="text1"/>
          <w:sz w:val="32"/>
          <w:szCs w:val="32"/>
          <w14:textFill>
            <w14:solidFill>
              <w14:schemeClr w14:val="tx1"/>
            </w14:solidFill>
          </w14:textFill>
        </w:rPr>
        <w:t>劝导和制止市民乱扔垃圾、乱倒污水等违纪行为60余起，</w:t>
      </w:r>
      <w:r>
        <w:rPr>
          <w:rFonts w:hint="eastAsia" w:ascii="仿宋" w:hAnsi="仿宋" w:eastAsia="仿宋" w:cs="仿宋_GB2312"/>
          <w:color w:val="000000" w:themeColor="text1"/>
          <w:kern w:val="0"/>
          <w:sz w:val="32"/>
          <w:szCs w:val="32"/>
          <w14:textFill>
            <w14:solidFill>
              <w14:schemeClr w14:val="tx1"/>
            </w14:solidFill>
          </w14:textFill>
        </w:rPr>
        <w:t>依法处理</w:t>
      </w:r>
      <w:r>
        <w:rPr>
          <w:rFonts w:hint="eastAsia" w:ascii="仿宋" w:hAnsi="仿宋" w:eastAsia="仿宋"/>
          <w:color w:val="000000" w:themeColor="text1"/>
          <w:sz w:val="32"/>
          <w:szCs w:val="32"/>
          <w14:textFill>
            <w14:solidFill>
              <w14:schemeClr w14:val="tx1"/>
            </w14:solidFill>
          </w14:textFill>
        </w:rPr>
        <w:t>单位及个人</w:t>
      </w:r>
      <w:r>
        <w:rPr>
          <w:rFonts w:hint="eastAsia" w:ascii="仿宋" w:hAnsi="仿宋" w:eastAsia="仿宋" w:cs="宋体"/>
          <w:color w:val="000000" w:themeColor="text1"/>
          <w:kern w:val="0"/>
          <w:sz w:val="32"/>
          <w:szCs w:val="32"/>
          <w14:textFill>
            <w14:solidFill>
              <w14:schemeClr w14:val="tx1"/>
            </w14:solidFill>
          </w14:textFill>
        </w:rPr>
        <w:t>影响环境卫生的行为40余起</w:t>
      </w:r>
      <w:r>
        <w:rPr>
          <w:rFonts w:hint="eastAsia" w:ascii="仿宋" w:hAnsi="仿宋" w:eastAsia="仿宋" w:cs="仿宋_GB2312"/>
          <w:color w:val="000000" w:themeColor="text1"/>
          <w:kern w:val="0"/>
          <w:sz w:val="32"/>
          <w:szCs w:val="32"/>
          <w14:textFill>
            <w14:solidFill>
              <w14:schemeClr w14:val="tx1"/>
            </w14:solidFill>
          </w14:textFill>
        </w:rPr>
        <w:t>，并对重要路段、繁华地段进行长期管控和复查，实行常态化长效管理。</w:t>
      </w:r>
    </w:p>
    <w:p>
      <w:pPr>
        <w:pStyle w:val="6"/>
        <w:keepNext w:val="0"/>
        <w:keepLines w:val="0"/>
        <w:pageBreakBefore w:val="0"/>
        <w:widowControl w:val="0"/>
        <w:kinsoku/>
        <w:wordWrap/>
        <w:overflowPunct/>
        <w:topLinePunct w:val="0"/>
        <w:autoSpaceDE/>
        <w:autoSpaceDN/>
        <w:bidi w:val="0"/>
        <w:adjustRightInd/>
        <w:snapToGrid/>
        <w:spacing w:before="0" w:beforeAutospacing="0" w:after="0" w:afterAutospacing="0" w:line="620" w:lineRule="exact"/>
        <w:ind w:left="0" w:leftChars="0" w:firstLine="643" w:firstLineChars="200"/>
        <w:textAlignment w:val="auto"/>
        <w:rPr>
          <w:rFonts w:ascii="楷体" w:hAnsi="楷体" w:eastAsia="楷体"/>
          <w:b/>
          <w:color w:val="000000" w:themeColor="text1"/>
          <w:sz w:val="32"/>
          <w:szCs w:val="32"/>
          <w14:textFill>
            <w14:solidFill>
              <w14:schemeClr w14:val="tx1"/>
            </w14:solidFill>
          </w14:textFill>
        </w:rPr>
      </w:pPr>
      <w:r>
        <w:rPr>
          <w:rFonts w:hint="eastAsia" w:ascii="仿宋" w:hAnsi="仿宋" w:eastAsia="仿宋"/>
          <w:b/>
          <w:color w:val="000000" w:themeColor="text1"/>
          <w:sz w:val="32"/>
          <w:szCs w:val="32"/>
          <w14:textFill>
            <w14:solidFill>
              <w14:schemeClr w14:val="tx1"/>
            </w14:solidFill>
          </w14:textFill>
        </w:rPr>
        <w:t>6、环卫综合考评日常化</w:t>
      </w:r>
      <w:r>
        <w:rPr>
          <w:rFonts w:hint="eastAsia" w:ascii="仿宋" w:hAnsi="仿宋" w:eastAsia="仿宋" w:cs="宋体"/>
          <w:b/>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一是制定了《城区环卫生产作业管理实施细则》，全面考核各岗位履职情况，细化、量化各项作业指标，形成责任明确、考评精细的工作模式。二是</w:t>
      </w:r>
      <w:r>
        <w:rPr>
          <w:rFonts w:hint="eastAsia" w:ascii="仿宋" w:hAnsi="仿宋" w:eastAsia="仿宋"/>
          <w:color w:val="000000" w:themeColor="text1"/>
          <w:sz w:val="32"/>
          <w:szCs w:val="32"/>
          <w14:textFill>
            <w14:solidFill>
              <w14:schemeClr w14:val="tx1"/>
            </w14:solidFill>
          </w14:textFill>
        </w:rPr>
        <w:t>建立健全了考核讲评制度，</w:t>
      </w:r>
      <w:r>
        <w:rPr>
          <w:rFonts w:hint="eastAsia" w:ascii="仿宋" w:hAnsi="仿宋" w:eastAsia="仿宋" w:cs="宋体"/>
          <w:color w:val="000000" w:themeColor="text1"/>
          <w:sz w:val="32"/>
          <w:szCs w:val="32"/>
          <w14:textFill>
            <w14:solidFill>
              <w14:schemeClr w14:val="tx1"/>
            </w14:solidFill>
          </w14:textFill>
        </w:rPr>
        <w:t>严格</w:t>
      </w:r>
      <w:r>
        <w:rPr>
          <w:rFonts w:hint="eastAsia" w:ascii="仿宋" w:hAnsi="仿宋" w:eastAsia="仿宋"/>
          <w:color w:val="000000" w:themeColor="text1"/>
          <w:sz w:val="32"/>
          <w:szCs w:val="32"/>
          <w14:textFill>
            <w14:solidFill>
              <w14:schemeClr w14:val="tx1"/>
            </w14:solidFill>
          </w14:textFill>
        </w:rPr>
        <w:t>按照考评流程，实行</w:t>
      </w:r>
      <w:r>
        <w:rPr>
          <w:rFonts w:hint="eastAsia" w:ascii="仿宋" w:hAnsi="仿宋" w:eastAsia="仿宋" w:cs="宋体"/>
          <w:color w:val="000000" w:themeColor="text1"/>
          <w:kern w:val="0"/>
          <w:sz w:val="32"/>
          <w:szCs w:val="32"/>
          <w14:textFill>
            <w14:solidFill>
              <w14:schemeClr w14:val="tx1"/>
            </w14:solidFill>
          </w14:textFill>
        </w:rPr>
        <w:t>“日检查、月考评、年终总评”管理机制</w:t>
      </w:r>
      <w:r>
        <w:rPr>
          <w:rFonts w:hint="eastAsia" w:ascii="仿宋" w:hAnsi="仿宋" w:eastAsia="仿宋"/>
          <w:color w:val="000000" w:themeColor="text1"/>
          <w:sz w:val="32"/>
          <w:szCs w:val="32"/>
          <w14:textFill>
            <w14:solidFill>
              <w14:schemeClr w14:val="tx1"/>
            </w14:solidFill>
          </w14:textFill>
        </w:rPr>
        <w:t>，加强垃圾清扫、清运、洒水降尘、无害化处理作业考核，奖优罚劣，</w:t>
      </w:r>
      <w:r>
        <w:rPr>
          <w:rFonts w:hint="eastAsia" w:ascii="仿宋" w:hAnsi="仿宋" w:eastAsia="仿宋" w:cs="宋体"/>
          <w:color w:val="000000" w:themeColor="text1"/>
          <w:kern w:val="0"/>
          <w:sz w:val="32"/>
          <w:szCs w:val="32"/>
          <w14:textFill>
            <w14:solidFill>
              <w14:schemeClr w14:val="tx1"/>
            </w14:solidFill>
          </w14:textFill>
        </w:rPr>
        <w:t>真正做到了责任全覆盖、检查全方位，确保全天候无缝隙、无盲区管理</w:t>
      </w:r>
      <w:r>
        <w:rPr>
          <w:rFonts w:hint="eastAsia" w:ascii="仿宋" w:hAnsi="仿宋" w:eastAsia="仿宋"/>
          <w:color w:val="000000" w:themeColor="text1"/>
          <w:sz w:val="32"/>
          <w:szCs w:val="32"/>
          <w14:textFill>
            <w14:solidFill>
              <w14:schemeClr w14:val="tx1"/>
            </w14:solidFill>
          </w14:textFill>
        </w:rPr>
        <w:t>。</w:t>
      </w:r>
    </w:p>
    <w:p>
      <w:pPr>
        <w:pStyle w:val="6"/>
        <w:keepNext w:val="0"/>
        <w:keepLines w:val="0"/>
        <w:pageBreakBefore w:val="0"/>
        <w:widowControl w:val="0"/>
        <w:kinsoku/>
        <w:wordWrap/>
        <w:overflowPunct/>
        <w:topLinePunct w:val="0"/>
        <w:autoSpaceDE/>
        <w:autoSpaceDN/>
        <w:bidi w:val="0"/>
        <w:adjustRightInd/>
        <w:snapToGrid/>
        <w:spacing w:beforeAutospacing="0" w:afterAutospacing="0" w:line="620" w:lineRule="exact"/>
        <w:ind w:left="0" w:leftChars="0" w:firstLine="643" w:firstLineChars="200"/>
        <w:textAlignment w:val="auto"/>
        <w:rPr>
          <w:rFonts w:ascii="仿宋" w:hAnsi="仿宋" w:eastAsia="仿宋" w:cs="宋体"/>
          <w:color w:val="000000" w:themeColor="text1"/>
          <w:kern w:val="0"/>
          <w:sz w:val="32"/>
          <w:szCs w:val="32"/>
          <w:lang w:val="zh-CN"/>
          <w14:textFill>
            <w14:solidFill>
              <w14:schemeClr w14:val="tx1"/>
            </w14:solidFill>
          </w14:textFill>
        </w:rPr>
      </w:pPr>
      <w:r>
        <w:rPr>
          <w:rFonts w:hint="eastAsia" w:ascii="楷体" w:hAnsi="楷体" w:eastAsia="楷体"/>
          <w:b/>
          <w:color w:val="000000" w:themeColor="text1"/>
          <w:sz w:val="32"/>
          <w:szCs w:val="32"/>
          <w14:textFill>
            <w14:solidFill>
              <w14:schemeClr w14:val="tx1"/>
            </w14:solidFill>
          </w14:textFill>
        </w:rPr>
        <w:t>（五）规范有效监管垃圾处理运营。</w:t>
      </w:r>
      <w:r>
        <w:rPr>
          <w:rFonts w:hint="eastAsia" w:ascii="仿宋" w:hAnsi="仿宋" w:eastAsia="仿宋"/>
          <w:color w:val="000000" w:themeColor="text1"/>
          <w:sz w:val="32"/>
          <w:szCs w:val="32"/>
          <w14:textFill>
            <w14:solidFill>
              <w14:schemeClr w14:val="tx1"/>
            </w14:solidFill>
          </w14:textFill>
        </w:rPr>
        <w:t>一是鼎山垃圾场</w:t>
      </w:r>
      <w:r>
        <w:rPr>
          <w:rFonts w:hint="eastAsia" w:ascii="仿宋" w:hAnsi="仿宋" w:eastAsia="仿宋" w:cs="仿宋_GB2312"/>
          <w:color w:val="000000" w:themeColor="text1"/>
          <w:sz w:val="32"/>
          <w:szCs w:val="32"/>
          <w14:textFill>
            <w14:solidFill>
              <w14:schemeClr w14:val="tx1"/>
            </w14:solidFill>
          </w14:textFill>
        </w:rPr>
        <w:t>严格按照国家建设部《生活垃圾卫生填埋</w:t>
      </w:r>
      <w:r>
        <w:rPr>
          <w:rFonts w:hint="eastAsia" w:ascii="仿宋" w:hAnsi="仿宋" w:eastAsia="仿宋" w:cs="宋体"/>
          <w:color w:val="000000" w:themeColor="text1"/>
          <w:kern w:val="0"/>
          <w:sz w:val="32"/>
          <w:szCs w:val="32"/>
          <w:lang w:val="zh-CN"/>
          <w14:textFill>
            <w14:solidFill>
              <w14:schemeClr w14:val="tx1"/>
            </w14:solidFill>
          </w14:textFill>
        </w:rPr>
        <w:t>处理</w:t>
      </w:r>
      <w:r>
        <w:rPr>
          <w:rFonts w:hint="eastAsia" w:ascii="仿宋" w:hAnsi="仿宋" w:eastAsia="仿宋" w:cs="仿宋_GB2312"/>
          <w:color w:val="000000" w:themeColor="text1"/>
          <w:sz w:val="32"/>
          <w:szCs w:val="32"/>
          <w14:textFill>
            <w14:solidFill>
              <w14:schemeClr w14:val="tx1"/>
            </w14:solidFill>
          </w14:textFill>
        </w:rPr>
        <w:t>技术规范》</w:t>
      </w:r>
      <w:r>
        <w:rPr>
          <w:rFonts w:hint="eastAsia" w:ascii="仿宋" w:hAnsi="仿宋" w:eastAsia="仿宋" w:cs="宋体"/>
          <w:color w:val="000000" w:themeColor="text1"/>
          <w:kern w:val="0"/>
          <w:sz w:val="32"/>
          <w:szCs w:val="32"/>
          <w:lang w:val="zh-CN"/>
          <w14:textFill>
            <w14:solidFill>
              <w14:schemeClr w14:val="tx1"/>
            </w14:solidFill>
          </w14:textFill>
        </w:rPr>
        <w:t>无害化卫生填埋生活垃圾，渗滤液采用</w:t>
      </w:r>
      <w:r>
        <w:rPr>
          <w:rFonts w:hint="eastAsia" w:ascii="仿宋" w:hAnsi="仿宋" w:eastAsia="仿宋"/>
          <w:color w:val="000000" w:themeColor="text1"/>
          <w:sz w:val="32"/>
          <w:szCs w:val="32"/>
          <w14:textFill>
            <w14:solidFill>
              <w14:schemeClr w14:val="tx1"/>
            </w14:solidFill>
          </w14:textFill>
        </w:rPr>
        <w:t>MBR+纳滤膜+反渗透膜</w:t>
      </w:r>
      <w:r>
        <w:rPr>
          <w:rFonts w:hint="eastAsia" w:ascii="仿宋" w:hAnsi="仿宋" w:eastAsia="仿宋" w:cs="宋体"/>
          <w:color w:val="000000" w:themeColor="text1"/>
          <w:kern w:val="0"/>
          <w:sz w:val="32"/>
          <w:szCs w:val="32"/>
          <w14:textFill>
            <w14:solidFill>
              <w14:schemeClr w14:val="tx1"/>
            </w14:solidFill>
          </w14:textFill>
        </w:rPr>
        <w:t>系统</w:t>
      </w:r>
      <w:r>
        <w:rPr>
          <w:rFonts w:hint="eastAsia" w:ascii="仿宋" w:hAnsi="仿宋" w:eastAsia="仿宋" w:cs="宋体"/>
          <w:color w:val="000000" w:themeColor="text1"/>
          <w:kern w:val="0"/>
          <w:sz w:val="32"/>
          <w:szCs w:val="32"/>
          <w:lang w:val="zh-CN"/>
          <w14:textFill>
            <w14:solidFill>
              <w14:schemeClr w14:val="tx1"/>
            </w14:solidFill>
          </w14:textFill>
        </w:rPr>
        <w:t>处理工艺，今年</w:t>
      </w:r>
      <w:r>
        <w:rPr>
          <w:rFonts w:hint="eastAsia" w:ascii="仿宋" w:hAnsi="仿宋" w:eastAsia="仿宋" w:cs="宋体"/>
          <w:color w:val="000000" w:themeColor="text1"/>
          <w:kern w:val="0"/>
          <w:sz w:val="32"/>
          <w:szCs w:val="32"/>
          <w14:textFill>
            <w14:solidFill>
              <w14:schemeClr w14:val="tx1"/>
            </w14:solidFill>
          </w14:textFill>
        </w:rPr>
        <w:t>1--10月份共处理生活垃圾量约</w:t>
      </w:r>
      <w:r>
        <w:rPr>
          <w:rFonts w:hint="eastAsia" w:ascii="仿宋" w:hAnsi="仿宋" w:eastAsia="仿宋" w:cs="宋体"/>
          <w:color w:val="000000" w:themeColor="text1"/>
          <w:kern w:val="0"/>
          <w:sz w:val="32"/>
          <w:szCs w:val="32"/>
          <w:lang w:val="zh-CN"/>
          <w14:textFill>
            <w14:solidFill>
              <w14:schemeClr w14:val="tx1"/>
            </w14:solidFill>
          </w14:textFill>
        </w:rPr>
        <w:t>7.94</w:t>
      </w:r>
      <w:r>
        <w:rPr>
          <w:rFonts w:hint="eastAsia" w:ascii="仿宋" w:hAnsi="仿宋" w:eastAsia="仿宋" w:cs="宋体"/>
          <w:color w:val="000000" w:themeColor="text1"/>
          <w:kern w:val="0"/>
          <w:sz w:val="32"/>
          <w:szCs w:val="32"/>
          <w14:textFill>
            <w14:solidFill>
              <w14:schemeClr w14:val="tx1"/>
            </w14:solidFill>
          </w14:textFill>
        </w:rPr>
        <w:t>万吨，日均处理量约</w:t>
      </w:r>
      <w:r>
        <w:rPr>
          <w:rFonts w:hint="eastAsia" w:ascii="仿宋" w:hAnsi="仿宋" w:eastAsia="仿宋"/>
          <w:color w:val="000000" w:themeColor="text1"/>
          <w:sz w:val="32"/>
          <w:szCs w:val="32"/>
          <w14:textFill>
            <w14:solidFill>
              <w14:schemeClr w14:val="tx1"/>
            </w14:solidFill>
          </w14:textFill>
        </w:rPr>
        <w:t>261</w:t>
      </w:r>
      <w:r>
        <w:rPr>
          <w:rFonts w:hint="eastAsia" w:ascii="仿宋" w:hAnsi="仿宋" w:eastAsia="仿宋" w:cs="宋体"/>
          <w:color w:val="000000" w:themeColor="text1"/>
          <w:kern w:val="0"/>
          <w:sz w:val="32"/>
          <w:szCs w:val="32"/>
          <w14:textFill>
            <w14:solidFill>
              <w14:schemeClr w14:val="tx1"/>
            </w14:solidFill>
          </w14:textFill>
        </w:rPr>
        <w:t>吨</w:t>
      </w:r>
      <w:r>
        <w:rPr>
          <w:rFonts w:hint="eastAsia" w:ascii="仿宋" w:hAnsi="仿宋" w:eastAsia="仿宋"/>
          <w:color w:val="000000" w:themeColor="text1"/>
          <w:sz w:val="32"/>
          <w:szCs w:val="32"/>
          <w14:textFill>
            <w14:solidFill>
              <w14:schemeClr w14:val="tx1"/>
            </w14:solidFill>
          </w14:textFill>
        </w:rPr>
        <w:t>，</w:t>
      </w:r>
      <w:r>
        <w:rPr>
          <w:rFonts w:hint="eastAsia" w:ascii="仿宋" w:hAnsi="仿宋" w:eastAsia="仿宋" w:cs="宋体"/>
          <w:color w:val="000000" w:themeColor="text1"/>
          <w:kern w:val="0"/>
          <w:sz w:val="32"/>
          <w:szCs w:val="32"/>
          <w14:textFill>
            <w14:solidFill>
              <w14:schemeClr w14:val="tx1"/>
            </w14:solidFill>
          </w14:textFill>
        </w:rPr>
        <w:t>处理渗滤液</w:t>
      </w:r>
      <w:r>
        <w:rPr>
          <w:rFonts w:hint="eastAsia" w:ascii="仿宋" w:hAnsi="仿宋" w:eastAsia="仿宋" w:cs="宋体"/>
          <w:color w:val="000000" w:themeColor="text1"/>
          <w:kern w:val="0"/>
          <w:sz w:val="32"/>
          <w:szCs w:val="32"/>
          <w:lang w:val="zh-CN"/>
          <w14:textFill>
            <w14:solidFill>
              <w14:schemeClr w14:val="tx1"/>
            </w14:solidFill>
          </w14:textFill>
        </w:rPr>
        <w:t>3.74</w:t>
      </w:r>
      <w:r>
        <w:rPr>
          <w:rFonts w:hint="eastAsia" w:ascii="仿宋" w:hAnsi="仿宋" w:eastAsia="仿宋" w:cs="宋体"/>
          <w:color w:val="000000" w:themeColor="text1"/>
          <w:kern w:val="0"/>
          <w:sz w:val="32"/>
          <w:szCs w:val="32"/>
          <w14:textFill>
            <w14:solidFill>
              <w14:schemeClr w14:val="tx1"/>
            </w14:solidFill>
          </w14:textFill>
        </w:rPr>
        <w:t>万吨，</w:t>
      </w:r>
      <w:r>
        <w:rPr>
          <w:rFonts w:hint="eastAsia" w:ascii="仿宋" w:hAnsi="仿宋" w:eastAsia="仿宋"/>
          <w:color w:val="000000" w:themeColor="text1"/>
          <w:sz w:val="32"/>
          <w:szCs w:val="32"/>
          <w14:textFill>
            <w14:solidFill>
              <w14:schemeClr w14:val="tx1"/>
            </w14:solidFill>
          </w14:textFill>
        </w:rPr>
        <w:t>稳定达标后经专用管道排放，</w:t>
      </w:r>
      <w:r>
        <w:rPr>
          <w:rFonts w:hint="eastAsia" w:ascii="仿宋" w:hAnsi="仿宋" w:eastAsia="仿宋" w:cs="宋体"/>
          <w:color w:val="000000" w:themeColor="text1"/>
          <w:kern w:val="0"/>
          <w:sz w:val="32"/>
          <w:szCs w:val="32"/>
          <w14:textFill>
            <w14:solidFill>
              <w14:schemeClr w14:val="tx1"/>
            </w14:solidFill>
          </w14:textFill>
        </w:rPr>
        <w:t>确保生活垃圾</w:t>
      </w:r>
      <w:r>
        <w:rPr>
          <w:rFonts w:hint="eastAsia" w:ascii="仿宋" w:hAnsi="仿宋" w:eastAsia="仿宋" w:cs="仿宋_GB2312"/>
          <w:color w:val="000000" w:themeColor="text1"/>
          <w:sz w:val="32"/>
          <w:szCs w:val="32"/>
          <w14:textFill>
            <w14:solidFill>
              <w14:schemeClr w14:val="tx1"/>
            </w14:solidFill>
          </w14:textFill>
        </w:rPr>
        <w:t>无害化处理率达100%</w:t>
      </w:r>
      <w:r>
        <w:rPr>
          <w:rFonts w:hint="eastAsia" w:ascii="仿宋" w:hAnsi="仿宋" w:eastAsia="仿宋" w:cs="宋体"/>
          <w:color w:val="000000" w:themeColor="text1"/>
          <w:kern w:val="0"/>
          <w:sz w:val="32"/>
          <w:szCs w:val="32"/>
          <w:lang w:val="zh-CN"/>
          <w14:textFill>
            <w14:solidFill>
              <w14:schemeClr w14:val="tx1"/>
            </w14:solidFill>
          </w14:textFill>
        </w:rPr>
        <w:t>。二是</w:t>
      </w:r>
      <w:r>
        <w:rPr>
          <w:rFonts w:hint="eastAsia" w:ascii="仿宋" w:hAnsi="仿宋" w:eastAsia="仿宋"/>
          <w:color w:val="000000" w:themeColor="text1"/>
          <w:sz w:val="32"/>
          <w:szCs w:val="32"/>
          <w14:textFill>
            <w14:solidFill>
              <w14:schemeClr w14:val="tx1"/>
            </w14:solidFill>
          </w14:textFill>
        </w:rPr>
        <w:t>与第三方专业公司合作，投入1260万元安装6台沼气收集发电设备，</w:t>
      </w:r>
      <w:r>
        <w:rPr>
          <w:rFonts w:hint="eastAsia" w:ascii="仿宋" w:hAnsi="仿宋" w:eastAsia="仿宋" w:cs="仿宋_GB2312"/>
          <w:color w:val="000000" w:themeColor="text1"/>
          <w:sz w:val="32"/>
          <w:szCs w:val="32"/>
          <w14:textFill>
            <w14:solidFill>
              <w14:schemeClr w14:val="tx1"/>
            </w14:solidFill>
          </w14:textFill>
        </w:rPr>
        <w:t>通过导气管收集填埋气体，输送至沼气发电机组进行燃烧发电，</w:t>
      </w:r>
      <w:r>
        <w:rPr>
          <w:rFonts w:hint="eastAsia" w:ascii="仿宋" w:hAnsi="仿宋" w:eastAsia="仿宋"/>
          <w:color w:val="000000" w:themeColor="text1"/>
          <w:sz w:val="32"/>
          <w:szCs w:val="32"/>
          <w14:textFill>
            <w14:solidFill>
              <w14:schemeClr w14:val="tx1"/>
            </w14:solidFill>
          </w14:textFill>
        </w:rPr>
        <w:t>目前已累计发电约</w:t>
      </w:r>
      <w:r>
        <w:rPr>
          <w:rFonts w:ascii="仿宋" w:hAnsi="仿宋" w:eastAsia="仿宋"/>
          <w:color w:val="000000" w:themeColor="text1"/>
          <w:sz w:val="32"/>
          <w:szCs w:val="32"/>
          <w14:textFill>
            <w14:solidFill>
              <w14:schemeClr w14:val="tx1"/>
            </w14:solidFill>
          </w14:textFill>
        </w:rPr>
        <w:t>2190</w:t>
      </w:r>
      <w:r>
        <w:rPr>
          <w:rFonts w:hint="eastAsia" w:ascii="仿宋" w:hAnsi="仿宋" w:eastAsia="仿宋"/>
          <w:color w:val="000000" w:themeColor="text1"/>
          <w:sz w:val="32"/>
          <w:szCs w:val="32"/>
          <w14:textFill>
            <w14:solidFill>
              <w14:schemeClr w14:val="tx1"/>
            </w14:solidFill>
          </w14:textFill>
        </w:rPr>
        <w:t>万度。</w:t>
      </w:r>
      <w:r>
        <w:rPr>
          <w:rFonts w:hint="eastAsia" w:ascii="仿宋" w:hAnsi="仿宋" w:eastAsia="仿宋" w:cs="仿宋_GB2312"/>
          <w:color w:val="000000" w:themeColor="text1"/>
          <w:sz w:val="32"/>
          <w:szCs w:val="32"/>
          <w14:textFill>
            <w14:solidFill>
              <w14:schemeClr w14:val="tx1"/>
            </w14:solidFill>
          </w14:textFill>
        </w:rPr>
        <w:t>通过垃圾资源化利用，减少沼气排放，形成了生态效益、经济效益、社会效益多赢的良性局面。三</w:t>
      </w:r>
      <w:r>
        <w:rPr>
          <w:rFonts w:hint="eastAsia" w:ascii="仿宋" w:hAnsi="仿宋" w:eastAsia="仿宋"/>
          <w:color w:val="000000" w:themeColor="text1"/>
          <w:sz w:val="32"/>
          <w:szCs w:val="32"/>
          <w14:textFill>
            <w14:solidFill>
              <w14:schemeClr w14:val="tx1"/>
            </w14:solidFill>
          </w14:textFill>
        </w:rPr>
        <w:t>是虎尾山垃圾填埋场渗滤液处理、绿化维护、水塘及沼气收集处理等各项工作正常有序开展。</w:t>
      </w:r>
    </w:p>
    <w:p>
      <w:pPr>
        <w:spacing w:line="620" w:lineRule="exact"/>
        <w:ind w:firstLine="602"/>
        <w:rPr>
          <w:rFonts w:ascii="仿宋" w:hAnsi="仿宋" w:eastAsia="仿宋"/>
          <w:color w:val="000000" w:themeColor="text1"/>
          <w:sz w:val="32"/>
          <w:szCs w:val="32"/>
          <w14:textFill>
            <w14:solidFill>
              <w14:schemeClr w14:val="tx1"/>
            </w14:solidFill>
          </w14:textFill>
        </w:rPr>
      </w:pPr>
      <w:r>
        <w:rPr>
          <w:rFonts w:hint="eastAsia" w:ascii="楷体" w:hAnsi="楷体" w:eastAsia="楷体"/>
          <w:b/>
          <w:color w:val="000000" w:themeColor="text1"/>
          <w:sz w:val="32"/>
          <w:szCs w:val="32"/>
          <w14:textFill>
            <w14:solidFill>
              <w14:schemeClr w14:val="tx1"/>
            </w14:solidFill>
          </w14:textFill>
        </w:rPr>
        <w:t>（六）全力推进污染防治攻坚。</w:t>
      </w:r>
      <w:r>
        <w:rPr>
          <w:rFonts w:hint="eastAsia" w:ascii="仿宋" w:hAnsi="仿宋" w:eastAsia="仿宋"/>
          <w:color w:val="000000" w:themeColor="text1"/>
          <w:sz w:val="32"/>
          <w:szCs w:val="32"/>
          <w14:textFill>
            <w14:solidFill>
              <w14:schemeClr w14:val="tx1"/>
            </w14:solidFill>
          </w14:textFill>
        </w:rPr>
        <w:t>加大道路保洁管控力度，严格落实道路降尘措施，加班加点推动生态环境持续改善、生态系统持续优化、整体功能持续提升。一是划定大气管控核心区域、重点区域，以市生态环境局华容分局办公大楼为圆心，半径 1.5 公里内为核心区域，半径 3 公里内为重点区域。二是突出重点区域、重点路段、重点时段卫生保洁，灵活运用洒水车、高压洗扫车等机械车辆，对道路进行卫生保洁和扬尘治理，扩大洒水范围、增加洒水频次、延长路面保湿时间。三是进一步加大道路保洁力度，其中杏花村东路、迎宾北路、华容大道中路、港东北路、港西北路等核心区域道路确保每天机械化湿扫、吸扫不少于 3 次，晴天洒水不少于 8 次、高压冲洗不少于 2 次；华容大道西路、港东中路、港西中路等重点区域道路晴天洒水不少于 5 次，确保路面和交通标志线见“本色”，高频次洒水及冲洗作业形成常态化。</w:t>
      </w:r>
    </w:p>
    <w:p>
      <w:pPr>
        <w:widowControl/>
        <w:spacing w:line="620" w:lineRule="exact"/>
        <w:ind w:firstLine="643" w:firstLineChars="200"/>
        <w:jc w:val="left"/>
        <w:rPr>
          <w:rFonts w:ascii="仿宋" w:hAnsi="仿宋" w:eastAsia="仿宋" w:cs="仿宋"/>
          <w:color w:val="000000" w:themeColor="text1"/>
          <w:sz w:val="32"/>
          <w:szCs w:val="32"/>
          <w14:textFill>
            <w14:solidFill>
              <w14:schemeClr w14:val="tx1"/>
            </w14:solidFill>
          </w14:textFill>
        </w:rPr>
      </w:pPr>
      <w:r>
        <w:rPr>
          <w:rFonts w:hint="eastAsia" w:ascii="楷体" w:hAnsi="楷体" w:eastAsia="楷体"/>
          <w:b/>
          <w:color w:val="000000" w:themeColor="text1"/>
          <w:sz w:val="32"/>
          <w:szCs w:val="32"/>
          <w14:textFill>
            <w14:solidFill>
              <w14:schemeClr w14:val="tx1"/>
            </w14:solidFill>
          </w14:textFill>
        </w:rPr>
        <w:t>（七）稳步推进环卫设施建设。</w:t>
      </w:r>
      <w:r>
        <w:rPr>
          <w:rFonts w:hint="eastAsia" w:ascii="仿宋" w:hAnsi="仿宋" w:eastAsia="仿宋"/>
          <w:color w:val="000000" w:themeColor="text1"/>
          <w:sz w:val="32"/>
          <w:szCs w:val="32"/>
          <w14:textFill>
            <w14:solidFill>
              <w14:schemeClr w14:val="tx1"/>
            </w14:solidFill>
          </w14:textFill>
        </w:rPr>
        <w:t>一是累计投入资金89.35万元，采购垃圾收集车2台、电动三轮车5台、人力三轮车80台、塑钢垃圾桶700个、除臭药剂7吨。二是维修改造县中医院、清水村及杏花村等垃圾转运站下水道，维修更换杏花村垃圾转运站屋顶瓦片，及时</w:t>
      </w:r>
      <w:r>
        <w:rPr>
          <w:rFonts w:hint="eastAsia" w:ascii="仿宋" w:hAnsi="仿宋" w:eastAsia="仿宋" w:cs="仿宋_GB2312"/>
          <w:color w:val="000000" w:themeColor="text1"/>
          <w:sz w:val="32"/>
          <w:szCs w:val="32"/>
          <w14:textFill>
            <w14:solidFill>
              <w14:schemeClr w14:val="tx1"/>
            </w14:solidFill>
          </w14:textFill>
        </w:rPr>
        <w:t>清除垃圾站墙体牛皮癣。</w:t>
      </w:r>
      <w:r>
        <w:rPr>
          <w:rFonts w:hint="eastAsia" w:ascii="仿宋" w:hAnsi="仿宋" w:eastAsia="仿宋"/>
          <w:color w:val="000000" w:themeColor="text1"/>
          <w:sz w:val="32"/>
          <w:szCs w:val="32"/>
          <w14:textFill>
            <w14:solidFill>
              <w14:schemeClr w14:val="tx1"/>
            </w14:solidFill>
          </w14:textFill>
        </w:rPr>
        <w:t>三是配套制作公厕指路牌、标志牌、制度牌等各类标识牌</w:t>
      </w:r>
      <w:r>
        <w:rPr>
          <w:rFonts w:hint="eastAsia" w:ascii="仿宋" w:hAnsi="仿宋" w:eastAsia="仿宋" w:cs="仿宋_GB2312"/>
          <w:color w:val="000000" w:themeColor="text1"/>
          <w:sz w:val="32"/>
          <w:szCs w:val="32"/>
          <w14:textFill>
            <w14:solidFill>
              <w14:schemeClr w14:val="tx1"/>
            </w14:solidFill>
          </w14:textFill>
        </w:rPr>
        <w:t>252</w:t>
      </w:r>
      <w:r>
        <w:rPr>
          <w:rFonts w:hint="eastAsia" w:ascii="仿宋" w:hAnsi="仿宋" w:eastAsia="仿宋"/>
          <w:color w:val="000000" w:themeColor="text1"/>
          <w:sz w:val="32"/>
          <w:szCs w:val="32"/>
          <w14:textFill>
            <w14:solidFill>
              <w14:schemeClr w14:val="tx1"/>
            </w14:solidFill>
          </w14:textFill>
        </w:rPr>
        <w:t>块，</w:t>
      </w:r>
      <w:r>
        <w:rPr>
          <w:rFonts w:hint="eastAsia" w:ascii="仿宋" w:hAnsi="仿宋" w:eastAsia="仿宋" w:cs="仿宋"/>
          <w:color w:val="000000" w:themeColor="text1"/>
          <w:kern w:val="0"/>
          <w:sz w:val="32"/>
          <w:szCs w:val="32"/>
          <w:shd w:val="clear" w:color="auto" w:fill="FFFFFF"/>
          <w14:textFill>
            <w14:solidFill>
              <w14:schemeClr w14:val="tx1"/>
            </w14:solidFill>
          </w14:textFill>
        </w:rPr>
        <w:t>及时维修、更换损坏的设施，共</w:t>
      </w:r>
      <w:r>
        <w:rPr>
          <w:rFonts w:hint="eastAsia" w:ascii="仿宋" w:hAnsi="仿宋" w:eastAsia="仿宋"/>
          <w:color w:val="000000" w:themeColor="text1"/>
          <w:sz w:val="32"/>
          <w:szCs w:val="32"/>
          <w14:textFill>
            <w14:solidFill>
              <w14:schemeClr w14:val="tx1"/>
            </w14:solidFill>
          </w14:textFill>
        </w:rPr>
        <w:t>更换水箱46个、洗脸盆33个、笼头85个及照明灯具74套，</w:t>
      </w:r>
      <w:r>
        <w:rPr>
          <w:rFonts w:hint="eastAsia" w:ascii="仿宋" w:hAnsi="仿宋" w:eastAsia="仿宋" w:cs="仿宋"/>
          <w:color w:val="000000" w:themeColor="text1"/>
          <w:sz w:val="32"/>
          <w:szCs w:val="32"/>
          <w14:textFill>
            <w14:solidFill>
              <w14:schemeClr w14:val="tx1"/>
            </w14:solidFill>
          </w14:textFill>
        </w:rPr>
        <w:t>人工吸粪运输处理</w:t>
      </w:r>
      <w:r>
        <w:rPr>
          <w:rFonts w:hint="eastAsia" w:ascii="仿宋" w:hAnsi="仿宋" w:eastAsia="仿宋"/>
          <w:color w:val="000000" w:themeColor="text1"/>
          <w:sz w:val="32"/>
          <w:szCs w:val="32"/>
          <w14:textFill>
            <w14:solidFill>
              <w14:schemeClr w14:val="tx1"/>
            </w14:solidFill>
          </w14:textFill>
        </w:rPr>
        <w:t>16次。四是</w:t>
      </w:r>
      <w:r>
        <w:rPr>
          <w:rFonts w:hint="eastAsia" w:ascii="仿宋" w:hAnsi="仿宋" w:eastAsia="仿宋" w:cs="仿宋"/>
          <w:color w:val="000000" w:themeColor="text1"/>
          <w:kern w:val="0"/>
          <w:sz w:val="32"/>
          <w:szCs w:val="32"/>
          <w14:textFill>
            <w14:solidFill>
              <w14:schemeClr w14:val="tx1"/>
            </w14:solidFill>
          </w14:textFill>
        </w:rPr>
        <w:t>已与城区广告果皮筒特许经营方达成拆除补偿协议，支付3.5万元中止特许经营权，完成了城区280个广告果皮筒拆除事项，彻底消除垃圾污染源头，</w:t>
      </w:r>
      <w:r>
        <w:rPr>
          <w:rFonts w:hint="eastAsia" w:ascii="仿宋" w:hAnsi="仿宋" w:eastAsia="仿宋"/>
          <w:color w:val="000000" w:themeColor="text1"/>
          <w:sz w:val="32"/>
          <w:szCs w:val="32"/>
          <w14:textFill>
            <w14:solidFill>
              <w14:schemeClr w14:val="tx1"/>
            </w14:solidFill>
          </w14:textFill>
        </w:rPr>
        <w:t>营造了良好的文明创建氛围。</w:t>
      </w:r>
    </w:p>
    <w:p>
      <w:pPr>
        <w:spacing w:line="620" w:lineRule="exact"/>
        <w:ind w:firstLine="585"/>
        <w:rPr>
          <w:rFonts w:ascii="仿宋" w:hAnsi="仿宋" w:eastAsia="仿宋"/>
          <w:color w:val="000000" w:themeColor="text1"/>
          <w:sz w:val="32"/>
          <w:szCs w:val="32"/>
          <w14:textFill>
            <w14:solidFill>
              <w14:schemeClr w14:val="tx1"/>
            </w14:solidFill>
          </w14:textFill>
        </w:rPr>
      </w:pPr>
      <w:r>
        <w:rPr>
          <w:rFonts w:hint="eastAsia" w:ascii="楷体" w:hAnsi="楷体" w:eastAsia="楷体"/>
          <w:b/>
          <w:color w:val="000000" w:themeColor="text1"/>
          <w:sz w:val="32"/>
          <w:szCs w:val="32"/>
          <w14:textFill>
            <w14:solidFill>
              <w14:schemeClr w14:val="tx1"/>
            </w14:solidFill>
          </w14:textFill>
        </w:rPr>
        <w:t>（八）</w:t>
      </w:r>
      <w:r>
        <w:rPr>
          <w:rFonts w:hint="eastAsia" w:ascii="楷体" w:hAnsi="楷体" w:eastAsia="楷体"/>
          <w:b/>
          <w:bCs/>
          <w:color w:val="000000" w:themeColor="text1"/>
          <w:sz w:val="32"/>
          <w:szCs w:val="32"/>
          <w14:textFill>
            <w14:solidFill>
              <w14:schemeClr w14:val="tx1"/>
            </w14:solidFill>
          </w14:textFill>
        </w:rPr>
        <w:t>加力收取环卫服务规费。</w:t>
      </w:r>
      <w:r>
        <w:rPr>
          <w:rFonts w:hint="eastAsia" w:ascii="仿宋" w:hAnsi="仿宋" w:eastAsia="仿宋"/>
          <w:bCs/>
          <w:color w:val="000000" w:themeColor="text1"/>
          <w:sz w:val="32"/>
          <w:szCs w:val="32"/>
          <w14:textFill>
            <w14:solidFill>
              <w14:schemeClr w14:val="tx1"/>
            </w14:solidFill>
          </w14:textFill>
        </w:rPr>
        <w:t>一是</w:t>
      </w:r>
      <w:r>
        <w:rPr>
          <w:rFonts w:hint="eastAsia" w:ascii="仿宋" w:hAnsi="仿宋" w:eastAsia="仿宋" w:cs="宋体"/>
          <w:color w:val="000000" w:themeColor="text1"/>
          <w:kern w:val="0"/>
          <w:sz w:val="32"/>
          <w:szCs w:val="32"/>
          <w14:textFill>
            <w14:solidFill>
              <w14:schemeClr w14:val="tx1"/>
            </w14:solidFill>
          </w14:textFill>
        </w:rPr>
        <w:t>环卫有偿服务收费按征收项目分3大块实行经济责任承包，</w:t>
      </w:r>
      <w:r>
        <w:rPr>
          <w:rFonts w:hint="eastAsia" w:ascii="仿宋" w:hAnsi="仿宋" w:eastAsia="仿宋"/>
          <w:color w:val="000000" w:themeColor="text1"/>
          <w:sz w:val="32"/>
          <w:szCs w:val="32"/>
          <w14:textFill>
            <w14:solidFill>
              <w14:schemeClr w14:val="tx1"/>
            </w14:solidFill>
          </w14:textFill>
        </w:rPr>
        <w:t>签订收费责任状，明确收费任务，实行多收多得、超收重奖、欠收抵赔的运作机制。二是加强收费工作管理，严格规范收费行为，优化规费执收环境，出台了《规范收费行为的规定》等收费管理制度，建立健全各收费项目台帐，实行信息化规范管理。三是建立了城镇生活垃圾处理收费制度,城关地区所有居民的垃圾处理费已实行并水征收，目前代征工作运行平稳、顺利，已征收生活垃圾处理费近472.3万元，为环卫事业的发展提供了经费保障。</w:t>
      </w:r>
    </w:p>
    <w:p>
      <w:pPr>
        <w:spacing w:line="620" w:lineRule="exact"/>
        <w:ind w:firstLine="585"/>
        <w:rPr>
          <w:rFonts w:ascii="仿宋" w:hAnsi="仿宋" w:eastAsia="仿宋"/>
          <w:color w:val="000000" w:themeColor="text1"/>
          <w:sz w:val="32"/>
          <w:szCs w:val="32"/>
          <w14:textFill>
            <w14:solidFill>
              <w14:schemeClr w14:val="tx1"/>
            </w14:solidFill>
          </w14:textFill>
        </w:rPr>
      </w:pPr>
      <w:r>
        <w:rPr>
          <w:rFonts w:hint="eastAsia" w:ascii="楷体" w:hAnsi="楷体" w:eastAsia="楷体"/>
          <w:b/>
          <w:color w:val="000000" w:themeColor="text1"/>
          <w:sz w:val="32"/>
          <w:szCs w:val="32"/>
          <w14:textFill>
            <w14:solidFill>
              <w14:schemeClr w14:val="tx1"/>
            </w14:solidFill>
          </w14:textFill>
        </w:rPr>
        <w:t>（九）规范管理垃圾转运站公厕。</w:t>
      </w:r>
      <w:r>
        <w:rPr>
          <w:rFonts w:hint="eastAsia" w:ascii="仿宋" w:hAnsi="仿宋" w:eastAsia="仿宋"/>
          <w:color w:val="000000" w:themeColor="text1"/>
          <w:sz w:val="32"/>
          <w:szCs w:val="32"/>
          <w14:textFill>
            <w14:solidFill>
              <w14:schemeClr w14:val="tx1"/>
            </w14:solidFill>
          </w14:textFill>
        </w:rPr>
        <w:t>一是建立健全垃圾转运站各项管理制度，</w:t>
      </w:r>
      <w:r>
        <w:rPr>
          <w:rFonts w:hint="eastAsia" w:ascii="仿宋" w:hAnsi="仿宋" w:eastAsia="仿宋" w:cs="仿宋"/>
          <w:color w:val="000000" w:themeColor="text1"/>
          <w:sz w:val="32"/>
          <w:szCs w:val="32"/>
          <w14:textFill>
            <w14:solidFill>
              <w14:schemeClr w14:val="tx1"/>
            </w14:solidFill>
          </w14:textFill>
        </w:rPr>
        <w:t>及时压缩处理垃圾，</w:t>
      </w:r>
      <w:r>
        <w:rPr>
          <w:rFonts w:hint="eastAsia" w:ascii="仿宋" w:hAnsi="仿宋" w:eastAsia="仿宋"/>
          <w:color w:val="000000" w:themeColor="text1"/>
          <w:sz w:val="32"/>
          <w:szCs w:val="32"/>
          <w14:textFill>
            <w14:solidFill>
              <w14:schemeClr w14:val="tx1"/>
            </w14:solidFill>
          </w14:textFill>
        </w:rPr>
        <w:t>消除垃圾渗滤液，定时清洗被污染的设施和路面。二是完善生活垃圾、渗滤液处理登记台帐，确保收集、转出台帐手续完备，填写规范要素齐全，统计数据真实准确。定期开展机械设备运行情况安全检查，彻底消除各类安全隐患。</w:t>
      </w:r>
      <w:r>
        <w:rPr>
          <w:rFonts w:hint="eastAsia" w:ascii="仿宋" w:hAnsi="仿宋" w:eastAsia="仿宋" w:cs="仿宋"/>
          <w:color w:val="000000" w:themeColor="text1"/>
          <w:kern w:val="0"/>
          <w:sz w:val="32"/>
          <w:szCs w:val="32"/>
          <w:shd w:val="clear" w:color="auto" w:fill="FFFFFF"/>
          <w14:textFill>
            <w14:solidFill>
              <w14:schemeClr w14:val="tx1"/>
            </w14:solidFill>
          </w14:textFill>
        </w:rPr>
        <w:t>三是</w:t>
      </w:r>
      <w:r>
        <w:rPr>
          <w:rFonts w:hint="eastAsia" w:ascii="仿宋" w:hAnsi="仿宋" w:eastAsia="仿宋"/>
          <w:color w:val="000000" w:themeColor="text1"/>
          <w:sz w:val="32"/>
          <w:szCs w:val="32"/>
          <w14:textFill>
            <w14:solidFill>
              <w14:schemeClr w14:val="tx1"/>
            </w14:solidFill>
          </w14:textFill>
        </w:rPr>
        <w:t>大力推进“厕所革命”，</w:t>
      </w:r>
      <w:r>
        <w:rPr>
          <w:rFonts w:hint="eastAsia" w:ascii="仿宋" w:hAnsi="仿宋" w:eastAsia="仿宋" w:cs="仿宋"/>
          <w:color w:val="000000" w:themeColor="text1"/>
          <w:kern w:val="0"/>
          <w:sz w:val="32"/>
          <w:szCs w:val="32"/>
          <w:shd w:val="clear" w:color="auto" w:fill="FFFFFF"/>
          <w14:textFill>
            <w14:solidFill>
              <w14:schemeClr w14:val="tx1"/>
            </w14:solidFill>
          </w14:textFill>
        </w:rPr>
        <w:t>分片包干全天候规范管理公厕，</w:t>
      </w:r>
      <w:r>
        <w:rPr>
          <w:rFonts w:hint="eastAsia" w:ascii="仿宋" w:hAnsi="仿宋" w:eastAsia="仿宋"/>
          <w:color w:val="000000" w:themeColor="text1"/>
          <w:sz w:val="32"/>
          <w:szCs w:val="32"/>
          <w14:textFill>
            <w14:solidFill>
              <w14:schemeClr w14:val="tx1"/>
            </w14:solidFill>
          </w14:textFill>
        </w:rPr>
        <w:t>抓好日常卫生保洁，</w:t>
      </w:r>
      <w:r>
        <w:rPr>
          <w:rFonts w:hint="eastAsia" w:ascii="仿宋" w:hAnsi="仿宋" w:eastAsia="仿宋" w:cs="宋体"/>
          <w:color w:val="000000" w:themeColor="text1"/>
          <w:kern w:val="0"/>
          <w:sz w:val="32"/>
          <w:szCs w:val="32"/>
          <w:shd w:val="clear" w:color="auto" w:fill="FFFFFF"/>
          <w14:textFill>
            <w14:solidFill>
              <w14:schemeClr w14:val="tx1"/>
            </w14:solidFill>
          </w14:textFill>
        </w:rPr>
        <w:t>定期消毒和清除蚊蝇，</w:t>
      </w:r>
      <w:r>
        <w:rPr>
          <w:rFonts w:hint="eastAsia" w:ascii="仿宋" w:hAnsi="仿宋" w:eastAsia="仿宋"/>
          <w:color w:val="000000" w:themeColor="text1"/>
          <w:sz w:val="32"/>
          <w:szCs w:val="32"/>
          <w14:textFill>
            <w14:solidFill>
              <w14:schemeClr w14:val="tx1"/>
            </w14:solidFill>
          </w14:textFill>
        </w:rPr>
        <w:t>消除卫生死角，</w:t>
      </w:r>
      <w:r>
        <w:rPr>
          <w:rFonts w:hint="eastAsia" w:ascii="仿宋" w:hAnsi="仿宋" w:eastAsia="仿宋" w:cs="宋体"/>
          <w:color w:val="000000" w:themeColor="text1"/>
          <w:kern w:val="0"/>
          <w:sz w:val="32"/>
          <w:szCs w:val="32"/>
          <w:shd w:val="clear" w:color="auto" w:fill="FFFFFF"/>
          <w14:textFill>
            <w14:solidFill>
              <w14:schemeClr w14:val="tx1"/>
            </w14:solidFill>
          </w14:textFill>
        </w:rPr>
        <w:t>保持室内外干净整洁，无异味。四是公厕标志标牌统一规范，</w:t>
      </w:r>
      <w:r>
        <w:rPr>
          <w:rFonts w:hint="eastAsia" w:ascii="仿宋" w:hAnsi="仿宋" w:eastAsia="仿宋"/>
          <w:color w:val="000000" w:themeColor="text1"/>
          <w:sz w:val="32"/>
          <w:szCs w:val="32"/>
          <w14:textFill>
            <w14:solidFill>
              <w14:schemeClr w14:val="tx1"/>
            </w14:solidFill>
          </w14:textFill>
        </w:rPr>
        <w:t>配套</w:t>
      </w:r>
      <w:r>
        <w:rPr>
          <w:rFonts w:hint="eastAsia" w:ascii="仿宋" w:hAnsi="仿宋" w:eastAsia="仿宋" w:cs="仿宋_GB2312"/>
          <w:color w:val="000000" w:themeColor="text1"/>
          <w:sz w:val="32"/>
          <w:szCs w:val="32"/>
          <w14:textFill>
            <w14:solidFill>
              <w14:schemeClr w14:val="tx1"/>
            </w14:solidFill>
          </w14:textFill>
        </w:rPr>
        <w:t>设置</w:t>
      </w:r>
      <w:r>
        <w:rPr>
          <w:rFonts w:hint="eastAsia" w:ascii="仿宋" w:hAnsi="仿宋" w:eastAsia="仿宋"/>
          <w:color w:val="000000" w:themeColor="text1"/>
          <w:sz w:val="32"/>
          <w:szCs w:val="32"/>
          <w14:textFill>
            <w14:solidFill>
              <w14:schemeClr w14:val="tx1"/>
            </w14:solidFill>
          </w14:textFill>
        </w:rPr>
        <w:t>制作</w:t>
      </w:r>
      <w:r>
        <w:rPr>
          <w:rFonts w:hint="eastAsia" w:ascii="仿宋" w:hAnsi="仿宋" w:eastAsia="仿宋" w:cs="仿宋_GB2312"/>
          <w:color w:val="000000" w:themeColor="text1"/>
          <w:sz w:val="32"/>
          <w:szCs w:val="32"/>
          <w14:textFill>
            <w14:solidFill>
              <w14:schemeClr w14:val="tx1"/>
            </w14:solidFill>
          </w14:textFill>
        </w:rPr>
        <w:t>指路牌、标志牌、制度牌等，确保公厕</w:t>
      </w:r>
      <w:r>
        <w:rPr>
          <w:rFonts w:hint="eastAsia" w:ascii="仿宋" w:hAnsi="仿宋" w:eastAsia="仿宋" w:cs="宋体"/>
          <w:color w:val="000000" w:themeColor="text1"/>
          <w:kern w:val="0"/>
          <w:sz w:val="32"/>
          <w:szCs w:val="32"/>
          <w:shd w:val="clear" w:color="auto" w:fill="FFFFFF"/>
          <w14:textFill>
            <w14:solidFill>
              <w14:schemeClr w14:val="tx1"/>
            </w14:solidFill>
          </w14:textFill>
        </w:rPr>
        <w:t>全天候对外开放</w:t>
      </w:r>
      <w:r>
        <w:rPr>
          <w:rFonts w:hint="eastAsia" w:ascii="仿宋" w:hAnsi="仿宋" w:eastAsia="仿宋"/>
          <w:color w:val="000000" w:themeColor="text1"/>
          <w:sz w:val="32"/>
          <w:szCs w:val="32"/>
          <w14:textFill>
            <w14:solidFill>
              <w14:schemeClr w14:val="tx1"/>
            </w14:solidFill>
          </w14:textFill>
        </w:rPr>
        <w:t>，保洁率达100%。五是</w:t>
      </w:r>
      <w:r>
        <w:rPr>
          <w:rFonts w:hint="eastAsia" w:ascii="仿宋" w:hAnsi="仿宋" w:eastAsia="仿宋" w:cs="仿宋"/>
          <w:color w:val="000000" w:themeColor="text1"/>
          <w:kern w:val="0"/>
          <w:sz w:val="32"/>
          <w:szCs w:val="32"/>
          <w:shd w:val="clear" w:color="auto" w:fill="FFFFFF"/>
          <w14:textFill>
            <w14:solidFill>
              <w14:schemeClr w14:val="tx1"/>
            </w14:solidFill>
          </w14:textFill>
        </w:rPr>
        <w:t>加强公厕日常巡查、检修及保养，及时维修、更换损坏的设施，</w:t>
      </w:r>
      <w:r>
        <w:rPr>
          <w:rFonts w:hint="eastAsia" w:ascii="仿宋" w:hAnsi="仿宋" w:eastAsia="仿宋" w:cs="仿宋"/>
          <w:color w:val="000000" w:themeColor="text1"/>
          <w:sz w:val="32"/>
          <w:szCs w:val="32"/>
          <w14:textFill>
            <w14:solidFill>
              <w14:schemeClr w14:val="tx1"/>
            </w14:solidFill>
          </w14:textFill>
        </w:rPr>
        <w:t>确</w:t>
      </w:r>
      <w:r>
        <w:rPr>
          <w:rFonts w:hint="eastAsia" w:ascii="仿宋" w:hAnsi="仿宋" w:eastAsia="仿宋" w:cs="仿宋"/>
          <w:color w:val="000000" w:themeColor="text1"/>
          <w:kern w:val="0"/>
          <w:sz w:val="32"/>
          <w:szCs w:val="32"/>
          <w:shd w:val="clear" w:color="auto" w:fill="FFFFFF"/>
          <w14:textFill>
            <w14:solidFill>
              <w14:schemeClr w14:val="tx1"/>
            </w14:solidFill>
          </w14:textFill>
        </w:rPr>
        <w:t>保公厕设施始终保持正常使用状态。</w:t>
      </w:r>
    </w:p>
    <w:p>
      <w:pPr>
        <w:keepNext w:val="0"/>
        <w:keepLines w:val="0"/>
        <w:pageBreakBefore w:val="0"/>
        <w:widowControl w:val="0"/>
        <w:kinsoku/>
        <w:wordWrap/>
        <w:overflowPunct/>
        <w:topLinePunct w:val="0"/>
        <w:autoSpaceDE/>
        <w:autoSpaceDN/>
        <w:bidi w:val="0"/>
        <w:adjustRightInd/>
        <w:spacing w:line="580" w:lineRule="exact"/>
        <w:ind w:firstLine="585"/>
        <w:jc w:val="both"/>
        <w:textAlignment w:val="auto"/>
        <w:rPr>
          <w:color w:val="000000" w:themeColor="text1"/>
          <w14:textFill>
            <w14:solidFill>
              <w14:schemeClr w14:val="tx1"/>
            </w14:solidFill>
          </w14:textFill>
        </w:rPr>
      </w:pPr>
      <w:r>
        <w:rPr>
          <w:rFonts w:hint="eastAsia" w:ascii="楷体" w:hAnsi="楷体" w:eastAsia="楷体"/>
          <w:b/>
          <w:color w:val="000000" w:themeColor="text1"/>
          <w:sz w:val="32"/>
          <w:szCs w:val="32"/>
          <w14:textFill>
            <w14:solidFill>
              <w14:schemeClr w14:val="tx1"/>
            </w14:solidFill>
          </w14:textFill>
        </w:rPr>
        <w:t>（十）配合推进生活垃圾分类工作。</w:t>
      </w:r>
      <w:r>
        <w:rPr>
          <w:rFonts w:hint="eastAsia" w:ascii="仿宋" w:hAnsi="仿宋" w:eastAsia="仿宋"/>
          <w:color w:val="000000" w:themeColor="text1"/>
          <w:sz w:val="32"/>
          <w:szCs w:val="32"/>
          <w14:textFill>
            <w14:solidFill>
              <w14:schemeClr w14:val="tx1"/>
            </w14:solidFill>
          </w14:textFill>
        </w:rPr>
        <w:t>一是加强分类政策宣传引导，</w:t>
      </w:r>
      <w:r>
        <w:rPr>
          <w:rFonts w:hint="eastAsia" w:ascii="仿宋" w:hAnsi="仿宋" w:eastAsia="仿宋" w:cs="仿宋_GB2312"/>
          <w:color w:val="000000" w:themeColor="text1"/>
          <w:sz w:val="32"/>
          <w:szCs w:val="32"/>
          <w14:textFill>
            <w14:solidFill>
              <w14:schemeClr w14:val="tx1"/>
            </w14:solidFill>
          </w14:textFill>
        </w:rPr>
        <w:t>依托单位院落宣传栏、大厅电子屏幕、各楼层宣传牌等展示平台，</w:t>
      </w:r>
      <w:r>
        <w:rPr>
          <w:rFonts w:hint="eastAsia" w:ascii="仿宋" w:hAnsi="仿宋" w:eastAsia="仿宋"/>
          <w:color w:val="000000" w:themeColor="text1"/>
          <w:sz w:val="32"/>
          <w:szCs w:val="32"/>
          <w14:textFill>
            <w14:solidFill>
              <w14:schemeClr w14:val="tx1"/>
            </w14:solidFill>
          </w14:textFill>
        </w:rPr>
        <w:t>向干部职工、市民发放垃圾分类倡议书、宣传手册2.2万份，</w:t>
      </w:r>
      <w:r>
        <w:rPr>
          <w:rFonts w:hint="eastAsia" w:ascii="仿宋" w:hAnsi="仿宋" w:eastAsia="仿宋" w:cs="仿宋_GB2312"/>
          <w:color w:val="000000" w:themeColor="text1"/>
          <w:sz w:val="32"/>
          <w:szCs w:val="32"/>
          <w14:textFill>
            <w14:solidFill>
              <w14:schemeClr w14:val="tx1"/>
            </w14:solidFill>
          </w14:textFill>
        </w:rPr>
        <w:t>宣传垃圾分类目录和模式，</w:t>
      </w:r>
      <w:r>
        <w:rPr>
          <w:rFonts w:hint="eastAsia" w:ascii="仿宋" w:hAnsi="仿宋" w:eastAsia="仿宋"/>
          <w:color w:val="000000" w:themeColor="text1"/>
          <w:sz w:val="32"/>
          <w:szCs w:val="32"/>
          <w14:textFill>
            <w14:solidFill>
              <w14:schemeClr w14:val="tx1"/>
            </w14:solidFill>
          </w14:textFill>
        </w:rPr>
        <w:t>提高垃圾分类知晓率、准确率。二是加快推进餐厨垃圾处理设施建设，4月24日至4月27日，由县政府领导带队对有投建意向的3家餐厨垃圾运营企业进行了实地综合考察。三是按照项目选址的基本原则，采取实地察看、现场交流及查阅资料等方式，经县土地规划委员会确定鼎山垃圾场内沼气发电厂旁为项目建设最终用地，并完成了土地测量、土地用途的确定。四是编制完成项目特许经营实施方案、项目可行性研究报告，完成政府党务会议决议书、财政局资金审核、环评意见书、建设意见书等前期立项资料。</w:t>
      </w:r>
    </w:p>
    <w:p>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jc w:val="both"/>
        <w:textAlignment w:val="auto"/>
        <w:rPr>
          <w:rFonts w:ascii="仿宋_GB2312" w:eastAsia="仿宋_GB2312"/>
          <w:b/>
          <w:bCs/>
          <w:color w:val="000000" w:themeColor="text1"/>
          <w:sz w:val="32"/>
          <w:szCs w:val="32"/>
          <w14:textFill>
            <w14:solidFill>
              <w14:schemeClr w14:val="tx1"/>
            </w14:solidFill>
          </w14:textFill>
        </w:rPr>
      </w:pPr>
      <w:r>
        <w:rPr>
          <w:rFonts w:hint="eastAsia" w:ascii="仿宋_GB2312" w:eastAsia="仿宋_GB2312"/>
          <w:b/>
          <w:bCs/>
          <w:color w:val="000000" w:themeColor="text1"/>
          <w:sz w:val="32"/>
          <w:szCs w:val="32"/>
          <w14:textFill>
            <w14:solidFill>
              <w14:schemeClr w14:val="tx1"/>
            </w14:solidFill>
          </w14:textFill>
        </w:rPr>
        <w:t>2、概述本单位整体支出绩效目标实现情况（如有）。</w:t>
      </w:r>
    </w:p>
    <w:p>
      <w:pPr>
        <w:keepNext w:val="0"/>
        <w:keepLines w:val="0"/>
        <w:pageBreakBefore w:val="0"/>
        <w:widowControl w:val="0"/>
        <w:kinsoku/>
        <w:wordWrap/>
        <w:overflowPunct/>
        <w:topLinePunct w:val="0"/>
        <w:autoSpaceDE/>
        <w:autoSpaceDN/>
        <w:bidi w:val="0"/>
        <w:adjustRightInd/>
        <w:spacing w:line="580" w:lineRule="exact"/>
        <w:ind w:firstLine="585"/>
        <w:jc w:val="both"/>
        <w:textAlignment w:val="auto"/>
        <w:rPr>
          <w:rFonts w:ascii="仿宋_GB2312" w:eastAsia="仿宋_GB2312"/>
          <w:b/>
          <w:bCs/>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紧扣“服务做优、职能做强、阵地做大”目标定位，围绕标准化、精细化、网格化、信息化、机械化及市场化要求，进一步完善环卫市场化机制，树立精细化管理理念，推动城市市容环卫工作行稳、质优、势好。县城环境卫生管理取得明显成效，卫生面貌明显改观。</w:t>
      </w:r>
    </w:p>
    <w:p>
      <w:pPr>
        <w:keepNext w:val="0"/>
        <w:keepLines w:val="0"/>
        <w:pageBreakBefore w:val="0"/>
        <w:widowControl w:val="0"/>
        <w:kinsoku/>
        <w:wordWrap/>
        <w:overflowPunct/>
        <w:topLinePunct w:val="0"/>
        <w:autoSpaceDE/>
        <w:autoSpaceDN/>
        <w:bidi w:val="0"/>
        <w:adjustRightInd/>
        <w:spacing w:before="6" w:line="580" w:lineRule="exact"/>
        <w:ind w:left="6" w:right="116" w:firstLine="620"/>
        <w:jc w:val="both"/>
        <w:textAlignment w:val="auto"/>
        <w:rPr>
          <w:rFonts w:ascii="楷体_GB2312" w:eastAsia="楷体_GB2312"/>
          <w:b/>
          <w:color w:val="000000" w:themeColor="text1"/>
          <w:sz w:val="32"/>
          <w:szCs w:val="32"/>
          <w14:textFill>
            <w14:solidFill>
              <w14:schemeClr w14:val="tx1"/>
            </w14:solidFill>
          </w14:textFill>
        </w:rPr>
      </w:pPr>
      <w:r>
        <w:rPr>
          <w:rFonts w:hint="eastAsia" w:ascii="楷体_GB2312" w:eastAsia="楷体_GB2312"/>
          <w:b/>
          <w:color w:val="000000" w:themeColor="text1"/>
          <w:sz w:val="32"/>
          <w:szCs w:val="32"/>
          <w14:textFill>
            <w14:solidFill>
              <w14:schemeClr w14:val="tx1"/>
            </w14:solidFill>
          </w14:textFill>
        </w:rPr>
        <w:t>（六）当年预算执行及绩效管理中存在问题、原因及改进措施。</w:t>
      </w:r>
    </w:p>
    <w:p>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jc w:val="both"/>
        <w:textAlignment w:val="auto"/>
        <w:rPr>
          <w:rFonts w:ascii="仿宋_GB2312" w:eastAsia="仿宋_GB2312" w:cs="宋体"/>
          <w:color w:val="000000" w:themeColor="text1"/>
          <w:sz w:val="32"/>
          <w:szCs w:val="32"/>
          <w14:textFill>
            <w14:solidFill>
              <w14:schemeClr w14:val="tx1"/>
            </w14:solidFill>
          </w14:textFill>
        </w:rPr>
      </w:pPr>
      <w:r>
        <w:rPr>
          <w:rFonts w:hint="eastAsia" w:ascii="仿宋_GB2312" w:eastAsia="仿宋_GB2312" w:cs="宋体"/>
          <w:color w:val="000000" w:themeColor="text1"/>
          <w:sz w:val="32"/>
          <w:szCs w:val="32"/>
          <w14:textFill>
            <w14:solidFill>
              <w14:schemeClr w14:val="tx1"/>
            </w14:solidFill>
          </w14:textFill>
        </w:rPr>
        <w:t>严格贯彻落实《中华人民共和国预算法》，加强预算绩效管理，进一步建立和完善内部控制制度；努力加强业务技能学习，不断提高业务水平和服务能力，严格执行财政纪律和财务管理制度，扎实做好本职工作。</w:t>
      </w:r>
    </w:p>
    <w:bookmarkEnd w:id="3"/>
    <w:p>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jc w:val="both"/>
        <w:textAlignment w:val="auto"/>
        <w:rPr>
          <w:rFonts w:ascii="黑体" w:eastAsia="黑体"/>
          <w:color w:val="000000" w:themeColor="text1"/>
          <w:sz w:val="32"/>
          <w:szCs w:val="32"/>
          <w14:textFill>
            <w14:solidFill>
              <w14:schemeClr w14:val="tx1"/>
            </w14:solidFill>
          </w14:textFill>
        </w:rPr>
      </w:pPr>
      <w:bookmarkStart w:id="4" w:name="YS060104"/>
      <w:r>
        <w:rPr>
          <w:rFonts w:hint="eastAsia" w:ascii="黑体" w:eastAsia="黑体"/>
          <w:color w:val="000000" w:themeColor="text1"/>
          <w:sz w:val="32"/>
          <w:szCs w:val="32"/>
          <w14:textFill>
            <w14:solidFill>
              <w14:schemeClr w14:val="tx1"/>
            </w14:solidFill>
          </w14:textFill>
        </w:rPr>
        <w:t>三、本年度部门决算等财务工作开展情况</w:t>
      </w:r>
    </w:p>
    <w:bookmarkEnd w:id="4"/>
    <w:p>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jc w:val="both"/>
        <w:textAlignment w:val="auto"/>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（一）本单位财务管理、绩效管理、决算组织、编报、审核情况。</w:t>
      </w:r>
    </w:p>
    <w:p>
      <w:pPr>
        <w:spacing w:line="64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s="仿宋_GB2312"/>
          <w:color w:val="000000" w:themeColor="text1"/>
          <w:sz w:val="32"/>
          <w:szCs w:val="32"/>
          <w14:textFill>
            <w14:solidFill>
              <w14:schemeClr w14:val="tx1"/>
            </w14:solidFill>
          </w14:textFill>
        </w:rPr>
        <w:t>完善财务管理制度，坚持先预算后采购原则，规范实施服务项目政府采购，坚持花钱必问效原则，规范实施绩效管理，扎实开展财务决算编报工作，完善了审核流程。</w:t>
      </w:r>
    </w:p>
    <w:p>
      <w:pPr>
        <w:snapToGrid w:val="0"/>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（二）本单位决算及绩效信息公开工作开展情况。</w:t>
      </w:r>
    </w:p>
    <w:p>
      <w:pPr>
        <w:spacing w:line="640" w:lineRule="exact"/>
        <w:ind w:firstLine="640" w:firstLineChars="200"/>
        <w:rPr>
          <w:rFonts w:ascii="仿宋_GB2312" w:eastAsia="仿宋_GB2312" w:cs="仿宋_GB2312"/>
          <w:color w:val="000000" w:themeColor="text1"/>
          <w:sz w:val="32"/>
          <w:szCs w:val="32"/>
          <w14:textFill>
            <w14:solidFill>
              <w14:schemeClr w14:val="tx1"/>
            </w14:solidFill>
          </w14:textFill>
        </w:rPr>
      </w:pPr>
      <w:r>
        <w:rPr>
          <w:rFonts w:hint="eastAsia" w:ascii="仿宋_GB2312" w:eastAsia="仿宋_GB2312" w:cs="仿宋_GB2312"/>
          <w:color w:val="000000" w:themeColor="text1"/>
          <w:sz w:val="32"/>
          <w:szCs w:val="32"/>
          <w14:textFill>
            <w14:solidFill>
              <w14:schemeClr w14:val="tx1"/>
            </w14:solidFill>
          </w14:textFill>
        </w:rPr>
        <w:t>严格按照财政部门相关规定，按时完成决算和绩效评价工作，决算及绩效信息由财政部门统一在华容县人民政府网站公开。</w:t>
      </w:r>
    </w:p>
    <w:p>
      <w:pPr>
        <w:snapToGrid w:val="0"/>
        <w:spacing w:line="580" w:lineRule="exact"/>
        <w:ind w:firstLine="640" w:firstLineChars="200"/>
        <w:rPr>
          <w:rFonts w:ascii="楷体_GB2312" w:eastAsia="楷体_GB2312"/>
          <w:b/>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（三）</w:t>
      </w:r>
      <w:r>
        <w:rPr>
          <w:rFonts w:hint="eastAsia" w:ascii="楷体_GB2312" w:eastAsia="楷体_GB2312"/>
          <w:color w:val="000000" w:themeColor="text1"/>
          <w:sz w:val="32"/>
          <w:szCs w:val="32"/>
          <w14:textFill>
            <w14:solidFill>
              <w14:schemeClr w14:val="tx1"/>
            </w14:solidFill>
          </w14:textFill>
        </w:rPr>
        <w:t>对部门决算管理工作的意见和建议。</w:t>
      </w:r>
    </w:p>
    <w:p>
      <w:pPr>
        <w:ind w:firstLine="709"/>
        <w:rPr>
          <w:rFonts w:ascii="仿宋_GB2312" w:eastAsia="仿宋_GB2312" w:cs="仿宋"/>
          <w:color w:val="000000" w:themeColor="text1"/>
          <w:sz w:val="32"/>
          <w:szCs w:val="32"/>
          <w14:textFill>
            <w14:solidFill>
              <w14:schemeClr w14:val="tx1"/>
            </w14:solidFill>
          </w14:textFill>
        </w:rPr>
      </w:pPr>
      <w:r>
        <w:rPr>
          <w:rFonts w:hint="eastAsia" w:ascii="仿宋_GB2312" w:eastAsia="仿宋_GB2312" w:cs="仿宋"/>
          <w:color w:val="000000" w:themeColor="text1"/>
          <w:sz w:val="32"/>
          <w:szCs w:val="32"/>
          <w14:textFill>
            <w14:solidFill>
              <w14:schemeClr w14:val="tx1"/>
            </w14:solidFill>
          </w14:textFill>
        </w:rPr>
        <w:t>1.自行增加的审核公式和模板，请说明设置依据。无</w:t>
      </w:r>
    </w:p>
    <w:p>
      <w:pPr>
        <w:ind w:firstLine="709"/>
        <w:rPr>
          <w:rFonts w:ascii="仿宋_GB2312" w:eastAsia="仿宋_GB2312"/>
          <w:color w:val="000000" w:themeColor="text1"/>
          <w:sz w:val="32"/>
          <w:szCs w:val="32"/>
          <w14:textFill>
            <w14:solidFill>
              <w14:schemeClr w14:val="tx1"/>
            </w14:solidFill>
          </w14:textFill>
        </w:rPr>
      </w:pPr>
      <w:r>
        <w:rPr>
          <w:rFonts w:hint="eastAsia" w:ascii="仿宋_GB2312" w:eastAsia="仿宋_GB2312" w:cs="仿宋"/>
          <w:color w:val="000000" w:themeColor="text1"/>
          <w:sz w:val="32"/>
          <w:szCs w:val="32"/>
          <w14:textFill>
            <w14:solidFill>
              <w14:schemeClr w14:val="tx1"/>
            </w14:solidFill>
          </w14:textFill>
        </w:rPr>
        <w:t>2.对部门决算报表修订设计的意见和建议，包括表样、指标设置、软件、审核公式、模板和编审问答等，请列出并说明修改意见。无</w:t>
      </w:r>
    </w:p>
    <w:p>
      <w:pPr>
        <w:snapToGrid w:val="0"/>
        <w:spacing w:line="520" w:lineRule="exact"/>
        <w:ind w:firstLine="640" w:firstLineChars="200"/>
        <w:rPr>
          <w:rFonts w:ascii="仿宋_GB2312" w:eastAsia="仿宋_GB2312" w:cs="仿宋"/>
          <w:color w:val="000000" w:themeColor="text1"/>
          <w:sz w:val="32"/>
          <w:szCs w:val="32"/>
          <w14:textFill>
            <w14:solidFill>
              <w14:schemeClr w14:val="tx1"/>
            </w14:solidFill>
          </w14:textFill>
        </w:rPr>
      </w:pPr>
      <w:r>
        <w:rPr>
          <w:rFonts w:hint="eastAsia" w:ascii="仿宋_GB2312" w:eastAsia="仿宋_GB2312" w:cs="仿宋"/>
          <w:color w:val="000000" w:themeColor="text1"/>
          <w:sz w:val="32"/>
          <w:szCs w:val="32"/>
          <w14:textFill>
            <w14:solidFill>
              <w14:schemeClr w14:val="tx1"/>
            </w14:solidFill>
          </w14:textFill>
        </w:rPr>
        <w:t>3.对部门决算其他管理工作的建议。例如对加强部门决算数据分析利用工作、部门决算信息化建设等建议。无</w:t>
      </w:r>
    </w:p>
    <w:p>
      <w:pPr>
        <w:snapToGrid w:val="0"/>
        <w:spacing w:line="520" w:lineRule="exact"/>
        <w:ind w:firstLine="640" w:firstLineChars="200"/>
        <w:rPr>
          <w:rFonts w:ascii="仿宋_GB2312" w:eastAsia="仿宋_GB2312"/>
          <w:color w:val="000000" w:themeColor="text1"/>
          <w:sz w:val="32"/>
          <w:szCs w:val="32"/>
          <w14:textFill>
            <w14:solidFill>
              <w14:schemeClr w14:val="tx1"/>
            </w14:solidFill>
          </w14:textFill>
        </w:rPr>
      </w:pPr>
    </w:p>
    <w:p>
      <w:pPr>
        <w:rPr>
          <w:rFonts w:ascii="黑体" w:hAnsi="黑体" w:eastAsia="黑体" w:cs="黑体"/>
          <w:color w:val="000000" w:themeColor="text1"/>
          <w:spacing w:val="-3"/>
          <w:sz w:val="31"/>
          <w:szCs w:val="31"/>
          <w14:textFill>
            <w14:solidFill>
              <w14:schemeClr w14:val="tx1"/>
            </w14:solidFill>
          </w14:textFill>
        </w:rPr>
      </w:pPr>
      <w:r>
        <w:rPr>
          <w:rFonts w:ascii="黑体" w:hAnsi="黑体" w:eastAsia="黑体" w:cs="黑体"/>
          <w:color w:val="000000" w:themeColor="text1"/>
          <w:spacing w:val="-3"/>
          <w:sz w:val="31"/>
          <w:szCs w:val="31"/>
          <w14:textFill>
            <w14:solidFill>
              <w14:schemeClr w14:val="tx1"/>
            </w14:solidFill>
          </w14:textFill>
        </w:rPr>
        <w:br w:type="page"/>
      </w:r>
    </w:p>
    <w:p>
      <w:pPr>
        <w:rPr>
          <w:rFonts w:eastAsia="方正小标宋_GBK"/>
          <w:color w:val="000000" w:themeColor="text1"/>
          <w:sz w:val="52"/>
          <w:szCs w:val="52"/>
          <w14:textFill>
            <w14:solidFill>
              <w14:schemeClr w14:val="tx1"/>
            </w14:solidFill>
          </w14:textFill>
        </w:rPr>
        <w:sectPr>
          <w:footerReference r:id="rId4" w:type="default"/>
          <w:pgSz w:w="11905" w:h="16838"/>
          <w:pgMar w:top="1984" w:right="1701" w:bottom="1984" w:left="1701" w:header="850" w:footer="992" w:gutter="0"/>
          <w:pgNumType w:fmt="numberInDash"/>
          <w:cols w:space="0" w:num="1"/>
          <w:docGrid w:type="lines" w:linePitch="314" w:charSpace="0"/>
        </w:sectPr>
      </w:pPr>
    </w:p>
    <w:p>
      <w:pPr>
        <w:spacing w:line="580" w:lineRule="exact"/>
        <w:jc w:val="left"/>
        <w:rPr>
          <w:rFonts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附件4</w:t>
      </w:r>
    </w:p>
    <w:p>
      <w:pPr>
        <w:pStyle w:val="9"/>
        <w:spacing w:line="580" w:lineRule="exact"/>
        <w:rPr>
          <w:color w:val="000000" w:themeColor="text1"/>
          <w14:textFill>
            <w14:solidFill>
              <w14:schemeClr w14:val="tx1"/>
            </w14:solidFill>
          </w14:textFill>
        </w:rPr>
      </w:pPr>
    </w:p>
    <w:p>
      <w:pPr>
        <w:spacing w:line="580" w:lineRule="exact"/>
        <w:jc w:val="center"/>
        <w:rPr>
          <w:rFonts w:ascii="方正小标宋简体" w:hAnsi="方正小标宋简体" w:eastAsia="方正小标宋简体" w:cs="方正小标宋简体"/>
          <w:color w:val="000000" w:themeColor="text1"/>
          <w:spacing w:val="6"/>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pacing w:val="6"/>
          <w:sz w:val="44"/>
          <w:szCs w:val="44"/>
          <w14:textFill>
            <w14:solidFill>
              <w14:schemeClr w14:val="tx1"/>
            </w14:solidFill>
          </w14:textFill>
        </w:rPr>
        <w:t>2023年度部门整体支出绩效自评表</w:t>
      </w:r>
    </w:p>
    <w:p>
      <w:pPr>
        <w:spacing w:line="132" w:lineRule="exact"/>
        <w:rPr>
          <w:color w:val="000000" w:themeColor="text1"/>
          <w14:textFill>
            <w14:solidFill>
              <w14:schemeClr w14:val="tx1"/>
            </w14:solidFill>
          </w14:textFill>
        </w:rPr>
      </w:pPr>
    </w:p>
    <w:tbl>
      <w:tblPr>
        <w:tblStyle w:val="19"/>
        <w:tblW w:w="4985"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17"/>
        <w:gridCol w:w="981"/>
        <w:gridCol w:w="943"/>
        <w:gridCol w:w="39"/>
        <w:gridCol w:w="1037"/>
        <w:gridCol w:w="972"/>
        <w:gridCol w:w="967"/>
        <w:gridCol w:w="691"/>
        <w:gridCol w:w="714"/>
        <w:gridCol w:w="132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616" w:type="pct"/>
            <w:gridSpan w:val="3"/>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省级预算部门、单位名称</w:t>
            </w:r>
          </w:p>
        </w:tc>
        <w:tc>
          <w:tcPr>
            <w:tcW w:w="3383" w:type="pct"/>
            <w:gridSpan w:val="7"/>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华容县市容环境卫生服务中心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jc w:val="center"/>
        </w:trPr>
        <w:tc>
          <w:tcPr>
            <w:tcW w:w="482" w:type="pct"/>
            <w:vMerge w:val="restart"/>
            <w:tcBorders>
              <w:bottom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年度预算申请（万元）</w:t>
            </w:r>
          </w:p>
        </w:tc>
        <w:tc>
          <w:tcPr>
            <w:tcW w:w="1134" w:type="pct"/>
            <w:gridSpan w:val="2"/>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34" w:type="pct"/>
            <w:gridSpan w:val="2"/>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年初</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预算数</w:t>
            </w:r>
          </w:p>
        </w:tc>
        <w:tc>
          <w:tcPr>
            <w:tcW w:w="572"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全年</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预算数</w:t>
            </w:r>
          </w:p>
        </w:tc>
        <w:tc>
          <w:tcPr>
            <w:tcW w:w="568"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全年</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执行数</w:t>
            </w:r>
          </w:p>
        </w:tc>
        <w:tc>
          <w:tcPr>
            <w:tcW w:w="407"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分值</w:t>
            </w:r>
          </w:p>
        </w:tc>
        <w:tc>
          <w:tcPr>
            <w:tcW w:w="421"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执行率</w:t>
            </w:r>
          </w:p>
        </w:tc>
        <w:tc>
          <w:tcPr>
            <w:tcW w:w="778"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cBorders>
              <w:top w:val="nil"/>
              <w:bottom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p>
        </w:tc>
        <w:tc>
          <w:tcPr>
            <w:tcW w:w="1134" w:type="pct"/>
            <w:gridSpan w:val="2"/>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年度资金总额</w:t>
            </w:r>
          </w:p>
        </w:tc>
        <w:tc>
          <w:tcPr>
            <w:tcW w:w="634" w:type="pct"/>
            <w:gridSpan w:val="2"/>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1930.57</w:t>
            </w:r>
          </w:p>
        </w:tc>
        <w:tc>
          <w:tcPr>
            <w:tcW w:w="572" w:type="pct"/>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6395.82</w:t>
            </w:r>
          </w:p>
        </w:tc>
        <w:tc>
          <w:tcPr>
            <w:tcW w:w="568" w:type="pct"/>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6395.82</w:t>
            </w:r>
          </w:p>
        </w:tc>
        <w:tc>
          <w:tcPr>
            <w:tcW w:w="407" w:type="pct"/>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10</w:t>
            </w:r>
          </w:p>
        </w:tc>
        <w:tc>
          <w:tcPr>
            <w:tcW w:w="421" w:type="pct"/>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100%</w:t>
            </w:r>
          </w:p>
        </w:tc>
        <w:tc>
          <w:tcPr>
            <w:tcW w:w="778" w:type="pct"/>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cBorders>
              <w:top w:val="nil"/>
              <w:bottom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p>
        </w:tc>
        <w:tc>
          <w:tcPr>
            <w:tcW w:w="2341" w:type="pct"/>
            <w:gridSpan w:val="5"/>
            <w:vAlign w:val="center"/>
          </w:tcPr>
          <w:p>
            <w:pPr>
              <w:spacing w:line="260" w:lineRule="exact"/>
              <w:ind w:firstLine="58" w:firstLineChars="28"/>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按收入性质分：6395.82</w:t>
            </w:r>
          </w:p>
        </w:tc>
        <w:tc>
          <w:tcPr>
            <w:tcW w:w="2175" w:type="pct"/>
            <w:gridSpan w:val="4"/>
            <w:vAlign w:val="center"/>
          </w:tcPr>
          <w:p>
            <w:pPr>
              <w:spacing w:line="260" w:lineRule="exact"/>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按支出性质分：6395.82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cBorders>
              <w:top w:val="nil"/>
              <w:bottom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p>
        </w:tc>
        <w:tc>
          <w:tcPr>
            <w:tcW w:w="2341" w:type="pct"/>
            <w:gridSpan w:val="5"/>
            <w:vAlign w:val="center"/>
          </w:tcPr>
          <w:p>
            <w:pPr>
              <w:spacing w:line="260" w:lineRule="exact"/>
              <w:ind w:firstLine="210" w:firstLineChars="1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其中：一般公共预算：5998.64</w:t>
            </w:r>
          </w:p>
        </w:tc>
        <w:tc>
          <w:tcPr>
            <w:tcW w:w="2175" w:type="pct"/>
            <w:gridSpan w:val="4"/>
            <w:vAlign w:val="center"/>
          </w:tcPr>
          <w:p>
            <w:pPr>
              <w:spacing w:line="260" w:lineRule="exact"/>
              <w:ind w:firstLine="210" w:firstLineChars="1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其中：基本支出：1034.16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cBorders>
              <w:top w:val="nil"/>
              <w:bottom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p>
        </w:tc>
        <w:tc>
          <w:tcPr>
            <w:tcW w:w="2341" w:type="pct"/>
            <w:gridSpan w:val="5"/>
            <w:vAlign w:val="center"/>
          </w:tcPr>
          <w:p>
            <w:pPr>
              <w:spacing w:line="260" w:lineRule="exact"/>
              <w:ind w:firstLine="840" w:firstLineChars="400"/>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政府性基金拨款：397.18</w:t>
            </w:r>
          </w:p>
        </w:tc>
        <w:tc>
          <w:tcPr>
            <w:tcW w:w="2175" w:type="pct"/>
            <w:gridSpan w:val="4"/>
            <w:vAlign w:val="center"/>
          </w:tcPr>
          <w:p>
            <w:pPr>
              <w:spacing w:line="260" w:lineRule="exact"/>
              <w:ind w:firstLine="840" w:firstLineChars="4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项目支出：5361.66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cBorders>
              <w:top w:val="nil"/>
              <w:bottom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p>
        </w:tc>
        <w:tc>
          <w:tcPr>
            <w:tcW w:w="2341" w:type="pct"/>
            <w:gridSpan w:val="5"/>
            <w:vAlign w:val="center"/>
          </w:tcPr>
          <w:p>
            <w:pPr>
              <w:spacing w:line="260" w:lineRule="exact"/>
              <w:ind w:firstLine="840" w:firstLineChars="4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纳入专户管理的非税收入拨款：</w:t>
            </w:r>
          </w:p>
        </w:tc>
        <w:tc>
          <w:tcPr>
            <w:tcW w:w="2175" w:type="pct"/>
            <w:gridSpan w:val="4"/>
            <w:vAlign w:val="center"/>
          </w:tcPr>
          <w:p>
            <w:pPr>
              <w:spacing w:line="260" w:lineRule="exact"/>
              <w:jc w:val="left"/>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cBorders>
              <w:top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p>
        </w:tc>
        <w:tc>
          <w:tcPr>
            <w:tcW w:w="2341" w:type="pct"/>
            <w:gridSpan w:val="5"/>
            <w:vAlign w:val="center"/>
          </w:tcPr>
          <w:p>
            <w:pPr>
              <w:spacing w:line="260" w:lineRule="exact"/>
              <w:ind w:firstLine="840" w:firstLineChars="400"/>
              <w:jc w:val="left"/>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其他资金：</w:t>
            </w:r>
          </w:p>
        </w:tc>
        <w:tc>
          <w:tcPr>
            <w:tcW w:w="2175" w:type="pct"/>
            <w:gridSpan w:val="4"/>
            <w:vAlign w:val="center"/>
          </w:tcPr>
          <w:p>
            <w:pPr>
              <w:spacing w:line="260" w:lineRule="exact"/>
              <w:jc w:val="left"/>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restart"/>
            <w:tcBorders>
              <w:bottom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年度总体目标</w:t>
            </w:r>
          </w:p>
        </w:tc>
        <w:tc>
          <w:tcPr>
            <w:tcW w:w="2341" w:type="pct"/>
            <w:gridSpan w:val="5"/>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预期目标</w:t>
            </w:r>
          </w:p>
        </w:tc>
        <w:tc>
          <w:tcPr>
            <w:tcW w:w="2175" w:type="pct"/>
            <w:gridSpan w:val="4"/>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cBorders>
              <w:top w:val="nil"/>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p>
        </w:tc>
        <w:tc>
          <w:tcPr>
            <w:tcW w:w="2341" w:type="pct"/>
            <w:gridSpan w:val="5"/>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2175" w:type="pct"/>
            <w:gridSpan w:val="4"/>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jc w:val="center"/>
        </w:trPr>
        <w:tc>
          <w:tcPr>
            <w:tcW w:w="482" w:type="pct"/>
            <w:vMerge w:val="restar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绩</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效</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指</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标</w:t>
            </w:r>
          </w:p>
        </w:tc>
        <w:tc>
          <w:tcPr>
            <w:tcW w:w="578" w:type="pct"/>
            <w:tcBorders>
              <w:bottom w:val="single" w:color="auto" w:sz="4" w:space="0"/>
            </w:tcBorders>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一级</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指标</w:t>
            </w:r>
          </w:p>
        </w:tc>
        <w:tc>
          <w:tcPr>
            <w:tcW w:w="579" w:type="pct"/>
            <w:gridSpan w:val="2"/>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二级</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指标</w:t>
            </w:r>
          </w:p>
        </w:tc>
        <w:tc>
          <w:tcPr>
            <w:tcW w:w="610"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三级</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指标</w:t>
            </w:r>
          </w:p>
        </w:tc>
        <w:tc>
          <w:tcPr>
            <w:tcW w:w="572"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年度</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指标值</w:t>
            </w:r>
          </w:p>
        </w:tc>
        <w:tc>
          <w:tcPr>
            <w:tcW w:w="568"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实际</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完成值</w:t>
            </w:r>
          </w:p>
        </w:tc>
        <w:tc>
          <w:tcPr>
            <w:tcW w:w="407"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分值</w:t>
            </w:r>
          </w:p>
        </w:tc>
        <w:tc>
          <w:tcPr>
            <w:tcW w:w="421"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自评</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得分</w:t>
            </w:r>
          </w:p>
        </w:tc>
        <w:tc>
          <w:tcPr>
            <w:tcW w:w="778" w:type="pc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37"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restart"/>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产</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出</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标</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(30分）</w:t>
            </w:r>
          </w:p>
        </w:tc>
        <w:tc>
          <w:tcPr>
            <w:tcW w:w="579" w:type="pct"/>
            <w:gridSpan w:val="2"/>
            <w:vMerge w:val="restart"/>
            <w:tcBorders>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数量</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vAlign w:val="center"/>
          </w:tcPr>
          <w:p>
            <w:pPr>
              <w:widowControl/>
              <w:jc w:val="left"/>
              <w:rPr>
                <w:rFonts w:ascii="黑体" w:hAnsi="黑体" w:eastAsia="黑体"/>
                <w:kern w:val="0"/>
                <w:sz w:val="18"/>
                <w:szCs w:val="18"/>
              </w:rPr>
            </w:pPr>
            <w:r>
              <w:rPr>
                <w:rFonts w:ascii="黑体" w:hAnsi="黑体" w:eastAsia="黑体"/>
                <w:kern w:val="0"/>
                <w:sz w:val="18"/>
                <w:szCs w:val="18"/>
              </w:rPr>
              <w:t>1.</w:t>
            </w:r>
            <w:r>
              <w:rPr>
                <w:rFonts w:hint="eastAsia" w:ascii="黑体" w:hAnsi="黑体" w:eastAsia="黑体"/>
                <w:kern w:val="0"/>
                <w:sz w:val="18"/>
                <w:szCs w:val="18"/>
              </w:rPr>
              <w:t>城区清扫保洁率</w:t>
            </w:r>
          </w:p>
        </w:tc>
        <w:tc>
          <w:tcPr>
            <w:tcW w:w="572" w:type="pct"/>
            <w:vAlign w:val="center"/>
          </w:tcPr>
          <w:p>
            <w:pPr>
              <w:widowControl/>
              <w:jc w:val="center"/>
              <w:rPr>
                <w:rFonts w:ascii="黑体" w:hAnsi="黑体" w:eastAsia="黑体"/>
                <w:kern w:val="0"/>
                <w:sz w:val="18"/>
                <w:szCs w:val="18"/>
              </w:rPr>
            </w:pPr>
            <w:r>
              <w:rPr>
                <w:rFonts w:ascii="黑体" w:hAnsi="黑体" w:eastAsia="黑体"/>
                <w:kern w:val="0"/>
                <w:sz w:val="18"/>
                <w:szCs w:val="18"/>
              </w:rPr>
              <w:t>　</w:t>
            </w:r>
            <w:r>
              <w:rPr>
                <w:rFonts w:hint="eastAsia" w:ascii="黑体" w:hAnsi="黑体" w:eastAsia="黑体"/>
                <w:kern w:val="0"/>
                <w:sz w:val="18"/>
                <w:szCs w:val="18"/>
              </w:rPr>
              <w:t>95%以上</w:t>
            </w:r>
          </w:p>
          <w:p>
            <w:pPr>
              <w:widowControl/>
              <w:jc w:val="center"/>
              <w:rPr>
                <w:rFonts w:ascii="黑体" w:hAnsi="黑体" w:eastAsia="黑体"/>
                <w:kern w:val="0"/>
                <w:sz w:val="18"/>
                <w:szCs w:val="18"/>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92%</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4</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kern w:val="0"/>
                <w:sz w:val="18"/>
                <w:szCs w:val="18"/>
              </w:rPr>
              <w:t>2.城区清扫面积</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kern w:val="0"/>
                <w:sz w:val="18"/>
                <w:szCs w:val="18"/>
              </w:rPr>
              <w:t>3.301.4万平方米</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完成90%</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4</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37"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restart"/>
            <w:tcBorders>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质量</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tcPr>
          <w:p>
            <w:pPr>
              <w:rPr>
                <w:rFonts w:ascii="黑体" w:hAnsi="黑体" w:eastAsia="黑体"/>
                <w:kern w:val="0"/>
                <w:sz w:val="18"/>
                <w:szCs w:val="18"/>
              </w:rPr>
            </w:pPr>
            <w:r>
              <w:rPr>
                <w:rFonts w:ascii="黑体" w:hAnsi="黑体" w:eastAsia="黑体"/>
                <w:kern w:val="0"/>
                <w:sz w:val="18"/>
                <w:szCs w:val="18"/>
              </w:rPr>
              <w:t>1</w:t>
            </w:r>
            <w:r>
              <w:rPr>
                <w:rFonts w:hint="eastAsia" w:ascii="黑体" w:hAnsi="黑体" w:eastAsia="黑体"/>
                <w:kern w:val="0"/>
                <w:sz w:val="18"/>
                <w:szCs w:val="18"/>
              </w:rPr>
              <w:t xml:space="preserve"> 综合垃圾无害化处理率</w:t>
            </w:r>
          </w:p>
        </w:tc>
        <w:tc>
          <w:tcPr>
            <w:tcW w:w="572" w:type="pct"/>
          </w:tcPr>
          <w:p>
            <w:pPr>
              <w:rPr>
                <w:rFonts w:ascii="黑体" w:hAnsi="黑体" w:eastAsia="黑体"/>
                <w:sz w:val="18"/>
                <w:szCs w:val="18"/>
              </w:rPr>
            </w:pPr>
            <w:r>
              <w:rPr>
                <w:rFonts w:hint="eastAsia" w:ascii="黑体" w:hAnsi="黑体" w:eastAsia="黑体"/>
                <w:kern w:val="0"/>
                <w:sz w:val="18"/>
                <w:szCs w:val="18"/>
              </w:rPr>
              <w:t>完成100%</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100%</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黑体" w:hAnsi="黑体" w:eastAsia="黑体"/>
                <w:kern w:val="0"/>
                <w:sz w:val="18"/>
                <w:szCs w:val="18"/>
              </w:rPr>
              <w:t>2.</w:t>
            </w:r>
            <w:r>
              <w:rPr>
                <w:rFonts w:hint="eastAsia" w:ascii="黑体" w:hAnsi="黑体" w:eastAsia="黑体"/>
                <w:kern w:val="0"/>
                <w:sz w:val="18"/>
                <w:szCs w:val="18"/>
              </w:rPr>
              <w:t>垃圾无害化处理后空气和水质量</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kern w:val="0"/>
                <w:sz w:val="18"/>
                <w:szCs w:val="18"/>
              </w:rPr>
              <w:t>合格</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kern w:val="0"/>
                <w:sz w:val="18"/>
                <w:szCs w:val="18"/>
              </w:rPr>
              <w:t>合格</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restart"/>
            <w:tcBorders>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时效</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kern w:val="0"/>
                <w:sz w:val="18"/>
                <w:szCs w:val="18"/>
              </w:rPr>
              <w:t>资金使用合规性</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100%</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100%</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73"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widowControl/>
              <w:jc w:val="left"/>
              <w:rPr>
                <w:rFonts w:ascii="黑体" w:hAnsi="黑体" w:eastAsia="黑体"/>
                <w:kern w:val="0"/>
                <w:sz w:val="18"/>
                <w:szCs w:val="18"/>
              </w:rPr>
            </w:pPr>
            <w:r>
              <w:rPr>
                <w:rFonts w:hint="eastAsia" w:ascii="黑体" w:hAnsi="黑体" w:eastAsia="黑体"/>
                <w:kern w:val="0"/>
                <w:sz w:val="18"/>
                <w:szCs w:val="18"/>
              </w:rPr>
              <w:t>资金给付及时性</w:t>
            </w:r>
          </w:p>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100%</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100%</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jc w:val="center"/>
        </w:trPr>
        <w:tc>
          <w:tcPr>
            <w:tcW w:w="482" w:type="pct"/>
            <w:vMerge w:val="restart"/>
            <w:vAlign w:val="center"/>
          </w:tcPr>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绩</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效</w:t>
            </w:r>
          </w:p>
          <w:p>
            <w:pPr>
              <w:spacing w:line="260" w:lineRule="exact"/>
              <w:jc w:val="center"/>
              <w:rPr>
                <w:rFonts w:ascii="黑体" w:hAnsi="黑体" w:eastAsia="黑体" w:cs="黑体"/>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指</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黑体" w:hAnsi="黑体" w:eastAsia="黑体" w:cs="黑体"/>
                <w:color w:val="000000" w:themeColor="text1"/>
                <w:szCs w:val="21"/>
                <w14:textFill>
                  <w14:solidFill>
                    <w14:schemeClr w14:val="tx1"/>
                  </w14:solidFill>
                </w14:textFill>
              </w:rPr>
              <w:t>标</w:t>
            </w:r>
          </w:p>
        </w:tc>
        <w:tc>
          <w:tcPr>
            <w:tcW w:w="578" w:type="pct"/>
            <w:vMerge w:val="restart"/>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效</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益</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标</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（30分）</w:t>
            </w:r>
          </w:p>
        </w:tc>
        <w:tc>
          <w:tcPr>
            <w:tcW w:w="579" w:type="pct"/>
            <w:gridSpan w:val="2"/>
            <w:vMerge w:val="restart"/>
            <w:tcBorders>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经济</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效益</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道路清洁质量合格率</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宋体" w:hAnsi="宋体" w:cs="宋体"/>
                <w:szCs w:val="21"/>
              </w:rPr>
              <w:t>≥</w:t>
            </w:r>
            <w:r>
              <w:rPr>
                <w:rFonts w:hint="eastAsia" w:ascii="宋体" w:hAnsi="宋体" w:cs="宋体"/>
                <w:szCs w:val="21"/>
              </w:rPr>
              <w:t>95%</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宋体" w:hAnsi="宋体" w:cs="宋体"/>
                <w:szCs w:val="21"/>
              </w:rPr>
              <w:t>≥</w:t>
            </w:r>
            <w:r>
              <w:rPr>
                <w:rFonts w:hint="eastAsia" w:ascii="宋体" w:hAnsi="宋体" w:cs="宋体"/>
                <w:szCs w:val="21"/>
              </w:rPr>
              <w:t>93%</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9</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restart"/>
            <w:tcBorders>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社会</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效益</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作业规范执行率</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宋体"/>
                <w:sz w:val="18"/>
                <w:szCs w:val="18"/>
              </w:rPr>
              <w:t>完成80%以上</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宋体"/>
                <w:sz w:val="18"/>
                <w:szCs w:val="18"/>
              </w:rPr>
              <w:t>完成80%以上</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restart"/>
            <w:tcBorders>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生态</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效益</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垃圾清运及时率</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黑体" w:hAnsi="黑体" w:eastAsia="黑体" w:cs="宋体"/>
                <w:sz w:val="18"/>
                <w:szCs w:val="18"/>
              </w:rPr>
              <w:t>≥</w:t>
            </w:r>
            <w:r>
              <w:rPr>
                <w:rFonts w:hint="eastAsia" w:ascii="黑体" w:hAnsi="黑体" w:eastAsia="黑体" w:cs="宋体"/>
                <w:sz w:val="18"/>
                <w:szCs w:val="18"/>
              </w:rPr>
              <w:t>95%</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黑体" w:hAnsi="黑体" w:eastAsia="黑体" w:cs="宋体"/>
                <w:sz w:val="18"/>
                <w:szCs w:val="18"/>
              </w:rPr>
              <w:t>≥</w:t>
            </w:r>
            <w:r>
              <w:rPr>
                <w:rFonts w:hint="eastAsia" w:ascii="黑体" w:hAnsi="黑体" w:eastAsia="黑体" w:cs="宋体"/>
                <w:sz w:val="18"/>
                <w:szCs w:val="18"/>
              </w:rPr>
              <w:t>94%</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4</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restart"/>
            <w:tcBorders>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可持续</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影响</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投诉处理及时率</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90%以上</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90%以上</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bottom w:val="nil"/>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nil"/>
              <w:left w:val="single" w:color="auto" w:sz="4" w:space="0"/>
              <w:bottom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restart"/>
            <w:tcBorders>
              <w:top w:val="single" w:color="auto" w:sz="4" w:space="0"/>
              <w:left w:val="single" w:color="auto" w:sz="4" w:space="0"/>
              <w:bottom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满意度</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（10分）</w:t>
            </w:r>
          </w:p>
        </w:tc>
        <w:tc>
          <w:tcPr>
            <w:tcW w:w="579" w:type="pct"/>
            <w:gridSpan w:val="2"/>
            <w:vMerge w:val="restart"/>
            <w:tcBorders>
              <w:top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服务对象</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满意度</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tcBorders>
              <w:left w:val="single" w:color="auto" w:sz="4" w:space="0"/>
            </w:tcBorders>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市民满意度</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宋体" w:hAnsi="宋体" w:cs="宋体"/>
                <w:szCs w:val="21"/>
              </w:rPr>
              <w:t>≥</w:t>
            </w:r>
            <w:r>
              <w:rPr>
                <w:rFonts w:hint="eastAsia" w:ascii="宋体" w:hAnsi="宋体" w:cs="宋体"/>
                <w:szCs w:val="21"/>
              </w:rPr>
              <w:t>96%</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宋体" w:hAnsi="宋体" w:cs="宋体"/>
                <w:szCs w:val="21"/>
              </w:rPr>
              <w:t>≥</w:t>
            </w:r>
            <w:r>
              <w:rPr>
                <w:rFonts w:hint="eastAsia" w:ascii="宋体" w:hAnsi="宋体" w:cs="宋体"/>
                <w:szCs w:val="21"/>
              </w:rPr>
              <w:t>94%</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9</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tcBorders>
              <w:left w:val="single" w:color="auto" w:sz="4" w:space="0"/>
            </w:tcBorders>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top w:val="single" w:color="auto" w:sz="4" w:space="0"/>
              <w:left w:val="single" w:color="auto" w:sz="4" w:space="0"/>
              <w:bottom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top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tcBorders>
              <w:left w:val="single" w:color="auto" w:sz="4" w:space="0"/>
            </w:tcBorders>
            <w:vAlign w:val="center"/>
          </w:tcPr>
          <w:p>
            <w:pPr>
              <w:spacing w:line="260" w:lineRule="exact"/>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restart"/>
            <w:tcBorders>
              <w:top w:val="single" w:color="auto" w:sz="4" w:space="0"/>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成</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本</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标</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（20分）</w:t>
            </w:r>
          </w:p>
        </w:tc>
        <w:tc>
          <w:tcPr>
            <w:tcW w:w="579" w:type="pct"/>
            <w:gridSpan w:val="2"/>
            <w:vMerge w:val="restart"/>
            <w:tcBorders>
              <w:top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经济</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成本</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tcBorders>
              <w:left w:val="single" w:color="auto" w:sz="4" w:space="0"/>
            </w:tcBorders>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kern w:val="0"/>
                <w:sz w:val="18"/>
                <w:szCs w:val="18"/>
              </w:rPr>
              <w:t>市容环境卫生管理拨付专项资金</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宋体" w:hAnsi="宋体" w:cs="宋体"/>
                <w:szCs w:val="21"/>
              </w:rPr>
              <w:t>≥</w:t>
            </w:r>
            <w:r>
              <w:rPr>
                <w:rFonts w:hint="eastAsia" w:ascii="宋体" w:hAnsi="宋体" w:cs="宋体"/>
                <w:szCs w:val="21"/>
              </w:rPr>
              <w:t>5361.66万元</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100%</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10</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tcBorders>
              <w:left w:val="single" w:color="auto" w:sz="4" w:space="0"/>
            </w:tcBorders>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3"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restart"/>
            <w:tcBorders>
              <w:top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社会</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成本</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tcBorders>
              <w:left w:val="single" w:color="auto" w:sz="4" w:space="0"/>
            </w:tcBorders>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kern w:val="0"/>
                <w:sz w:val="18"/>
                <w:szCs w:val="18"/>
              </w:rPr>
              <w:t>提高公民的环境卫生意识，养成良好的卫生习惯</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90%以上</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提升90%</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4</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tcBorders>
              <w:left w:val="single" w:color="auto" w:sz="4" w:space="0"/>
            </w:tcBorders>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lef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restart"/>
            <w:tcBorders>
              <w:top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生态</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环境</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成本</w:t>
            </w:r>
          </w:p>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指标</w:t>
            </w:r>
          </w:p>
        </w:tc>
        <w:tc>
          <w:tcPr>
            <w:tcW w:w="610" w:type="pct"/>
            <w:tcBorders>
              <w:left w:val="single" w:color="auto" w:sz="4" w:space="0"/>
            </w:tcBorders>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公厕清洁达标率</w:t>
            </w: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95%以上</w:t>
            </w: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ascii="宋体" w:hAnsi="宋体" w:cs="宋体"/>
                <w:szCs w:val="21"/>
              </w:rPr>
              <w:t>≥</w:t>
            </w:r>
            <w:r>
              <w:rPr>
                <w:rFonts w:hint="eastAsia" w:ascii="宋体" w:hAnsi="宋体" w:cs="宋体"/>
                <w:szCs w:val="21"/>
              </w:rPr>
              <w:t>95</w:t>
            </w: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5</w:t>
            </w: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r>
              <w:rPr>
                <w:rFonts w:hint="eastAsia" w:ascii="黑体" w:hAnsi="黑体" w:eastAsia="黑体" w:cstheme="minorEastAsia"/>
                <w:color w:val="000000" w:themeColor="text1"/>
                <w:sz w:val="18"/>
                <w:szCs w:val="18"/>
                <w14:textFill>
                  <w14:solidFill>
                    <w14:schemeClr w14:val="tx1"/>
                  </w14:solidFill>
                </w14:textFill>
              </w:rPr>
              <w:t>4</w:t>
            </w: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0" w:hRule="atLeast"/>
          <w:jc w:val="center"/>
        </w:trPr>
        <w:tc>
          <w:tcPr>
            <w:tcW w:w="482" w:type="pct"/>
            <w:vMerge w:val="continue"/>
            <w:textDirection w:val="tbRlV"/>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8" w:type="pct"/>
            <w:vMerge w:val="continue"/>
            <w:tcBorders>
              <w:left w:val="single" w:color="auto" w:sz="4" w:space="0"/>
              <w:bottom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579" w:type="pct"/>
            <w:gridSpan w:val="2"/>
            <w:vMerge w:val="continue"/>
            <w:tcBorders>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c>
          <w:tcPr>
            <w:tcW w:w="610" w:type="pct"/>
            <w:tcBorders>
              <w:left w:val="single" w:color="auto" w:sz="4" w:space="0"/>
            </w:tcBorders>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72"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56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07"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421"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c>
          <w:tcPr>
            <w:tcW w:w="778" w:type="pct"/>
            <w:vAlign w:val="center"/>
          </w:tcPr>
          <w:p>
            <w:pPr>
              <w:spacing w:line="260" w:lineRule="exact"/>
              <w:jc w:val="center"/>
              <w:rPr>
                <w:rFonts w:ascii="黑体" w:hAnsi="黑体" w:eastAsia="黑体" w:cstheme="minorEastAsia"/>
                <w:color w:val="000000" w:themeColor="text1"/>
                <w:sz w:val="18"/>
                <w:szCs w:val="18"/>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3392" w:type="pct"/>
            <w:gridSpan w:val="7"/>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总分</w:t>
            </w:r>
          </w:p>
        </w:tc>
        <w:tc>
          <w:tcPr>
            <w:tcW w:w="407" w:type="pct"/>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100</w:t>
            </w:r>
          </w:p>
        </w:tc>
        <w:tc>
          <w:tcPr>
            <w:tcW w:w="421" w:type="pct"/>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93</w:t>
            </w:r>
          </w:p>
        </w:tc>
        <w:tc>
          <w:tcPr>
            <w:tcW w:w="778" w:type="pct"/>
            <w:vAlign w:val="center"/>
          </w:tcPr>
          <w:p>
            <w:pPr>
              <w:spacing w:line="260" w:lineRule="exact"/>
              <w:jc w:val="center"/>
              <w:rPr>
                <w:rFonts w:asciiTheme="minorEastAsia" w:hAnsiTheme="minorEastAsia" w:eastAsiaTheme="minorEastAsia" w:cstheme="minorEastAsia"/>
                <w:color w:val="000000" w:themeColor="text1"/>
                <w:szCs w:val="21"/>
                <w14:textFill>
                  <w14:solidFill>
                    <w14:schemeClr w14:val="tx1"/>
                  </w14:solidFill>
                </w14:textFill>
              </w:rPr>
            </w:pPr>
          </w:p>
        </w:tc>
      </w:tr>
    </w:tbl>
    <w:p>
      <w:pPr>
        <w:rPr>
          <w:color w:val="000000" w:themeColor="text1"/>
          <w14:textFill>
            <w14:solidFill>
              <w14:schemeClr w14:val="tx1"/>
            </w14:solidFill>
          </w14:textFill>
        </w:rPr>
      </w:pP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填表人：汤纯霞  填报日期：2024.5.28    联系电话：1354893585   单位负责人签字：</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br w:type="page"/>
      </w:r>
    </w:p>
    <w:p>
      <w:pPr>
        <w:spacing w:line="580" w:lineRule="exact"/>
        <w:jc w:val="left"/>
        <w:rPr>
          <w:rFonts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附件5</w:t>
      </w:r>
    </w:p>
    <w:p>
      <w:pPr>
        <w:jc w:val="center"/>
        <w:rPr>
          <w:rFonts w:ascii="方正小标宋简体" w:hAnsi="方正小标宋简体" w:eastAsia="方正小标宋简体" w:cs="方正小标宋简体"/>
          <w:color w:val="000000" w:themeColor="text1"/>
          <w:sz w:val="44"/>
          <w:szCs w:val="4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800" w:lineRule="exact"/>
        <w:jc w:val="center"/>
        <w:textAlignment w:val="auto"/>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800" w:lineRule="exact"/>
        <w:jc w:val="center"/>
        <w:textAlignment w:val="auto"/>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2023年度华容县市容环境卫生服务中心其他城乡社区公共卫生设施项目支出</w:t>
      </w:r>
    </w:p>
    <w:p>
      <w:pPr>
        <w:keepNext w:val="0"/>
        <w:keepLines w:val="0"/>
        <w:pageBreakBefore w:val="0"/>
        <w:widowControl w:val="0"/>
        <w:kinsoku/>
        <w:wordWrap/>
        <w:overflowPunct/>
        <w:topLinePunct w:val="0"/>
        <w:autoSpaceDE/>
        <w:autoSpaceDN/>
        <w:bidi w:val="0"/>
        <w:adjustRightInd/>
        <w:snapToGrid/>
        <w:spacing w:line="800" w:lineRule="exact"/>
        <w:jc w:val="center"/>
        <w:textAlignment w:val="auto"/>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绩效自评报告</w:t>
      </w:r>
    </w:p>
    <w:p>
      <w:pPr>
        <w:jc w:val="center"/>
        <w:rPr>
          <w:rFonts w:eastAsia="方正小标宋_GBK"/>
          <w:b/>
          <w:color w:val="000000" w:themeColor="text1"/>
          <w:sz w:val="52"/>
          <w:szCs w:val="52"/>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pStyle w:val="9"/>
        <w:rPr>
          <w:color w:val="000000" w:themeColor="text1"/>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rPr>
          <w:rFonts w:eastAsia="黑体"/>
          <w:color w:val="000000" w:themeColor="text1"/>
          <w:sz w:val="32"/>
          <w:szCs w:val="32"/>
          <w14:textFill>
            <w14:solidFill>
              <w14:schemeClr w14:val="tx1"/>
            </w14:solidFill>
          </w14:textFill>
        </w:rPr>
      </w:pPr>
    </w:p>
    <w:p>
      <w:pPr>
        <w:pStyle w:val="4"/>
        <w:spacing w:before="100" w:line="221" w:lineRule="auto"/>
        <w:ind w:firstLine="60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pacing w:val="-10"/>
          <w:sz w:val="32"/>
          <w:szCs w:val="32"/>
          <w14:textFill>
            <w14:solidFill>
              <w14:schemeClr w14:val="tx1"/>
            </w14:solidFill>
          </w14:textFill>
        </w:rPr>
        <w:t>部门（单位）名称</w:t>
      </w:r>
      <w:r>
        <w:rPr>
          <w:rFonts w:hint="eastAsia" w:ascii="仿宋_GB2312" w:hAnsi="仿宋_GB2312" w:eastAsia="仿宋_GB2312" w:cs="仿宋_GB2312"/>
          <w:color w:val="000000" w:themeColor="text1"/>
          <w:spacing w:val="4"/>
          <w:sz w:val="32"/>
          <w:szCs w:val="32"/>
          <w14:textFill>
            <w14:solidFill>
              <w14:schemeClr w14:val="tx1"/>
            </w14:solidFill>
          </w14:textFill>
        </w:rPr>
        <w:t>：</w:t>
      </w:r>
      <w:r>
        <w:rPr>
          <w:rFonts w:hint="eastAsia" w:ascii="仿宋_GB2312" w:hAnsi="仿宋_GB2312" w:eastAsia="仿宋_GB2312" w:cs="仿宋_GB2312"/>
          <w:color w:val="000000" w:themeColor="text1"/>
          <w:spacing w:val="4"/>
          <w:sz w:val="32"/>
          <w:szCs w:val="32"/>
          <w:u w:val="single"/>
          <w:lang w:eastAsia="zh-CN"/>
          <w14:textFill>
            <w14:solidFill>
              <w14:schemeClr w14:val="tx1"/>
            </w14:solidFill>
          </w14:textFill>
        </w:rPr>
        <w:t>(</w:t>
      </w:r>
      <w:r>
        <w:rPr>
          <w:rFonts w:hint="eastAsia" w:ascii="仿宋_GB2312" w:hAnsi="仿宋_GB2312" w:eastAsia="仿宋_GB2312" w:cs="仿宋_GB2312"/>
          <w:color w:val="000000" w:themeColor="text1"/>
          <w:spacing w:val="-118"/>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pacing w:val="-75"/>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pacing w:val="-10"/>
          <w:sz w:val="32"/>
          <w:szCs w:val="32"/>
          <w:u w:val="single"/>
          <w14:textFill>
            <w14:solidFill>
              <w14:schemeClr w14:val="tx1"/>
            </w14:solidFill>
          </w14:textFill>
        </w:rPr>
        <w:t>盖章）</w:t>
      </w:r>
      <w:r>
        <w:rPr>
          <w:rFonts w:hint="eastAsia" w:ascii="仿宋_GB2312" w:hAnsi="仿宋_GB2312" w:eastAsia="仿宋_GB2312" w:cs="仿宋_GB2312"/>
          <w:color w:val="000000" w:themeColor="text1"/>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z w:val="32"/>
          <w:szCs w:val="32"/>
          <w:u w:val="single"/>
          <w:lang w:eastAsia="zh-CN"/>
          <w14:textFill>
            <w14:solidFill>
              <w14:schemeClr w14:val="tx1"/>
            </w14:solidFill>
          </w14:textFill>
        </w:rPr>
        <w:t xml:space="preserve">     </w:t>
      </w:r>
      <w:r>
        <w:rPr>
          <w:rFonts w:hint="eastAsia" w:ascii="仿宋_GB2312" w:hAnsi="仿宋_GB2312" w:eastAsia="仿宋_GB2312" w:cs="仿宋_GB2312"/>
          <w:color w:val="000000" w:themeColor="text1"/>
          <w:sz w:val="32"/>
          <w:szCs w:val="32"/>
          <w:u w:val="single"/>
          <w14:textFill>
            <w14:solidFill>
              <w14:schemeClr w14:val="tx1"/>
            </w14:solidFill>
          </w14:textFill>
        </w:rPr>
        <w:t xml:space="preserve">  </w:t>
      </w:r>
    </w:p>
    <w:p>
      <w:pPr>
        <w:spacing w:before="228" w:line="222" w:lineRule="auto"/>
        <w:ind w:firstLine="4560" w:firstLineChars="15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pacing w:val="-8"/>
          <w:sz w:val="32"/>
          <w:szCs w:val="32"/>
          <w14:textFill>
            <w14:solidFill>
              <w14:schemeClr w14:val="tx1"/>
            </w14:solidFill>
          </w14:textFill>
        </w:rPr>
        <w:t>2024年</w:t>
      </w:r>
      <w:r>
        <w:rPr>
          <w:rFonts w:hint="eastAsia" w:ascii="仿宋_GB2312" w:hAnsi="仿宋_GB2312" w:eastAsia="仿宋_GB2312" w:cs="仿宋_GB2312"/>
          <w:color w:val="000000" w:themeColor="text1"/>
          <w:spacing w:val="21"/>
          <w:sz w:val="32"/>
          <w:szCs w:val="32"/>
          <w14:textFill>
            <w14:solidFill>
              <w14:schemeClr w14:val="tx1"/>
            </w14:solidFill>
          </w14:textFill>
        </w:rPr>
        <w:t xml:space="preserve"> 5 </w:t>
      </w:r>
      <w:r>
        <w:rPr>
          <w:rFonts w:hint="eastAsia" w:ascii="仿宋_GB2312" w:hAnsi="仿宋_GB2312" w:eastAsia="仿宋_GB2312" w:cs="仿宋_GB2312"/>
          <w:color w:val="000000" w:themeColor="text1"/>
          <w:spacing w:val="-8"/>
          <w:sz w:val="32"/>
          <w:szCs w:val="32"/>
          <w14:textFill>
            <w14:solidFill>
              <w14:schemeClr w14:val="tx1"/>
            </w14:solidFill>
          </w14:textFill>
        </w:rPr>
        <w:t>月28</w:t>
      </w:r>
      <w:r>
        <w:rPr>
          <w:rFonts w:hint="eastAsia" w:ascii="仿宋_GB2312" w:hAnsi="仿宋_GB2312" w:eastAsia="仿宋_GB2312" w:cs="仿宋_GB2312"/>
          <w:color w:val="000000" w:themeColor="text1"/>
          <w:spacing w:val="43"/>
          <w:sz w:val="32"/>
          <w:szCs w:val="32"/>
          <w14:textFill>
            <w14:solidFill>
              <w14:schemeClr w14:val="tx1"/>
            </w14:solidFill>
          </w14:textFill>
        </w:rPr>
        <w:t xml:space="preserve">  </w:t>
      </w:r>
      <w:r>
        <w:rPr>
          <w:rFonts w:hint="eastAsia" w:ascii="仿宋_GB2312" w:hAnsi="仿宋_GB2312" w:eastAsia="仿宋_GB2312" w:cs="仿宋_GB2312"/>
          <w:color w:val="000000" w:themeColor="text1"/>
          <w:spacing w:val="-8"/>
          <w:sz w:val="32"/>
          <w:szCs w:val="32"/>
          <w14:textFill>
            <w14:solidFill>
              <w14:schemeClr w14:val="tx1"/>
            </w14:solidFill>
          </w14:textFill>
        </w:rPr>
        <w:t>日</w:t>
      </w:r>
    </w:p>
    <w:p>
      <w:pPr>
        <w:spacing w:line="335" w:lineRule="auto"/>
        <w:rPr>
          <w:rFonts w:ascii="仿宋_GB2312" w:hAnsi="仿宋_GB2312" w:eastAsia="仿宋_GB2312" w:cs="仿宋_GB2312"/>
          <w:color w:val="000000" w:themeColor="text1"/>
          <w:sz w:val="32"/>
          <w:szCs w:val="32"/>
          <w14:textFill>
            <w14:solidFill>
              <w14:schemeClr w14:val="tx1"/>
            </w14:solidFill>
          </w14:textFill>
        </w:rPr>
      </w:pPr>
    </w:p>
    <w:p>
      <w:pPr>
        <w:pStyle w:val="4"/>
        <w:spacing w:before="102" w:line="224" w:lineRule="auto"/>
        <w:ind w:left="3216"/>
        <w:rPr>
          <w:rFonts w:ascii="仿宋_GB2312" w:hAnsi="仿宋_GB2312" w:eastAsia="仿宋_GB2312" w:cs="仿宋_GB2312"/>
          <w:color w:val="000000" w:themeColor="text1"/>
          <w:spacing w:val="8"/>
          <w:sz w:val="32"/>
          <w:szCs w:val="32"/>
          <w14:textFill>
            <w14:solidFill>
              <w14:schemeClr w14:val="tx1"/>
            </w14:solidFill>
          </w14:textFill>
        </w:rPr>
      </w:pPr>
      <w:r>
        <w:rPr>
          <w:rFonts w:hint="eastAsia" w:ascii="仿宋_GB2312" w:hAnsi="仿宋_GB2312" w:eastAsia="仿宋_GB2312" w:cs="仿宋_GB2312"/>
          <w:color w:val="000000" w:themeColor="text1"/>
          <w:spacing w:val="8"/>
          <w:sz w:val="32"/>
          <w:szCs w:val="32"/>
          <w14:textFill>
            <w14:solidFill>
              <w14:schemeClr w14:val="tx1"/>
            </w14:solidFill>
          </w14:textFill>
        </w:rPr>
        <w:t>（此页为封面）</w:t>
      </w:r>
    </w:p>
    <w:p>
      <w:pPr>
        <w:rPr>
          <w:rFonts w:ascii="仿宋_GB2312" w:hAnsi="仿宋_GB2312" w:eastAsia="仿宋_GB2312" w:cs="仿宋_GB2312"/>
          <w:color w:val="000000" w:themeColor="text1"/>
          <w:spacing w:val="8"/>
          <w:sz w:val="32"/>
          <w:szCs w:val="32"/>
          <w14:textFill>
            <w14:solidFill>
              <w14:schemeClr w14:val="tx1"/>
            </w14:solidFill>
          </w14:textFill>
        </w:rPr>
      </w:pPr>
      <w:r>
        <w:rPr>
          <w:rFonts w:hint="eastAsia" w:ascii="仿宋_GB2312" w:hAnsi="仿宋_GB2312" w:eastAsia="仿宋_GB2312" w:cs="仿宋_GB2312"/>
          <w:color w:val="000000" w:themeColor="text1"/>
          <w:spacing w:val="8"/>
          <w:sz w:val="32"/>
          <w:szCs w:val="32"/>
          <w14:textFill>
            <w14:solidFill>
              <w14:schemeClr w14:val="tx1"/>
            </w14:solidFill>
          </w14:textFill>
        </w:rPr>
        <w:br w:type="page"/>
      </w:r>
    </w:p>
    <w:p>
      <w:pPr>
        <w:keepNext w:val="0"/>
        <w:keepLines w:val="0"/>
        <w:pageBreakBefore w:val="0"/>
        <w:widowControl w:val="0"/>
        <w:kinsoku/>
        <w:wordWrap/>
        <w:overflowPunct/>
        <w:topLinePunct w:val="0"/>
        <w:autoSpaceDE/>
        <w:autoSpaceDN/>
        <w:bidi w:val="0"/>
        <w:adjustRightInd/>
        <w:snapToGrid/>
        <w:spacing w:afterAutospacing="0" w:line="580" w:lineRule="exact"/>
        <w:jc w:val="center"/>
        <w:textAlignment w:val="auto"/>
        <w:rPr>
          <w:rFonts w:hint="eastAsia" w:ascii="方正小标宋简体" w:hAnsi="方正小标宋简体" w:eastAsia="方正小标宋简体" w:cs="方正小标宋简体"/>
          <w:b w:val="0"/>
          <w:bCs w:val="0"/>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44"/>
          <w:szCs w:val="44"/>
          <w14:textFill>
            <w14:solidFill>
              <w14:schemeClr w14:val="tx1"/>
            </w14:solidFill>
          </w14:textFill>
        </w:rPr>
        <w:t>2023年度华容县市容环境卫生服务中心其他城乡社区公共卫生设施项目支出</w:t>
      </w:r>
    </w:p>
    <w:p>
      <w:pPr>
        <w:keepNext w:val="0"/>
        <w:keepLines w:val="0"/>
        <w:pageBreakBefore w:val="0"/>
        <w:widowControl w:val="0"/>
        <w:kinsoku/>
        <w:wordWrap/>
        <w:overflowPunct/>
        <w:topLinePunct w:val="0"/>
        <w:autoSpaceDE/>
        <w:autoSpaceDN/>
        <w:bidi w:val="0"/>
        <w:adjustRightInd/>
        <w:snapToGrid/>
        <w:spacing w:afterAutospacing="0" w:line="580" w:lineRule="exact"/>
        <w:jc w:val="center"/>
        <w:textAlignment w:val="auto"/>
        <w:rPr>
          <w:rFonts w:hint="eastAsia" w:ascii="方正小标宋简体" w:hAnsi="方正小标宋简体" w:eastAsia="方正小标宋简体" w:cs="方正小标宋简体"/>
          <w:b w:val="0"/>
          <w:bCs w:val="0"/>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44"/>
          <w:szCs w:val="44"/>
          <w14:textFill>
            <w14:solidFill>
              <w14:schemeClr w14:val="tx1"/>
            </w14:solidFill>
          </w14:textFill>
        </w:rPr>
        <w:t>绩效自评报告</w:t>
      </w:r>
    </w:p>
    <w:p>
      <w:pPr>
        <w:keepNext w:val="0"/>
        <w:keepLines w:val="0"/>
        <w:pageBreakBefore w:val="0"/>
        <w:widowControl w:val="0"/>
        <w:kinsoku/>
        <w:wordWrap/>
        <w:overflowPunct/>
        <w:topLinePunct w:val="0"/>
        <w:autoSpaceDE/>
        <w:autoSpaceDN/>
        <w:bidi w:val="0"/>
        <w:adjustRightInd/>
        <w:snapToGrid/>
        <w:spacing w:afterAutospacing="0" w:line="580" w:lineRule="exact"/>
        <w:jc w:val="center"/>
        <w:textAlignment w:val="auto"/>
        <w:rPr>
          <w:rFonts w:hint="eastAsia" w:ascii="方正小标宋简体" w:hAnsi="方正小标宋简体" w:eastAsia="方正小标宋简体" w:cs="方正小标宋简体"/>
          <w:b w:val="0"/>
          <w:bCs w:val="0"/>
          <w:color w:val="000000" w:themeColor="text1"/>
          <w:sz w:val="44"/>
          <w:szCs w:val="44"/>
          <w14:textFill>
            <w14:solidFill>
              <w14:schemeClr w14:val="tx1"/>
            </w14:solidFill>
          </w14:textFill>
        </w:rPr>
      </w:pPr>
    </w:p>
    <w:p>
      <w:pPr>
        <w:keepNext w:val="0"/>
        <w:keepLines w:val="0"/>
        <w:pageBreakBefore w:val="0"/>
        <w:widowControl w:val="0"/>
        <w:tabs>
          <w:tab w:val="left" w:pos="300"/>
        </w:tabs>
        <w:kinsoku/>
        <w:wordWrap/>
        <w:overflowPunct/>
        <w:topLinePunct w:val="0"/>
        <w:autoSpaceDE/>
        <w:autoSpaceDN/>
        <w:bidi w:val="0"/>
        <w:adjustRightInd/>
        <w:snapToGrid/>
        <w:spacing w:afterAutospacing="0" w:line="580" w:lineRule="exact"/>
        <w:ind w:firstLine="640" w:firstLineChars="200"/>
        <w:textAlignment w:val="auto"/>
        <w:rPr>
          <w:rFonts w:ascii="黑体" w:hAnsi="黑体" w:eastAsia="黑体"/>
          <w:b w:val="0"/>
          <w:bCs/>
          <w:sz w:val="32"/>
          <w:szCs w:val="32"/>
        </w:rPr>
      </w:pPr>
      <w:r>
        <w:rPr>
          <w:rFonts w:hint="eastAsia" w:ascii="黑体" w:hAnsi="黑体" w:eastAsia="黑体"/>
          <w:b w:val="0"/>
          <w:bCs/>
          <w:sz w:val="32"/>
          <w:szCs w:val="32"/>
        </w:rPr>
        <w:t>一、市容环境卫生服务中心基本情况</w:t>
      </w:r>
    </w:p>
    <w:p>
      <w:pPr>
        <w:keepNext w:val="0"/>
        <w:keepLines w:val="0"/>
        <w:pageBreakBefore w:val="0"/>
        <w:kinsoku/>
        <w:wordWrap/>
        <w:overflowPunct/>
        <w:topLinePunct w:val="0"/>
        <w:autoSpaceDE/>
        <w:autoSpaceDN/>
        <w:bidi w:val="0"/>
        <w:adjustRightInd/>
        <w:snapToGrid/>
        <w:spacing w:afterAutospacing="0" w:line="580" w:lineRule="exact"/>
        <w:ind w:firstLine="640" w:firstLineChars="200"/>
        <w:textAlignment w:val="auto"/>
        <w:rPr>
          <w:rFonts w:ascii="仿宋" w:hAnsi="仿宋" w:eastAsia="仿宋"/>
          <w:sz w:val="32"/>
          <w:szCs w:val="32"/>
        </w:rPr>
      </w:pPr>
      <w:bookmarkStart w:id="5" w:name="gkstk2"/>
      <w:bookmarkEnd w:id="5"/>
      <w:r>
        <w:rPr>
          <w:rFonts w:hint="eastAsia" w:ascii="仿宋" w:hAnsi="仿宋" w:eastAsia="仿宋"/>
          <w:sz w:val="32"/>
          <w:szCs w:val="32"/>
        </w:rPr>
        <w:t>县市容环卫中心是隶属于县城管局管理的公益一类事业单位，主要负责中心城区31条主街、144条背街小巷，共计301.4万㎡道路（新增清扫保洁面积33.9万㎡，新增作业人员113人）的日常清扫保洁、垃圾收集转运、洒水清洗、渣土运输管理和53座公厕的清扫养护、28座压缩式垃圾中转站的运转维护以及日产近280吨垃圾（不含医疗、工业垃圾）的收集、运输、卫生填埋、消毒处理等工作。</w:t>
      </w:r>
    </w:p>
    <w:p>
      <w:pPr>
        <w:keepNext w:val="0"/>
        <w:keepLines w:val="0"/>
        <w:pageBreakBefore w:val="0"/>
        <w:kinsoku/>
        <w:wordWrap/>
        <w:overflowPunct/>
        <w:topLinePunct w:val="0"/>
        <w:autoSpaceDE/>
        <w:autoSpaceDN/>
        <w:bidi w:val="0"/>
        <w:adjustRightInd/>
        <w:snapToGrid/>
        <w:spacing w:afterAutospacing="0" w:line="580" w:lineRule="exact"/>
        <w:ind w:firstLine="640" w:firstLineChars="200"/>
        <w:jc w:val="left"/>
        <w:textAlignment w:val="auto"/>
        <w:rPr>
          <w:rFonts w:hint="eastAsia" w:ascii="仿宋" w:hAnsi="仿宋" w:eastAsia="仿宋"/>
          <w:sz w:val="32"/>
          <w:szCs w:val="32"/>
        </w:rPr>
      </w:pPr>
      <w:r>
        <w:rPr>
          <w:rFonts w:hint="eastAsia" w:ascii="仿宋" w:hAnsi="仿宋" w:eastAsia="仿宋"/>
          <w:sz w:val="32"/>
          <w:szCs w:val="32"/>
        </w:rPr>
        <w:t>人员编制：现有干部职工970人，其中正式职工158人（退休人员61人、内退人员1人、外出中心人员3人）、临聘人员812人（清扫保洁员715人、洗扫工13人、清运工39人、清厕工45人）。</w:t>
      </w:r>
    </w:p>
    <w:p>
      <w:pPr>
        <w:keepNext w:val="0"/>
        <w:keepLines w:val="0"/>
        <w:pageBreakBefore w:val="0"/>
        <w:kinsoku/>
        <w:wordWrap/>
        <w:overflowPunct/>
        <w:topLinePunct w:val="0"/>
        <w:autoSpaceDE/>
        <w:autoSpaceDN/>
        <w:bidi w:val="0"/>
        <w:adjustRightInd/>
        <w:snapToGrid/>
        <w:spacing w:afterAutospacing="0" w:line="580" w:lineRule="exact"/>
        <w:ind w:firstLine="640" w:firstLineChars="200"/>
        <w:jc w:val="left"/>
        <w:textAlignment w:val="auto"/>
        <w:rPr>
          <w:rFonts w:hint="eastAsia" w:ascii="黑体" w:hAnsi="黑体" w:eastAsia="黑体"/>
          <w:b w:val="0"/>
          <w:bCs/>
          <w:sz w:val="32"/>
          <w:szCs w:val="32"/>
        </w:rPr>
      </w:pPr>
      <w:r>
        <w:rPr>
          <w:rFonts w:hint="eastAsia" w:ascii="黑体" w:hAnsi="黑体" w:eastAsia="黑体"/>
          <w:b w:val="0"/>
          <w:bCs/>
          <w:sz w:val="32"/>
          <w:szCs w:val="32"/>
        </w:rPr>
        <w:t>二、环境卫生服务中心项目支出情况</w:t>
      </w:r>
    </w:p>
    <w:p>
      <w:pPr>
        <w:keepNext w:val="0"/>
        <w:keepLines w:val="0"/>
        <w:pageBreakBefore w:val="0"/>
        <w:kinsoku/>
        <w:wordWrap/>
        <w:overflowPunct/>
        <w:topLinePunct w:val="0"/>
        <w:autoSpaceDE/>
        <w:autoSpaceDN/>
        <w:bidi w:val="0"/>
        <w:adjustRightInd/>
        <w:snapToGrid/>
        <w:spacing w:afterAutospacing="0" w:line="580" w:lineRule="exact"/>
        <w:ind w:firstLine="640" w:firstLineChars="200"/>
        <w:jc w:val="left"/>
        <w:textAlignment w:val="auto"/>
        <w:rPr>
          <w:rFonts w:ascii="仿宋" w:hAnsi="仿宋" w:eastAsia="仿宋"/>
          <w:sz w:val="32"/>
          <w:szCs w:val="32"/>
        </w:rPr>
      </w:pPr>
      <w:r>
        <w:rPr>
          <w:rFonts w:hint="eastAsia" w:ascii="仿宋" w:hAnsi="仿宋" w:eastAsia="仿宋" w:cs="方正小标宋简体"/>
          <w:color w:val="000000" w:themeColor="text1"/>
          <w:sz w:val="32"/>
          <w:szCs w:val="32"/>
          <w14:textFill>
            <w14:solidFill>
              <w14:schemeClr w14:val="tx1"/>
            </w14:solidFill>
          </w14:textFill>
        </w:rPr>
        <w:t>2023年度华容县市容环境卫生服务中心其他城乡社区公共卫生设施项目支出</w:t>
      </w:r>
      <w:r>
        <w:rPr>
          <w:rFonts w:hint="eastAsia" w:ascii="仿宋" w:hAnsi="仿宋" w:eastAsia="仿宋"/>
          <w:sz w:val="32"/>
          <w:szCs w:val="32"/>
        </w:rPr>
        <w:t>3864.54万元，其中（1）临聘人员工资福利3464.54万元；⑵城乡垃圾转运站28座（投入运营28座、中心城区9座由于建设时间久远已严重老化）；开支费用200万元。⑶公共厕所53座（因管道严重堵塞7座、急需升级改造14座）；开支费用160万元。⑷塑钢垃圾桶2047个；果皮箱311个；密闭式垃圾箱230个；共支出费用40万元。</w:t>
      </w:r>
    </w:p>
    <w:p>
      <w:pPr>
        <w:pStyle w:val="10"/>
        <w:keepNext w:val="0"/>
        <w:keepLines w:val="0"/>
        <w:pageBreakBefore w:val="0"/>
        <w:widowControl/>
        <w:kinsoku/>
        <w:wordWrap/>
        <w:overflowPunct/>
        <w:topLinePunct w:val="0"/>
        <w:autoSpaceDE/>
        <w:autoSpaceDN/>
        <w:bidi w:val="0"/>
        <w:adjustRightInd/>
        <w:snapToGrid/>
        <w:spacing w:before="0" w:beforeAutospacing="0" w:after="0" w:afterAutospacing="0" w:line="580" w:lineRule="exact"/>
        <w:ind w:firstLine="420"/>
        <w:textAlignment w:val="auto"/>
        <w:rPr>
          <w:rFonts w:hint="eastAsia" w:ascii="仿宋" w:hAnsi="仿宋" w:eastAsia="仿宋"/>
          <w:sz w:val="32"/>
          <w:szCs w:val="32"/>
        </w:rPr>
      </w:pPr>
      <w:r>
        <w:rPr>
          <w:rFonts w:hint="eastAsia" w:ascii="仿宋" w:hAnsi="仿宋" w:eastAsia="仿宋"/>
          <w:color w:val="000000"/>
          <w:sz w:val="32"/>
          <w:szCs w:val="32"/>
        </w:rPr>
        <w:t>今年以来，县市容环卫中心紧扣“服务做优、职能做强、阵地做大”目标定位，围绕标准化、精细化、网格化、信息化、机械化及市场化要求，进一步完善环卫市场化机制，树立精细化管理理念，推动城市市容环卫工作行稳、质优、势好。</w:t>
      </w:r>
      <w:r>
        <w:rPr>
          <w:rFonts w:hint="eastAsia" w:ascii="仿宋" w:hAnsi="仿宋" w:eastAsia="仿宋" w:cs="宋体"/>
          <w:sz w:val="32"/>
          <w:szCs w:val="32"/>
        </w:rPr>
        <w:t>县城</w:t>
      </w:r>
      <w:r>
        <w:rPr>
          <w:rFonts w:hint="eastAsia" w:ascii="仿宋" w:hAnsi="仿宋" w:eastAsia="仿宋"/>
          <w:sz w:val="32"/>
          <w:szCs w:val="32"/>
        </w:rPr>
        <w:t>环境卫生管理取得明显成效，卫生面貌明显改观。现就有关情况总结如下：</w:t>
      </w:r>
    </w:p>
    <w:p>
      <w:pPr>
        <w:pStyle w:val="10"/>
        <w:keepNext w:val="0"/>
        <w:keepLines w:val="0"/>
        <w:pageBreakBefore w:val="0"/>
        <w:widowControl/>
        <w:kinsoku/>
        <w:wordWrap/>
        <w:overflowPunct/>
        <w:topLinePunct w:val="0"/>
        <w:autoSpaceDE/>
        <w:autoSpaceDN/>
        <w:bidi w:val="0"/>
        <w:adjustRightInd/>
        <w:snapToGrid/>
        <w:spacing w:before="0" w:beforeAutospacing="0" w:after="0" w:afterAutospacing="0" w:line="580" w:lineRule="exact"/>
        <w:ind w:firstLine="420"/>
        <w:textAlignment w:val="auto"/>
        <w:rPr>
          <w:rFonts w:ascii="仿宋" w:hAnsi="仿宋" w:eastAsia="仿宋"/>
          <w:sz w:val="32"/>
          <w:szCs w:val="32"/>
        </w:rPr>
      </w:pPr>
      <w:r>
        <w:rPr>
          <w:rFonts w:hint="eastAsia" w:ascii="楷体" w:hAnsi="楷体" w:eastAsia="楷体" w:cs="宋体"/>
          <w:b/>
          <w:sz w:val="32"/>
          <w:szCs w:val="32"/>
        </w:rPr>
        <w:t>（一）强力推进固文创卫迎检</w:t>
      </w:r>
      <w:r>
        <w:rPr>
          <w:rFonts w:hint="eastAsia" w:ascii="楷体" w:hAnsi="楷体" w:eastAsia="楷体"/>
          <w:b/>
          <w:sz w:val="32"/>
          <w:szCs w:val="32"/>
        </w:rPr>
        <w:t>工作。</w:t>
      </w:r>
      <w:r>
        <w:rPr>
          <w:rFonts w:hint="eastAsia" w:ascii="仿宋" w:hAnsi="仿宋" w:eastAsia="仿宋"/>
          <w:sz w:val="32"/>
          <w:szCs w:val="32"/>
        </w:rPr>
        <w:t>一是全面贯彻全县创文固卫工作交办会议精神，举全中心之力打响</w:t>
      </w:r>
      <w:r>
        <w:rPr>
          <w:rFonts w:hint="eastAsia" w:ascii="仿宋" w:hAnsi="仿宋" w:eastAsia="仿宋" w:cs="仿宋_GB2312"/>
          <w:sz w:val="32"/>
          <w:szCs w:val="32"/>
        </w:rPr>
        <w:t>复审迎检</w:t>
      </w:r>
      <w:r>
        <w:rPr>
          <w:rFonts w:hint="eastAsia" w:ascii="仿宋" w:hAnsi="仿宋" w:eastAsia="仿宋"/>
          <w:sz w:val="32"/>
          <w:szCs w:val="32"/>
        </w:rPr>
        <w:t>攻坚战，明确重点再加劲，突出抓手促提升，认真制定了《关于</w:t>
      </w:r>
      <w:r>
        <w:rPr>
          <w:rFonts w:hint="eastAsia" w:ascii="仿宋" w:hAnsi="仿宋" w:eastAsia="仿宋" w:cs="仿宋"/>
          <w:bCs/>
          <w:sz w:val="32"/>
          <w:szCs w:val="32"/>
        </w:rPr>
        <w:t>组织开展“双创”环境卫生专项整治行动</w:t>
      </w:r>
      <w:r>
        <w:rPr>
          <w:rFonts w:hint="eastAsia" w:ascii="仿宋" w:hAnsi="仿宋" w:eastAsia="仿宋"/>
          <w:sz w:val="32"/>
          <w:szCs w:val="32"/>
        </w:rPr>
        <w:t>方案》，坚持“5+2”、“白+黑”工作模式，配足专业人员，配齐专用设备，对标对表补齐短板，确保</w:t>
      </w:r>
      <w:r>
        <w:rPr>
          <w:rFonts w:hint="eastAsia" w:ascii="仿宋" w:hAnsi="仿宋" w:eastAsia="仿宋" w:cs="仿宋_GB2312"/>
          <w:sz w:val="32"/>
          <w:szCs w:val="32"/>
        </w:rPr>
        <w:t>复审迎检</w:t>
      </w:r>
      <w:r>
        <w:rPr>
          <w:rFonts w:hint="eastAsia" w:ascii="仿宋" w:hAnsi="仿宋" w:eastAsia="仿宋"/>
          <w:sz w:val="32"/>
          <w:szCs w:val="32"/>
        </w:rPr>
        <w:t>工作做到动员快、整改实、成效好。二是全天候实施“两扫一保”作业制度，</w:t>
      </w:r>
      <w:r>
        <w:rPr>
          <w:rFonts w:hint="eastAsia" w:ascii="仿宋" w:hAnsi="仿宋" w:eastAsia="仿宋" w:cs="仿宋_GB2312"/>
          <w:sz w:val="32"/>
          <w:szCs w:val="32"/>
        </w:rPr>
        <w:t>及时清扫</w:t>
      </w:r>
      <w:r>
        <w:rPr>
          <w:rFonts w:hint="eastAsia" w:ascii="仿宋" w:hAnsi="仿宋" w:eastAsia="仿宋" w:cs="仿宋"/>
          <w:color w:val="000000"/>
          <w:sz w:val="32"/>
          <w:szCs w:val="32"/>
          <w:shd w:val="clear" w:color="auto" w:fill="FFFFFF"/>
        </w:rPr>
        <w:t>主要道路、</w:t>
      </w:r>
      <w:r>
        <w:rPr>
          <w:rFonts w:hint="eastAsia" w:ascii="仿宋" w:hAnsi="仿宋" w:eastAsia="仿宋" w:cs="仿宋_GB2312"/>
          <w:sz w:val="32"/>
          <w:szCs w:val="32"/>
        </w:rPr>
        <w:t>绿化带、</w:t>
      </w:r>
      <w:r>
        <w:rPr>
          <w:rFonts w:hint="eastAsia" w:ascii="仿宋" w:hAnsi="仿宋" w:eastAsia="仿宋" w:cs="仿宋"/>
          <w:color w:val="000000"/>
          <w:sz w:val="32"/>
          <w:szCs w:val="32"/>
          <w:shd w:val="clear" w:color="auto" w:fill="FFFFFF"/>
        </w:rPr>
        <w:t>树蔸草丛、</w:t>
      </w:r>
      <w:r>
        <w:rPr>
          <w:rFonts w:hint="eastAsia" w:ascii="仿宋" w:hAnsi="仿宋" w:eastAsia="仿宋" w:cs="仿宋_GB2312"/>
          <w:sz w:val="32"/>
          <w:szCs w:val="32"/>
        </w:rPr>
        <w:t>渠化岛及城乡接合部、</w:t>
      </w:r>
      <w:r>
        <w:rPr>
          <w:rFonts w:hint="eastAsia" w:ascii="仿宋" w:hAnsi="仿宋" w:eastAsia="仿宋"/>
          <w:sz w:val="32"/>
          <w:szCs w:val="32"/>
        </w:rPr>
        <w:t>各建制小区</w:t>
      </w:r>
      <w:r>
        <w:rPr>
          <w:rFonts w:hint="eastAsia" w:ascii="仿宋" w:hAnsi="仿宋" w:eastAsia="仿宋" w:cs="仿宋_GB2312"/>
          <w:sz w:val="32"/>
          <w:szCs w:val="32"/>
        </w:rPr>
        <w:t>交接处</w:t>
      </w:r>
      <w:r>
        <w:rPr>
          <w:rFonts w:hint="eastAsia" w:ascii="仿宋" w:hAnsi="仿宋" w:eastAsia="仿宋" w:cs="仿宋"/>
          <w:color w:val="000000"/>
          <w:sz w:val="32"/>
          <w:szCs w:val="32"/>
          <w:shd w:val="clear" w:color="auto" w:fill="FFFFFF"/>
        </w:rPr>
        <w:t>偏僻地段</w:t>
      </w:r>
      <w:r>
        <w:rPr>
          <w:rFonts w:hint="eastAsia" w:ascii="仿宋" w:hAnsi="仿宋" w:eastAsia="仿宋" w:cs="仿宋_GB2312"/>
          <w:sz w:val="32"/>
          <w:szCs w:val="32"/>
        </w:rPr>
        <w:t>卫生死角</w:t>
      </w:r>
      <w:r>
        <w:rPr>
          <w:rFonts w:hint="eastAsia" w:ascii="仿宋" w:hAnsi="仿宋" w:eastAsia="仿宋"/>
          <w:sz w:val="32"/>
          <w:szCs w:val="32"/>
        </w:rPr>
        <w:t>，</w:t>
      </w:r>
      <w:r>
        <w:rPr>
          <w:rFonts w:hint="eastAsia" w:ascii="仿宋" w:hAnsi="仿宋" w:eastAsia="仿宋" w:cs="仿宋"/>
          <w:color w:val="000000"/>
          <w:sz w:val="32"/>
          <w:szCs w:val="32"/>
          <w:shd w:val="clear" w:color="auto" w:fill="FFFFFF"/>
        </w:rPr>
        <w:t>及时清掏道路两侧的两分类垃圾桶、果皮箱内垃圾，确保日常保洁时间不低于12个小时，重要地段不低于16个小时。早上7点之前要完成普扫作业。</w:t>
      </w:r>
      <w:r>
        <w:rPr>
          <w:rFonts w:hint="eastAsia" w:ascii="仿宋" w:hAnsi="仿宋" w:eastAsia="仿宋"/>
          <w:sz w:val="32"/>
          <w:szCs w:val="32"/>
        </w:rPr>
        <w:t>三是</w:t>
      </w:r>
      <w:r>
        <w:rPr>
          <w:rFonts w:hint="eastAsia" w:ascii="仿宋" w:hAnsi="仿宋" w:eastAsia="仿宋" w:cs="仿宋"/>
          <w:color w:val="000000"/>
          <w:sz w:val="32"/>
          <w:szCs w:val="32"/>
          <w:shd w:val="clear" w:color="auto" w:fill="FFFFFF"/>
        </w:rPr>
        <w:t>全天候道路洒水、冲洗路面、渠化岛，对城市广场路面所遗留的油迹、污渍进行强碱清洗，及时清洗垃圾桶、果皮箱等市政设施，保持容器干净整洁。</w:t>
      </w:r>
      <w:r>
        <w:rPr>
          <w:rFonts w:hint="eastAsia" w:ascii="仿宋" w:hAnsi="仿宋" w:eastAsia="仿宋"/>
          <w:sz w:val="32"/>
          <w:szCs w:val="32"/>
        </w:rPr>
        <w:t>四是以城乡接合部、偏僻地段等主要路段为突破口，</w:t>
      </w:r>
      <w:r>
        <w:rPr>
          <w:rFonts w:hint="eastAsia" w:ascii="仿宋" w:hAnsi="仿宋" w:eastAsia="仿宋" w:cs="仿宋"/>
          <w:color w:val="000000"/>
          <w:sz w:val="32"/>
          <w:szCs w:val="32"/>
          <w:shd w:val="clear" w:color="auto" w:fill="FFFFFF"/>
        </w:rPr>
        <w:t>加大背街小巷、城乡接合部及老旧小区等地段积存垃圾抢运力度，</w:t>
      </w:r>
      <w:r>
        <w:rPr>
          <w:rFonts w:hint="eastAsia" w:ascii="仿宋" w:hAnsi="仿宋" w:eastAsia="仿宋"/>
          <w:sz w:val="32"/>
          <w:szCs w:val="32"/>
        </w:rPr>
        <w:t>投入经费9.7万余元，调配挖机、铲车及收集运输车130台次，重点对</w:t>
      </w:r>
      <w:r>
        <w:rPr>
          <w:rFonts w:hint="eastAsia" w:ascii="仿宋" w:hAnsi="仿宋" w:eastAsia="仿宋" w:cs="仿宋"/>
          <w:sz w:val="32"/>
          <w:szCs w:val="32"/>
        </w:rPr>
        <w:t>烈士陵园、白鼎山路、港西北路、马鞍山西路、</w:t>
      </w:r>
      <w:r>
        <w:rPr>
          <w:rFonts w:hint="eastAsia" w:ascii="仿宋" w:hAnsi="仿宋" w:eastAsia="仿宋"/>
          <w:sz w:val="32"/>
          <w:szCs w:val="32"/>
        </w:rPr>
        <w:t>迎宾北路、水乡街等重点部位进行集中整治，清运生活垃圾、建筑垃圾230车。</w:t>
      </w:r>
      <w:r>
        <w:rPr>
          <w:rFonts w:hint="eastAsia" w:ascii="仿宋" w:hAnsi="仿宋" w:eastAsia="仿宋" w:cs="仿宋"/>
          <w:color w:val="000000"/>
          <w:sz w:val="32"/>
          <w:szCs w:val="32"/>
          <w:shd w:val="clear" w:color="auto" w:fill="FFFFFF"/>
        </w:rPr>
        <w:t>确保城区垃圾收集清运不积压，车走地净、垃圾桶摆放整齐。</w:t>
      </w:r>
      <w:r>
        <w:rPr>
          <w:rFonts w:hint="eastAsia" w:ascii="仿宋" w:hAnsi="仿宋" w:eastAsia="仿宋" w:cs="仿宋"/>
          <w:sz w:val="32"/>
          <w:szCs w:val="32"/>
        </w:rPr>
        <w:t>五是全面清理街道两边已破损、有污渍的垃圾箱(桶)，按照150米一个的标准，足量配置果皮箱且摆放合理，对杏花村东西路、沿河北路、范蠡路、解放路、状元文化街及附近街区破损的果皮桶进行更新置换380个，在港东路、港西路道路两侧投放两分类垃圾桶40个，并依次逐步对城区主街道破损的果皮桶进行更新置换。</w:t>
      </w:r>
      <w:r>
        <w:rPr>
          <w:rFonts w:hint="eastAsia" w:ascii="仿宋" w:hAnsi="仿宋" w:eastAsia="仿宋" w:cs="仿宋"/>
          <w:color w:val="000000"/>
          <w:sz w:val="32"/>
          <w:szCs w:val="32"/>
          <w:shd w:val="clear" w:color="auto" w:fill="FFFFFF"/>
        </w:rPr>
        <w:t xml:space="preserve">六是抓好垃圾转运站内外日常保洁，及时清洗设备设施，去除牛皮癣、蜘蛛网。建立垃圾压缩、渗滤液转运台帐，确保数据详实、准确无偏差。及时清运二桥垃圾站、工农桥垃圾站等临时堆放点放废旧沙发、烂桌椅等大件垃圾47车。 </w:t>
      </w:r>
      <w:r>
        <w:rPr>
          <w:rFonts w:hint="eastAsia" w:ascii="仿宋" w:hAnsi="仿宋" w:eastAsia="仿宋" w:cs="仿宋"/>
          <w:sz w:val="32"/>
          <w:szCs w:val="40"/>
        </w:rPr>
        <w:t>七是积极推进公厕提质改造，</w:t>
      </w:r>
      <w:r>
        <w:rPr>
          <w:rFonts w:hint="eastAsia" w:ascii="仿宋" w:hAnsi="仿宋" w:eastAsia="仿宋" w:cs="仿宋"/>
          <w:color w:val="000000"/>
          <w:sz w:val="32"/>
          <w:szCs w:val="32"/>
          <w:shd w:val="clear" w:color="auto" w:fill="FFFFFF"/>
        </w:rPr>
        <w:t>完成陵园街公厕的拆除、重建，对血防巷、机械厂、步行街、东门水码头及南城墙巷公司进行旱厕改水厕工程，对煤建巷、老石油公司及世纪联华公厕进行下水道改造，对南门、城中路、西下街及清水广场公厕进行屋面维修，对南街居委会、南街巷内公厕进行封存处理。</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仿宋" w:hAnsi="仿宋" w:eastAsia="仿宋"/>
          <w:sz w:val="32"/>
          <w:szCs w:val="32"/>
        </w:rPr>
      </w:pPr>
      <w:r>
        <w:rPr>
          <w:rFonts w:hint="eastAsia" w:ascii="楷体" w:hAnsi="楷体" w:eastAsia="楷体" w:cs="宋体"/>
          <w:b/>
          <w:kern w:val="0"/>
          <w:sz w:val="32"/>
          <w:szCs w:val="32"/>
        </w:rPr>
        <w:t>（二）</w:t>
      </w:r>
      <w:r>
        <w:rPr>
          <w:rFonts w:hint="eastAsia" w:ascii="楷体" w:hAnsi="楷体" w:eastAsia="楷体"/>
          <w:b/>
          <w:sz w:val="32"/>
          <w:szCs w:val="32"/>
        </w:rPr>
        <w:t>全力护航节会提升环卫保洁。</w:t>
      </w:r>
      <w:r>
        <w:rPr>
          <w:rFonts w:hint="eastAsia" w:ascii="仿宋" w:hAnsi="仿宋" w:eastAsia="仿宋"/>
          <w:sz w:val="32"/>
          <w:szCs w:val="32"/>
        </w:rPr>
        <w:t>在今年的“华容芥菜节”和“啤酒节”期间，为营造良好的节会环境氛围，</w:t>
      </w:r>
      <w:r>
        <w:rPr>
          <w:rFonts w:hint="eastAsia" w:ascii="仿宋" w:hAnsi="仿宋" w:eastAsia="仿宋" w:cs="Arial"/>
          <w:color w:val="191919"/>
          <w:sz w:val="32"/>
          <w:szCs w:val="32"/>
          <w:shd w:val="clear" w:color="auto" w:fill="FFFFFF"/>
        </w:rPr>
        <w:t>实行全时段、全值守、全方位的保障模式，采取多项措施扎实做好环境综合整治、夜间环卫保洁等工作。活动期间，广大环卫工人</w:t>
      </w:r>
      <w:r>
        <w:rPr>
          <w:rFonts w:hint="eastAsia" w:ascii="仿宋" w:hAnsi="仿宋" w:eastAsia="仿宋"/>
          <w:sz w:val="32"/>
          <w:szCs w:val="32"/>
        </w:rPr>
        <w:t>顶烈日</w:t>
      </w:r>
      <w:r>
        <w:rPr>
          <w:rFonts w:hint="eastAsia" w:ascii="仿宋" w:hAnsi="仿宋" w:eastAsia="仿宋"/>
          <w:bCs/>
          <w:sz w:val="32"/>
          <w:szCs w:val="32"/>
        </w:rPr>
        <w:t>战酷暑</w:t>
      </w:r>
      <w:r>
        <w:rPr>
          <w:rFonts w:hint="eastAsia" w:ascii="仿宋" w:hAnsi="仿宋" w:eastAsia="仿宋"/>
          <w:sz w:val="32"/>
          <w:szCs w:val="32"/>
        </w:rPr>
        <w:t>，</w:t>
      </w:r>
      <w:r>
        <w:rPr>
          <w:rFonts w:hint="eastAsia" w:ascii="仿宋" w:hAnsi="仿宋" w:eastAsia="仿宋" w:cs="Arial"/>
          <w:color w:val="191919"/>
          <w:sz w:val="32"/>
          <w:szCs w:val="32"/>
          <w:shd w:val="clear" w:color="auto" w:fill="FFFFFF"/>
        </w:rPr>
        <w:t>不怕脏累，始终忘我工作，坚持全天候、全方位卫生保洁，</w:t>
      </w:r>
      <w:r>
        <w:rPr>
          <w:rFonts w:hint="eastAsia" w:ascii="仿宋" w:hAnsi="仿宋" w:eastAsia="仿宋"/>
          <w:sz w:val="32"/>
          <w:szCs w:val="32"/>
        </w:rPr>
        <w:t>挥汗如雨用汗水为城市“美容”。共出动清洁员780人次，各类环卫机械车辆146台次，清理夜宵市场污渍43处，冲洗保洁面积15.2万</w:t>
      </w:r>
      <w:r>
        <w:rPr>
          <w:rFonts w:hint="eastAsia" w:ascii="仿宋" w:hAnsi="仿宋" w:eastAsia="仿宋"/>
          <w:color w:val="333333"/>
          <w:sz w:val="32"/>
          <w:szCs w:val="32"/>
        </w:rPr>
        <w:t>㎡</w:t>
      </w:r>
      <w:r>
        <w:rPr>
          <w:rFonts w:hint="eastAsia" w:ascii="仿宋" w:hAnsi="仿宋" w:eastAsia="仿宋"/>
          <w:bCs/>
          <w:color w:val="333333"/>
          <w:sz w:val="32"/>
          <w:szCs w:val="32"/>
        </w:rPr>
        <w:t>，</w:t>
      </w:r>
      <w:r>
        <w:rPr>
          <w:rFonts w:hint="eastAsia" w:ascii="仿宋" w:hAnsi="仿宋" w:eastAsia="仿宋"/>
          <w:sz w:val="32"/>
          <w:szCs w:val="32"/>
        </w:rPr>
        <w:t>清理华都国际、华容大道、滨江新城（三同御院）、杏花村、城市广场及港东港西路城乡接合部的生活垃圾、基建垃圾960余吨，维修、维护各类环卫设备82台次，投放移动公厕2座，塑钢垃圾桶80个，密封垃圾箱4个。</w:t>
      </w:r>
      <w:r>
        <w:rPr>
          <w:rFonts w:hint="eastAsia" w:ascii="仿宋" w:hAnsi="仿宋" w:eastAsia="仿宋" w:cs="Arial"/>
          <w:color w:val="191919"/>
          <w:sz w:val="32"/>
          <w:szCs w:val="32"/>
          <w:shd w:val="clear" w:color="auto" w:fill="FFFFFF"/>
        </w:rPr>
        <w:t>确保节会场地环境卫生洁化、美化，</w:t>
      </w:r>
      <w:r>
        <w:rPr>
          <w:rFonts w:hint="eastAsia" w:ascii="仿宋" w:hAnsi="仿宋" w:eastAsia="仿宋"/>
          <w:sz w:val="32"/>
          <w:szCs w:val="32"/>
        </w:rPr>
        <w:t>用实际行动诠释了“宁愿一人脏，换来万人洁”的无私奉献精神。</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楷体" w:hAnsi="楷体" w:eastAsia="楷体" w:cs="仿宋_GB2312"/>
          <w:b/>
          <w:sz w:val="32"/>
          <w:szCs w:val="32"/>
        </w:rPr>
      </w:pPr>
      <w:r>
        <w:rPr>
          <w:rFonts w:hint="eastAsia" w:ascii="楷体" w:hAnsi="楷体" w:eastAsia="楷体" w:cs="宋体"/>
          <w:b/>
          <w:kern w:val="0"/>
          <w:sz w:val="32"/>
          <w:szCs w:val="32"/>
        </w:rPr>
        <w:t>（三）</w:t>
      </w:r>
      <w:r>
        <w:rPr>
          <w:rFonts w:hint="eastAsia" w:ascii="楷体" w:hAnsi="楷体" w:eastAsia="楷体" w:cs="仿宋_GB2312"/>
          <w:b/>
          <w:sz w:val="32"/>
          <w:szCs w:val="32"/>
        </w:rPr>
        <w:t>规范实施服务项目政府采购</w:t>
      </w:r>
    </w:p>
    <w:p>
      <w:pPr>
        <w:keepNext w:val="0"/>
        <w:keepLines w:val="0"/>
        <w:pageBreakBefore w:val="0"/>
        <w:kinsoku/>
        <w:wordWrap/>
        <w:overflowPunct/>
        <w:topLinePunct w:val="0"/>
        <w:autoSpaceDE/>
        <w:autoSpaceDN/>
        <w:bidi w:val="0"/>
        <w:adjustRightInd/>
        <w:snapToGrid/>
        <w:spacing w:afterAutospacing="0" w:line="580" w:lineRule="exact"/>
        <w:ind w:firstLine="627" w:firstLineChars="196"/>
        <w:textAlignment w:val="auto"/>
        <w:rPr>
          <w:rFonts w:ascii="仿宋" w:hAnsi="仿宋" w:eastAsia="仿宋" w:cs="宋体"/>
          <w:kern w:val="0"/>
          <w:sz w:val="32"/>
          <w:szCs w:val="32"/>
        </w:rPr>
      </w:pPr>
      <w:r>
        <w:rPr>
          <w:rFonts w:hint="eastAsia" w:ascii="仿宋" w:hAnsi="仿宋" w:eastAsia="仿宋" w:cs="仿宋_GB2312"/>
          <w:sz w:val="32"/>
          <w:szCs w:val="32"/>
        </w:rPr>
        <w:t>按照国家政府采购法规定</w:t>
      </w:r>
      <w:r>
        <w:rPr>
          <w:rFonts w:hint="eastAsia" w:ascii="仿宋" w:hAnsi="仿宋" w:eastAsia="仿宋"/>
          <w:sz w:val="32"/>
          <w:szCs w:val="32"/>
        </w:rPr>
        <w:t>，依法实施环卫服务项目政府采购，田家湖生态新区</w:t>
      </w:r>
      <w:r>
        <w:rPr>
          <w:rFonts w:hint="eastAsia" w:ascii="仿宋" w:hAnsi="仿宋" w:eastAsia="仿宋" w:cs="宋体"/>
          <w:kern w:val="0"/>
          <w:sz w:val="32"/>
          <w:szCs w:val="32"/>
        </w:rPr>
        <w:t>清扫保洁、各乡镇生活垃圾收集运输、主次道路洒水、清洗及生活垃圾综合处理等服务项目已全面实施市场化运作，由具备资质的专业公司负责运营</w:t>
      </w:r>
      <w:r>
        <w:rPr>
          <w:rFonts w:hint="eastAsia" w:ascii="仿宋" w:hAnsi="仿宋" w:eastAsia="仿宋" w:cs="宋体"/>
          <w:color w:val="000000"/>
          <w:kern w:val="0"/>
          <w:sz w:val="32"/>
          <w:szCs w:val="32"/>
        </w:rPr>
        <w:t>。</w:t>
      </w:r>
      <w:r>
        <w:rPr>
          <w:rFonts w:hint="eastAsia" w:ascii="仿宋" w:hAnsi="仿宋" w:eastAsia="仿宋" w:cs="宋体"/>
          <w:kern w:val="0"/>
          <w:sz w:val="32"/>
          <w:szCs w:val="32"/>
        </w:rPr>
        <w:t>环卫作业</w:t>
      </w:r>
      <w:r>
        <w:rPr>
          <w:rFonts w:hint="eastAsia" w:ascii="仿宋" w:hAnsi="仿宋" w:eastAsia="仿宋"/>
          <w:sz w:val="32"/>
          <w:szCs w:val="32"/>
        </w:rPr>
        <w:t>实行市场化运作以来，优势日益显现，</w:t>
      </w:r>
      <w:r>
        <w:rPr>
          <w:rFonts w:hint="eastAsia" w:ascii="仿宋" w:hAnsi="仿宋" w:eastAsia="仿宋" w:cs="仿宋_GB2312"/>
          <w:color w:val="000000"/>
          <w:sz w:val="32"/>
          <w:szCs w:val="32"/>
          <w:shd w:val="clear" w:color="auto" w:fill="FFFFFF"/>
        </w:rPr>
        <w:t>提高了作业专业程度</w:t>
      </w:r>
      <w:r>
        <w:rPr>
          <w:rFonts w:hint="eastAsia" w:ascii="仿宋" w:hAnsi="仿宋" w:eastAsia="仿宋" w:cs="宋体"/>
          <w:kern w:val="0"/>
          <w:sz w:val="32"/>
          <w:szCs w:val="32"/>
        </w:rPr>
        <w:t>和服务效率</w:t>
      </w:r>
      <w:r>
        <w:rPr>
          <w:rFonts w:hint="eastAsia" w:ascii="仿宋" w:hAnsi="仿宋" w:eastAsia="仿宋" w:cs="仿宋_GB2312"/>
          <w:color w:val="000000"/>
          <w:sz w:val="32"/>
          <w:szCs w:val="32"/>
          <w:shd w:val="clear" w:color="auto" w:fill="FFFFFF"/>
        </w:rPr>
        <w:t>，</w:t>
      </w:r>
      <w:r>
        <w:rPr>
          <w:rFonts w:hint="eastAsia" w:ascii="仿宋" w:hAnsi="仿宋" w:eastAsia="仿宋" w:cs="宋体"/>
          <w:kern w:val="0"/>
          <w:sz w:val="32"/>
          <w:szCs w:val="32"/>
        </w:rPr>
        <w:t>有效避免了管理环节的矛盾。</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楷体" w:hAnsi="楷体" w:eastAsia="楷体" w:cs="仿宋_GB2312"/>
          <w:color w:val="000000"/>
          <w:sz w:val="32"/>
          <w:szCs w:val="32"/>
        </w:rPr>
      </w:pPr>
      <w:r>
        <w:rPr>
          <w:rFonts w:hint="eastAsia" w:ascii="楷体" w:hAnsi="楷体" w:eastAsia="楷体"/>
          <w:b/>
          <w:sz w:val="32"/>
          <w:szCs w:val="32"/>
        </w:rPr>
        <w:t>（四）</w:t>
      </w:r>
      <w:r>
        <w:rPr>
          <w:rFonts w:hint="eastAsia" w:ascii="楷体" w:hAnsi="楷体" w:eastAsia="楷体" w:cs="宋体"/>
          <w:b/>
          <w:kern w:val="0"/>
          <w:sz w:val="32"/>
          <w:szCs w:val="32"/>
        </w:rPr>
        <w:t>全面</w:t>
      </w:r>
      <w:r>
        <w:rPr>
          <w:rFonts w:hint="eastAsia" w:ascii="楷体" w:hAnsi="楷体" w:eastAsia="楷体" w:cs="仿宋_GB2312"/>
          <w:b/>
          <w:sz w:val="32"/>
          <w:szCs w:val="32"/>
        </w:rPr>
        <w:t>改善城市环境卫生质量</w:t>
      </w:r>
    </w:p>
    <w:p>
      <w:pPr>
        <w:keepNext w:val="0"/>
        <w:keepLines w:val="0"/>
        <w:pageBreakBefore w:val="0"/>
        <w:kinsoku/>
        <w:wordWrap/>
        <w:overflowPunct/>
        <w:topLinePunct w:val="0"/>
        <w:autoSpaceDE/>
        <w:autoSpaceDN/>
        <w:bidi w:val="0"/>
        <w:adjustRightInd/>
        <w:snapToGrid/>
        <w:spacing w:afterAutospacing="0" w:line="580" w:lineRule="exact"/>
        <w:ind w:firstLine="630"/>
        <w:textAlignment w:val="auto"/>
        <w:rPr>
          <w:rFonts w:ascii="仿宋" w:hAnsi="仿宋" w:eastAsia="仿宋" w:cs="仿宋_GB2312"/>
          <w:b/>
          <w:sz w:val="32"/>
          <w:szCs w:val="32"/>
        </w:rPr>
      </w:pPr>
      <w:r>
        <w:rPr>
          <w:rFonts w:hint="eastAsia" w:ascii="仿宋" w:hAnsi="仿宋" w:eastAsia="仿宋"/>
          <w:b/>
          <w:sz w:val="32"/>
          <w:szCs w:val="32"/>
        </w:rPr>
        <w:t>1、</w:t>
      </w:r>
      <w:r>
        <w:rPr>
          <w:rFonts w:hint="eastAsia" w:ascii="仿宋" w:hAnsi="仿宋" w:eastAsia="仿宋" w:cs="宋体"/>
          <w:b/>
          <w:kern w:val="0"/>
          <w:sz w:val="32"/>
          <w:szCs w:val="32"/>
        </w:rPr>
        <w:t>加快</w:t>
      </w:r>
      <w:r>
        <w:rPr>
          <w:rFonts w:hint="eastAsia" w:ascii="仿宋" w:hAnsi="仿宋" w:eastAsia="仿宋"/>
          <w:b/>
          <w:sz w:val="32"/>
          <w:szCs w:val="32"/>
        </w:rPr>
        <w:t>推进环卫市场化。</w:t>
      </w:r>
      <w:r>
        <w:rPr>
          <w:rFonts w:hint="eastAsia" w:ascii="仿宋" w:hAnsi="仿宋" w:eastAsia="仿宋"/>
          <w:sz w:val="32"/>
          <w:szCs w:val="32"/>
        </w:rPr>
        <w:t>2023年8月，城区洒水道路清洗服务外包项目已实行政府采购，中标价格为177.81万元，服务期限为3年，由洁臣环境科技（深圳）有限公司中标，现已签订政府采购合同，按照合同要求投放运行。</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仿宋" w:hAnsi="仿宋" w:eastAsia="仿宋" w:cs="仿宋_GB2312"/>
          <w:sz w:val="32"/>
          <w:szCs w:val="32"/>
        </w:rPr>
      </w:pPr>
      <w:r>
        <w:rPr>
          <w:rFonts w:hint="eastAsia" w:ascii="仿宋" w:hAnsi="仿宋" w:eastAsia="仿宋" w:cs="仿宋_GB2312"/>
          <w:b/>
          <w:sz w:val="32"/>
          <w:szCs w:val="32"/>
        </w:rPr>
        <w:t>2、道路清扫保洁长效化。</w:t>
      </w:r>
      <w:r>
        <w:rPr>
          <w:rFonts w:hint="eastAsia" w:ascii="仿宋" w:hAnsi="仿宋" w:eastAsia="仿宋" w:cs="仿宋_GB2312"/>
          <w:sz w:val="32"/>
          <w:szCs w:val="32"/>
        </w:rPr>
        <w:t>一是</w:t>
      </w:r>
      <w:r>
        <w:rPr>
          <w:rFonts w:hint="eastAsia" w:ascii="仿宋" w:hAnsi="仿宋" w:eastAsia="仿宋"/>
          <w:sz w:val="32"/>
          <w:szCs w:val="32"/>
        </w:rPr>
        <w:t>严格按照国家卫生城市标准清扫作业，落实“两扫一保”制度，经济责任承包区域划分为23个路段，实行两班倒清扫作业，强化重点路段、夜间环境卫生的保洁力度，繁华路段保洁至晚上12点，确保达到“六无六净”标准。二是</w:t>
      </w:r>
      <w:r>
        <w:rPr>
          <w:rFonts w:hint="eastAsia" w:ascii="仿宋" w:hAnsi="仿宋" w:eastAsia="仿宋" w:cs="仿宋_GB2312"/>
          <w:sz w:val="32"/>
          <w:szCs w:val="32"/>
        </w:rPr>
        <w:t>加强环卫机械化清扫作业，洗扫车每日对人民南路、华容大道、华鲇路、杏花村西路等主要道路机械洗扫，保洁员及时清洗垃圾桶、果皮箱等市政设施，保持容器干净整洁。</w:t>
      </w:r>
      <w:r>
        <w:rPr>
          <w:rFonts w:hint="eastAsia" w:ascii="仿宋" w:hAnsi="仿宋" w:eastAsia="仿宋"/>
          <w:sz w:val="32"/>
          <w:szCs w:val="32"/>
        </w:rPr>
        <w:t>三是按照县委、县政府及县创建指挥部的指示，</w:t>
      </w:r>
      <w:r>
        <w:rPr>
          <w:rFonts w:hint="eastAsia" w:ascii="仿宋" w:hAnsi="仿宋" w:eastAsia="仿宋"/>
          <w:color w:val="000000"/>
          <w:sz w:val="32"/>
          <w:szCs w:val="32"/>
        </w:rPr>
        <w:t>全面接管城市广场停车场、步步高新天地、新城大道等主次道路的</w:t>
      </w:r>
      <w:r>
        <w:rPr>
          <w:rFonts w:hint="eastAsia" w:ascii="仿宋" w:hAnsi="仿宋" w:eastAsia="仿宋" w:cs="Arial"/>
          <w:color w:val="333333"/>
          <w:sz w:val="32"/>
          <w:szCs w:val="32"/>
          <w:shd w:val="clear" w:color="auto" w:fill="FFFFFF"/>
        </w:rPr>
        <w:t>清扫保洁、垃圾收集运输作业，</w:t>
      </w:r>
      <w:r>
        <w:rPr>
          <w:rFonts w:hint="eastAsia" w:ascii="仿宋" w:hAnsi="仿宋" w:eastAsia="仿宋" w:cs="仿宋_GB2312"/>
          <w:sz w:val="32"/>
          <w:szCs w:val="32"/>
        </w:rPr>
        <w:t>促进了环卫事业的可持续发展。</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仿宋" w:hAnsi="仿宋" w:eastAsia="仿宋"/>
          <w:color w:val="000000"/>
          <w:sz w:val="32"/>
          <w:szCs w:val="32"/>
        </w:rPr>
      </w:pPr>
      <w:r>
        <w:rPr>
          <w:rFonts w:hint="eastAsia" w:ascii="仿宋" w:hAnsi="仿宋" w:eastAsia="仿宋" w:cs="仿宋_GB2312"/>
          <w:b/>
          <w:bCs/>
          <w:sz w:val="32"/>
          <w:szCs w:val="32"/>
        </w:rPr>
        <w:t>3、垃圾收集运输标准化。</w:t>
      </w:r>
      <w:r>
        <w:rPr>
          <w:rFonts w:hint="eastAsia" w:ascii="仿宋" w:hAnsi="仿宋" w:eastAsia="仿宋"/>
          <w:sz w:val="32"/>
          <w:szCs w:val="32"/>
        </w:rPr>
        <w:t>一是</w:t>
      </w:r>
      <w:r>
        <w:rPr>
          <w:rFonts w:hint="eastAsia" w:ascii="仿宋" w:hAnsi="仿宋" w:eastAsia="仿宋" w:cs="宋体"/>
          <w:color w:val="000000"/>
          <w:sz w:val="32"/>
          <w:szCs w:val="32"/>
        </w:rPr>
        <w:t>建立县域全覆盖生活垃圾收集运输系</w:t>
      </w:r>
      <w:r>
        <w:rPr>
          <w:rFonts w:hint="eastAsia" w:ascii="仿宋" w:hAnsi="仿宋" w:eastAsia="仿宋" w:cs="Arial"/>
          <w:sz w:val="32"/>
          <w:szCs w:val="32"/>
        </w:rPr>
        <w:t>统</w:t>
      </w:r>
      <w:r>
        <w:rPr>
          <w:rFonts w:hint="eastAsia" w:ascii="仿宋" w:hAnsi="仿宋" w:eastAsia="仿宋" w:cs="宋体"/>
          <w:color w:val="000000"/>
          <w:sz w:val="32"/>
          <w:szCs w:val="32"/>
        </w:rPr>
        <w:t>，</w:t>
      </w:r>
      <w:r>
        <w:rPr>
          <w:rFonts w:hint="eastAsia" w:ascii="仿宋" w:hAnsi="仿宋" w:eastAsia="仿宋"/>
          <w:sz w:val="32"/>
          <w:szCs w:val="32"/>
        </w:rPr>
        <w:t>形成了</w:t>
      </w:r>
      <w:r>
        <w:rPr>
          <w:rFonts w:hint="eastAsia" w:ascii="仿宋" w:hAnsi="仿宋" w:eastAsia="仿宋"/>
          <w:color w:val="000000"/>
          <w:sz w:val="32"/>
          <w:szCs w:val="32"/>
        </w:rPr>
        <w:t>生</w:t>
      </w:r>
      <w:r>
        <w:rPr>
          <w:rFonts w:hint="eastAsia" w:ascii="仿宋" w:hAnsi="仿宋" w:eastAsia="仿宋"/>
          <w:sz w:val="32"/>
          <w:szCs w:val="32"/>
        </w:rPr>
        <w:t>活垃圾</w:t>
      </w:r>
      <w:r>
        <w:rPr>
          <w:rFonts w:hint="eastAsia" w:ascii="仿宋" w:hAnsi="仿宋" w:eastAsia="仿宋" w:cs="宋体"/>
          <w:kern w:val="0"/>
          <w:sz w:val="32"/>
          <w:szCs w:val="32"/>
        </w:rPr>
        <w:t>分类投放、定时收集、密闭运输的</w:t>
      </w:r>
      <w:r>
        <w:rPr>
          <w:rFonts w:hint="eastAsia" w:ascii="仿宋" w:hAnsi="仿宋" w:eastAsia="仿宋"/>
          <w:color w:val="000000"/>
          <w:sz w:val="32"/>
          <w:szCs w:val="32"/>
        </w:rPr>
        <w:t>收集转运处理模式。加强环卫城乡统筹，全面落实“户收集、镇运输、县处理”运行模式，加快实现城乡环卫一体化。</w:t>
      </w:r>
      <w:r>
        <w:rPr>
          <w:rFonts w:hint="eastAsia" w:ascii="仿宋" w:hAnsi="仿宋" w:eastAsia="仿宋" w:cs="仿宋_GB2312"/>
          <w:bCs/>
          <w:sz w:val="32"/>
          <w:szCs w:val="32"/>
        </w:rPr>
        <w:t>二是</w:t>
      </w:r>
      <w:r>
        <w:rPr>
          <w:rFonts w:hint="eastAsia" w:ascii="仿宋" w:hAnsi="仿宋" w:eastAsia="仿宋"/>
          <w:sz w:val="32"/>
          <w:szCs w:val="32"/>
        </w:rPr>
        <w:t>建立生活垃圾定时、定点上门收集机制，清扫员采取电动三轮车巡回收集生活垃圾，集中运输至所属区域的垃圾转运站，经站内压缩处理，由密闭式转运车运输至鼎山垃圾填埋场进行无害化处理，确保及时高效收运，</w:t>
      </w:r>
      <w:r>
        <w:rPr>
          <w:rFonts w:hint="eastAsia" w:ascii="仿宋" w:hAnsi="仿宋" w:eastAsia="仿宋" w:cs="仿宋"/>
          <w:sz w:val="32"/>
          <w:szCs w:val="32"/>
        </w:rPr>
        <w:t>垃圾</w:t>
      </w:r>
      <w:r>
        <w:rPr>
          <w:rFonts w:hint="eastAsia" w:ascii="仿宋" w:hAnsi="仿宋" w:eastAsia="仿宋"/>
          <w:sz w:val="32"/>
          <w:szCs w:val="32"/>
        </w:rPr>
        <w:t>日产日清。</w:t>
      </w:r>
    </w:p>
    <w:p>
      <w:pPr>
        <w:keepNext w:val="0"/>
        <w:keepLines w:val="0"/>
        <w:pageBreakBefore w:val="0"/>
        <w:kinsoku/>
        <w:wordWrap/>
        <w:overflowPunct/>
        <w:topLinePunct w:val="0"/>
        <w:autoSpaceDE/>
        <w:autoSpaceDN/>
        <w:bidi w:val="0"/>
        <w:adjustRightInd/>
        <w:snapToGrid/>
        <w:spacing w:afterAutospacing="0" w:line="580" w:lineRule="exact"/>
        <w:ind w:firstLine="630" w:firstLineChars="196"/>
        <w:textAlignment w:val="auto"/>
        <w:rPr>
          <w:rFonts w:ascii="仿宋" w:hAnsi="仿宋" w:eastAsia="仿宋"/>
          <w:color w:val="000000"/>
          <w:sz w:val="32"/>
          <w:szCs w:val="32"/>
        </w:rPr>
      </w:pPr>
      <w:r>
        <w:rPr>
          <w:rFonts w:hint="eastAsia" w:ascii="仿宋" w:hAnsi="仿宋" w:eastAsia="仿宋" w:cs="仿宋_GB2312"/>
          <w:b/>
          <w:sz w:val="32"/>
          <w:szCs w:val="32"/>
        </w:rPr>
        <w:t>4</w:t>
      </w:r>
      <w:r>
        <w:rPr>
          <w:rFonts w:hint="eastAsia" w:ascii="仿宋" w:hAnsi="仿宋" w:eastAsia="仿宋" w:cs="仿宋_GB2312"/>
          <w:b/>
          <w:color w:val="000000"/>
          <w:kern w:val="0"/>
          <w:sz w:val="32"/>
          <w:szCs w:val="32"/>
        </w:rPr>
        <w:t>、</w:t>
      </w:r>
      <w:r>
        <w:rPr>
          <w:rFonts w:hint="eastAsia" w:ascii="仿宋" w:hAnsi="仿宋" w:eastAsia="仿宋"/>
          <w:b/>
          <w:sz w:val="32"/>
          <w:szCs w:val="32"/>
        </w:rPr>
        <w:t>道路洒水</w:t>
      </w:r>
      <w:r>
        <w:rPr>
          <w:rFonts w:hint="eastAsia" w:ascii="仿宋" w:hAnsi="仿宋" w:eastAsia="仿宋" w:cs="宋体"/>
          <w:b/>
          <w:color w:val="000000"/>
          <w:kern w:val="0"/>
          <w:sz w:val="32"/>
          <w:szCs w:val="32"/>
        </w:rPr>
        <w:t>清洗常态化。</w:t>
      </w:r>
      <w:r>
        <w:rPr>
          <w:rFonts w:hint="eastAsia" w:ascii="仿宋" w:hAnsi="仿宋" w:eastAsia="仿宋" w:cs="宋体"/>
          <w:color w:val="000000"/>
          <w:kern w:val="0"/>
          <w:sz w:val="32"/>
          <w:szCs w:val="32"/>
        </w:rPr>
        <w:t>一是</w:t>
      </w:r>
      <w:r>
        <w:rPr>
          <w:rFonts w:hint="eastAsia" w:ascii="仿宋" w:hAnsi="仿宋" w:eastAsia="仿宋"/>
          <w:sz w:val="32"/>
          <w:szCs w:val="32"/>
        </w:rPr>
        <w:t>建立健全定期洗街、抹街的工作机制，形成洒水车常规洒水降尘、清扫车重点冲洗、护栏清洗车定点清洗交通护拦的格局。二是</w:t>
      </w:r>
      <w:r>
        <w:rPr>
          <w:rFonts w:hint="eastAsia" w:ascii="仿宋" w:hAnsi="仿宋" w:eastAsia="仿宋"/>
          <w:color w:val="000000"/>
          <w:sz w:val="32"/>
          <w:szCs w:val="32"/>
        </w:rPr>
        <w:t>按照路段实际路况，采取人工和机械相结合方式，利用早中晚错峰时间，对快车道、人行道、渠化岛、桥墩等区域进行全面冲洗，实行定人、定车、定时、定标及定责的“五定”运行制度，路面和交通标志线见“本色”，确保道路“六无六净”，</w:t>
      </w:r>
      <w:r>
        <w:rPr>
          <w:rFonts w:hint="eastAsia" w:ascii="仿宋" w:hAnsi="仿宋" w:eastAsia="仿宋"/>
          <w:sz w:val="32"/>
          <w:szCs w:val="32"/>
        </w:rPr>
        <w:t>道路洒水及</w:t>
      </w:r>
      <w:r>
        <w:rPr>
          <w:rFonts w:hint="eastAsia" w:ascii="仿宋" w:hAnsi="仿宋" w:eastAsia="仿宋" w:cs="宋体"/>
          <w:color w:val="000000"/>
          <w:kern w:val="0"/>
          <w:sz w:val="32"/>
          <w:szCs w:val="32"/>
        </w:rPr>
        <w:t>清洗作业已形成常态化，</w:t>
      </w:r>
      <w:r>
        <w:rPr>
          <w:rFonts w:hint="eastAsia" w:ascii="仿宋" w:hAnsi="仿宋" w:eastAsia="仿宋"/>
          <w:sz w:val="32"/>
          <w:szCs w:val="32"/>
        </w:rPr>
        <w:t>实现了由定时扫街向定期洗街的转变。</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仿宋" w:hAnsi="仿宋" w:eastAsia="仿宋" w:cs="仿宋_GB2312"/>
          <w:kern w:val="0"/>
          <w:sz w:val="32"/>
          <w:szCs w:val="32"/>
        </w:rPr>
      </w:pPr>
      <w:r>
        <w:rPr>
          <w:rFonts w:hint="eastAsia" w:ascii="仿宋" w:hAnsi="仿宋" w:eastAsia="仿宋"/>
          <w:b/>
          <w:sz w:val="32"/>
          <w:szCs w:val="32"/>
        </w:rPr>
        <w:t>5、市容监察管理经常化。</w:t>
      </w:r>
      <w:r>
        <w:rPr>
          <w:rFonts w:hint="eastAsia" w:ascii="仿宋" w:hAnsi="仿宋" w:eastAsia="仿宋"/>
          <w:sz w:val="32"/>
          <w:szCs w:val="32"/>
        </w:rPr>
        <w:t>加强环卫政策法规宣传，向服务对象发放倡议书宣传资料0.5万份，</w:t>
      </w:r>
      <w:r>
        <w:rPr>
          <w:rFonts w:hint="eastAsia" w:ascii="仿宋" w:hAnsi="仿宋" w:eastAsia="仿宋" w:cs="Arial"/>
          <w:sz w:val="32"/>
          <w:szCs w:val="32"/>
        </w:rPr>
        <w:t>劝导和制止市民乱扔垃圾、乱倒污水等违纪行为60余起，</w:t>
      </w:r>
      <w:r>
        <w:rPr>
          <w:rFonts w:hint="eastAsia" w:ascii="仿宋" w:hAnsi="仿宋" w:eastAsia="仿宋" w:cs="仿宋_GB2312"/>
          <w:kern w:val="0"/>
          <w:sz w:val="32"/>
          <w:szCs w:val="32"/>
        </w:rPr>
        <w:t>依法处理</w:t>
      </w:r>
      <w:r>
        <w:rPr>
          <w:rFonts w:hint="eastAsia" w:ascii="仿宋" w:hAnsi="仿宋" w:eastAsia="仿宋"/>
          <w:sz w:val="32"/>
          <w:szCs w:val="32"/>
        </w:rPr>
        <w:t>单位及个人</w:t>
      </w:r>
      <w:r>
        <w:rPr>
          <w:rFonts w:hint="eastAsia" w:ascii="仿宋" w:hAnsi="仿宋" w:eastAsia="仿宋" w:cs="宋体"/>
          <w:color w:val="000000"/>
          <w:kern w:val="0"/>
          <w:sz w:val="32"/>
          <w:szCs w:val="32"/>
        </w:rPr>
        <w:t>影响环境卫生的行为40余起</w:t>
      </w:r>
      <w:r>
        <w:rPr>
          <w:rFonts w:hint="eastAsia" w:ascii="仿宋" w:hAnsi="仿宋" w:eastAsia="仿宋" w:cs="仿宋_GB2312"/>
          <w:kern w:val="0"/>
          <w:sz w:val="32"/>
          <w:szCs w:val="32"/>
        </w:rPr>
        <w:t>，并对重要路段、繁华地段进行长期管控和复查，实行常态化长效管理。</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楷体" w:hAnsi="楷体" w:eastAsia="楷体"/>
          <w:b/>
          <w:color w:val="000000"/>
          <w:sz w:val="32"/>
          <w:szCs w:val="32"/>
          <w:lang w:bidi="en-US"/>
        </w:rPr>
      </w:pPr>
      <w:r>
        <w:rPr>
          <w:rFonts w:hint="eastAsia" w:ascii="仿宋" w:hAnsi="仿宋" w:eastAsia="仿宋"/>
          <w:b/>
          <w:color w:val="000000"/>
          <w:sz w:val="32"/>
          <w:szCs w:val="32"/>
          <w:lang w:bidi="en-US"/>
        </w:rPr>
        <w:t>6、环卫综合考评日常化</w:t>
      </w:r>
      <w:r>
        <w:rPr>
          <w:rFonts w:hint="eastAsia" w:ascii="仿宋" w:hAnsi="仿宋" w:eastAsia="仿宋" w:cs="宋体"/>
          <w:b/>
          <w:color w:val="000000"/>
          <w:sz w:val="32"/>
          <w:szCs w:val="32"/>
          <w:lang w:bidi="en-US"/>
        </w:rPr>
        <w:t>。</w:t>
      </w:r>
      <w:r>
        <w:rPr>
          <w:rFonts w:hint="eastAsia" w:ascii="仿宋" w:hAnsi="仿宋" w:eastAsia="仿宋" w:cs="宋体"/>
          <w:color w:val="000000"/>
          <w:sz w:val="32"/>
          <w:szCs w:val="32"/>
          <w:lang w:bidi="en-US"/>
        </w:rPr>
        <w:t>一是制定了《城区环卫生产作业管理实施细则》，全面考核各岗位履职情况，细化、量化各项作业指标，形成责任明确、考评精细的工作模式。二是</w:t>
      </w:r>
      <w:r>
        <w:rPr>
          <w:rFonts w:hint="eastAsia" w:ascii="仿宋" w:hAnsi="仿宋" w:eastAsia="仿宋"/>
          <w:color w:val="000000"/>
          <w:sz w:val="32"/>
          <w:szCs w:val="32"/>
          <w:lang w:bidi="en-US"/>
        </w:rPr>
        <w:t>建立健全了考核讲评制度，</w:t>
      </w:r>
      <w:r>
        <w:rPr>
          <w:rFonts w:hint="eastAsia" w:ascii="仿宋" w:hAnsi="仿宋" w:eastAsia="仿宋" w:cs="宋体"/>
          <w:color w:val="000000"/>
          <w:sz w:val="32"/>
          <w:szCs w:val="32"/>
          <w:lang w:bidi="en-US"/>
        </w:rPr>
        <w:t>严格</w:t>
      </w:r>
      <w:r>
        <w:rPr>
          <w:rFonts w:hint="eastAsia" w:ascii="仿宋" w:hAnsi="仿宋" w:eastAsia="仿宋"/>
          <w:color w:val="000000"/>
          <w:sz w:val="32"/>
          <w:szCs w:val="32"/>
          <w:lang w:bidi="en-US"/>
        </w:rPr>
        <w:t>按照考评流程，实行</w:t>
      </w:r>
      <w:r>
        <w:rPr>
          <w:rFonts w:hint="eastAsia" w:ascii="仿宋" w:hAnsi="仿宋" w:eastAsia="仿宋" w:cs="宋体"/>
          <w:color w:val="000000"/>
          <w:kern w:val="0"/>
          <w:sz w:val="32"/>
          <w:szCs w:val="32"/>
          <w:lang w:bidi="en-US"/>
        </w:rPr>
        <w:t>“日检查、月考评、年终总评”管理机制</w:t>
      </w:r>
      <w:r>
        <w:rPr>
          <w:rFonts w:hint="eastAsia" w:ascii="仿宋" w:hAnsi="仿宋" w:eastAsia="仿宋"/>
          <w:color w:val="000000"/>
          <w:sz w:val="32"/>
          <w:szCs w:val="32"/>
          <w:lang w:bidi="en-US"/>
        </w:rPr>
        <w:t>，加强垃圾清扫、清运、洒水降尘、无害化处理作业考核，奖优罚劣，</w:t>
      </w:r>
      <w:r>
        <w:rPr>
          <w:rFonts w:hint="eastAsia" w:ascii="仿宋" w:hAnsi="仿宋" w:eastAsia="仿宋" w:cs="宋体"/>
          <w:color w:val="000000"/>
          <w:kern w:val="0"/>
          <w:sz w:val="32"/>
          <w:szCs w:val="32"/>
          <w:lang w:bidi="en-US"/>
        </w:rPr>
        <w:t>真正做到了责任全覆盖、检查全方位，确保全天候无缝隙、无盲区管理</w:t>
      </w:r>
      <w:r>
        <w:rPr>
          <w:rFonts w:hint="eastAsia" w:ascii="仿宋" w:hAnsi="仿宋" w:eastAsia="仿宋"/>
          <w:color w:val="000000"/>
          <w:sz w:val="32"/>
          <w:szCs w:val="32"/>
          <w:lang w:bidi="en-US"/>
        </w:rPr>
        <w:t>。</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仿宋" w:hAnsi="仿宋" w:eastAsia="仿宋" w:cs="宋体"/>
          <w:color w:val="000000"/>
          <w:kern w:val="0"/>
          <w:sz w:val="32"/>
          <w:szCs w:val="32"/>
          <w:lang w:val="zh-CN" w:bidi="en-US"/>
        </w:rPr>
      </w:pPr>
      <w:r>
        <w:rPr>
          <w:rFonts w:hint="eastAsia" w:ascii="楷体" w:hAnsi="楷体" w:eastAsia="楷体"/>
          <w:b/>
          <w:color w:val="000000"/>
          <w:sz w:val="32"/>
          <w:szCs w:val="32"/>
          <w:lang w:bidi="en-US"/>
        </w:rPr>
        <w:t>（五）规范有效监管垃圾处理运营。</w:t>
      </w:r>
      <w:r>
        <w:rPr>
          <w:rFonts w:hint="eastAsia" w:ascii="仿宋" w:hAnsi="仿宋" w:eastAsia="仿宋"/>
          <w:color w:val="000000"/>
          <w:sz w:val="32"/>
          <w:szCs w:val="32"/>
          <w:lang w:bidi="en-US"/>
        </w:rPr>
        <w:t>一是鼎山垃圾场</w:t>
      </w:r>
      <w:r>
        <w:rPr>
          <w:rFonts w:hint="eastAsia" w:ascii="仿宋" w:hAnsi="仿宋" w:eastAsia="仿宋" w:cs="仿宋_GB2312"/>
          <w:color w:val="000000"/>
          <w:sz w:val="32"/>
          <w:szCs w:val="32"/>
          <w:lang w:bidi="en-US"/>
        </w:rPr>
        <w:t>严格按照国家建设部《生活垃圾卫生填埋</w:t>
      </w:r>
      <w:r>
        <w:rPr>
          <w:rFonts w:hint="eastAsia" w:ascii="仿宋" w:hAnsi="仿宋" w:eastAsia="仿宋" w:cs="宋体"/>
          <w:color w:val="000000"/>
          <w:kern w:val="0"/>
          <w:sz w:val="32"/>
          <w:szCs w:val="32"/>
          <w:lang w:val="zh-CN" w:bidi="en-US"/>
        </w:rPr>
        <w:t>处理</w:t>
      </w:r>
      <w:r>
        <w:rPr>
          <w:rFonts w:hint="eastAsia" w:ascii="仿宋" w:hAnsi="仿宋" w:eastAsia="仿宋" w:cs="仿宋_GB2312"/>
          <w:color w:val="000000"/>
          <w:sz w:val="32"/>
          <w:szCs w:val="32"/>
          <w:lang w:bidi="en-US"/>
        </w:rPr>
        <w:t>技术规范》</w:t>
      </w:r>
      <w:r>
        <w:rPr>
          <w:rFonts w:hint="eastAsia" w:ascii="仿宋" w:hAnsi="仿宋" w:eastAsia="仿宋" w:cs="宋体"/>
          <w:color w:val="000000"/>
          <w:kern w:val="0"/>
          <w:sz w:val="32"/>
          <w:szCs w:val="32"/>
          <w:lang w:val="zh-CN" w:bidi="en-US"/>
        </w:rPr>
        <w:t>无害化卫生填埋生活垃圾，渗滤液采用</w:t>
      </w:r>
      <w:r>
        <w:rPr>
          <w:rFonts w:hint="eastAsia" w:ascii="仿宋" w:hAnsi="仿宋" w:eastAsia="仿宋"/>
          <w:color w:val="000000"/>
          <w:sz w:val="32"/>
          <w:szCs w:val="32"/>
          <w:lang w:bidi="en-US"/>
        </w:rPr>
        <w:t>MBR+纳滤膜+反渗透膜</w:t>
      </w:r>
      <w:r>
        <w:rPr>
          <w:rFonts w:hint="eastAsia" w:ascii="仿宋" w:hAnsi="仿宋" w:eastAsia="仿宋" w:cs="宋体"/>
          <w:color w:val="000000"/>
          <w:kern w:val="0"/>
          <w:sz w:val="32"/>
          <w:szCs w:val="32"/>
          <w:lang w:bidi="en-US"/>
        </w:rPr>
        <w:t>系统</w:t>
      </w:r>
      <w:r>
        <w:rPr>
          <w:rFonts w:hint="eastAsia" w:ascii="仿宋" w:hAnsi="仿宋" w:eastAsia="仿宋" w:cs="宋体"/>
          <w:color w:val="000000"/>
          <w:kern w:val="0"/>
          <w:sz w:val="32"/>
          <w:szCs w:val="32"/>
          <w:lang w:val="zh-CN" w:bidi="en-US"/>
        </w:rPr>
        <w:t>处理工艺，今年</w:t>
      </w:r>
      <w:r>
        <w:rPr>
          <w:rFonts w:hint="eastAsia" w:ascii="仿宋" w:hAnsi="仿宋" w:eastAsia="仿宋" w:cs="宋体"/>
          <w:color w:val="000000"/>
          <w:kern w:val="0"/>
          <w:sz w:val="32"/>
          <w:szCs w:val="32"/>
          <w:lang w:bidi="en-US"/>
        </w:rPr>
        <w:t>1--11月份共处理生活垃圾量约</w:t>
      </w:r>
      <w:r>
        <w:rPr>
          <w:rFonts w:hint="eastAsia" w:ascii="仿宋" w:hAnsi="仿宋" w:eastAsia="仿宋" w:cs="宋体"/>
          <w:color w:val="000000"/>
          <w:kern w:val="0"/>
          <w:sz w:val="32"/>
          <w:szCs w:val="32"/>
          <w:lang w:val="zh-CN" w:bidi="en-US"/>
        </w:rPr>
        <w:t>8.73</w:t>
      </w:r>
      <w:r>
        <w:rPr>
          <w:rFonts w:hint="eastAsia" w:ascii="仿宋" w:hAnsi="仿宋" w:eastAsia="仿宋" w:cs="宋体"/>
          <w:color w:val="000000"/>
          <w:kern w:val="0"/>
          <w:sz w:val="32"/>
          <w:szCs w:val="32"/>
          <w:lang w:bidi="en-US"/>
        </w:rPr>
        <w:t>万吨，日均处理量约</w:t>
      </w:r>
      <w:r>
        <w:rPr>
          <w:rFonts w:hint="eastAsia" w:ascii="仿宋" w:hAnsi="仿宋" w:eastAsia="仿宋"/>
          <w:color w:val="000000"/>
          <w:sz w:val="32"/>
          <w:szCs w:val="32"/>
          <w:lang w:bidi="en-US"/>
        </w:rPr>
        <w:t>261</w:t>
      </w:r>
      <w:r>
        <w:rPr>
          <w:rFonts w:hint="eastAsia" w:ascii="仿宋" w:hAnsi="仿宋" w:eastAsia="仿宋" w:cs="宋体"/>
          <w:color w:val="000000"/>
          <w:kern w:val="0"/>
          <w:sz w:val="32"/>
          <w:szCs w:val="32"/>
          <w:lang w:bidi="en-US"/>
        </w:rPr>
        <w:t>吨</w:t>
      </w:r>
      <w:r>
        <w:rPr>
          <w:rFonts w:hint="eastAsia" w:ascii="仿宋" w:hAnsi="仿宋" w:eastAsia="仿宋"/>
          <w:color w:val="000000"/>
          <w:sz w:val="32"/>
          <w:szCs w:val="32"/>
          <w:lang w:bidi="en-US"/>
        </w:rPr>
        <w:t>，</w:t>
      </w:r>
      <w:r>
        <w:rPr>
          <w:rFonts w:hint="eastAsia" w:ascii="仿宋" w:hAnsi="仿宋" w:eastAsia="仿宋" w:cs="宋体"/>
          <w:color w:val="000000"/>
          <w:kern w:val="0"/>
          <w:sz w:val="32"/>
          <w:szCs w:val="32"/>
          <w:lang w:bidi="en-US"/>
        </w:rPr>
        <w:t>处理渗滤液</w:t>
      </w:r>
      <w:r>
        <w:rPr>
          <w:rFonts w:hint="eastAsia" w:ascii="仿宋" w:hAnsi="仿宋" w:eastAsia="仿宋" w:cs="宋体"/>
          <w:color w:val="000000"/>
          <w:kern w:val="0"/>
          <w:sz w:val="32"/>
          <w:szCs w:val="32"/>
          <w:lang w:val="zh-CN" w:bidi="en-US"/>
        </w:rPr>
        <w:t>4.11</w:t>
      </w:r>
      <w:r>
        <w:rPr>
          <w:rFonts w:hint="eastAsia" w:ascii="仿宋" w:hAnsi="仿宋" w:eastAsia="仿宋" w:cs="宋体"/>
          <w:color w:val="000000"/>
          <w:kern w:val="0"/>
          <w:sz w:val="32"/>
          <w:szCs w:val="32"/>
          <w:lang w:bidi="en-US"/>
        </w:rPr>
        <w:t>万吨，</w:t>
      </w:r>
      <w:r>
        <w:rPr>
          <w:rFonts w:hint="eastAsia" w:ascii="仿宋" w:hAnsi="仿宋" w:eastAsia="仿宋"/>
          <w:color w:val="000000"/>
          <w:sz w:val="32"/>
          <w:szCs w:val="32"/>
          <w:lang w:bidi="en-US"/>
        </w:rPr>
        <w:t>稳定达标后经专用管道排放，</w:t>
      </w:r>
      <w:r>
        <w:rPr>
          <w:rFonts w:hint="eastAsia" w:ascii="仿宋" w:hAnsi="仿宋" w:eastAsia="仿宋" w:cs="宋体"/>
          <w:color w:val="000000"/>
          <w:kern w:val="0"/>
          <w:sz w:val="32"/>
          <w:szCs w:val="32"/>
          <w:lang w:bidi="en-US"/>
        </w:rPr>
        <w:t>确保生活垃圾</w:t>
      </w:r>
      <w:r>
        <w:rPr>
          <w:rFonts w:hint="eastAsia" w:ascii="仿宋" w:hAnsi="仿宋" w:eastAsia="仿宋" w:cs="仿宋_GB2312"/>
          <w:color w:val="000000"/>
          <w:sz w:val="32"/>
          <w:szCs w:val="32"/>
          <w:lang w:bidi="en-US"/>
        </w:rPr>
        <w:t>无害化处理率达100%</w:t>
      </w:r>
      <w:r>
        <w:rPr>
          <w:rFonts w:hint="eastAsia" w:ascii="仿宋" w:hAnsi="仿宋" w:eastAsia="仿宋" w:cs="宋体"/>
          <w:color w:val="000000"/>
          <w:kern w:val="0"/>
          <w:sz w:val="32"/>
          <w:szCs w:val="32"/>
          <w:lang w:val="zh-CN" w:bidi="en-US"/>
        </w:rPr>
        <w:t>。二是</w:t>
      </w:r>
      <w:r>
        <w:rPr>
          <w:rFonts w:hint="eastAsia" w:ascii="仿宋" w:hAnsi="仿宋" w:eastAsia="仿宋"/>
          <w:color w:val="000000"/>
          <w:sz w:val="32"/>
          <w:szCs w:val="32"/>
          <w:lang w:bidi="en-US"/>
        </w:rPr>
        <w:t>与第三方专业公司合作，投入1260万元安装6台沼气收集发电设备，</w:t>
      </w:r>
      <w:r>
        <w:rPr>
          <w:rFonts w:hint="eastAsia" w:ascii="仿宋" w:hAnsi="仿宋" w:eastAsia="仿宋" w:cs="仿宋_GB2312"/>
          <w:sz w:val="32"/>
          <w:szCs w:val="32"/>
          <w:lang w:bidi="en-US"/>
        </w:rPr>
        <w:t>通过导气管收集填埋气体，输送至沼气发电机组进行燃烧发电，</w:t>
      </w:r>
      <w:r>
        <w:rPr>
          <w:rFonts w:hint="eastAsia" w:ascii="仿宋" w:hAnsi="仿宋" w:eastAsia="仿宋"/>
          <w:color w:val="000000"/>
          <w:sz w:val="32"/>
          <w:szCs w:val="32"/>
          <w:lang w:bidi="en-US"/>
        </w:rPr>
        <w:t>目前已累计发电约2190万度。</w:t>
      </w:r>
      <w:r>
        <w:rPr>
          <w:rFonts w:hint="eastAsia" w:ascii="仿宋" w:hAnsi="仿宋" w:eastAsia="仿宋" w:cs="仿宋_GB2312"/>
          <w:sz w:val="32"/>
          <w:szCs w:val="32"/>
          <w:lang w:bidi="en-US"/>
        </w:rPr>
        <w:t>通过垃圾资源化利用，减少沼气排放，形成了生态效益、经济效益、社会效益多赢的良性局面。三</w:t>
      </w:r>
      <w:r>
        <w:rPr>
          <w:rFonts w:hint="eastAsia" w:ascii="仿宋" w:hAnsi="仿宋" w:eastAsia="仿宋"/>
          <w:color w:val="000000"/>
          <w:sz w:val="32"/>
          <w:szCs w:val="32"/>
          <w:lang w:bidi="en-US"/>
        </w:rPr>
        <w:t>是虎尾山垃圾填埋场渗滤液处理、绿化维护、水塘及沼气收集处理等各项工作正常有序开展。</w:t>
      </w:r>
    </w:p>
    <w:p>
      <w:pPr>
        <w:keepNext w:val="0"/>
        <w:keepLines w:val="0"/>
        <w:pageBreakBefore w:val="0"/>
        <w:kinsoku/>
        <w:wordWrap/>
        <w:overflowPunct/>
        <w:topLinePunct w:val="0"/>
        <w:autoSpaceDE/>
        <w:autoSpaceDN/>
        <w:bidi w:val="0"/>
        <w:adjustRightInd/>
        <w:snapToGrid/>
        <w:spacing w:afterAutospacing="0" w:line="580" w:lineRule="exact"/>
        <w:ind w:firstLine="602"/>
        <w:textAlignment w:val="auto"/>
        <w:rPr>
          <w:rFonts w:ascii="仿宋" w:hAnsi="仿宋" w:eastAsia="仿宋"/>
          <w:sz w:val="32"/>
          <w:szCs w:val="32"/>
        </w:rPr>
      </w:pPr>
      <w:r>
        <w:rPr>
          <w:rFonts w:hint="eastAsia" w:ascii="楷体" w:hAnsi="楷体" w:eastAsia="楷体"/>
          <w:b/>
          <w:color w:val="000000"/>
          <w:sz w:val="32"/>
          <w:szCs w:val="32"/>
        </w:rPr>
        <w:t>（六）全力推进污染防治攻坚。</w:t>
      </w:r>
      <w:r>
        <w:rPr>
          <w:rFonts w:hint="eastAsia" w:ascii="仿宋" w:hAnsi="仿宋" w:eastAsia="仿宋"/>
          <w:sz w:val="32"/>
          <w:szCs w:val="32"/>
        </w:rPr>
        <w:t>加大道路保洁管控力度，严格落实道路降尘措施，加班加点推动生态环境持续改善、生态系统持续优化、整体功能持续提升。一是划定大气管控核心区域、重点区域，以市生态环境局华容分局办公大楼为圆心，半径 1.5 公里内为核心区域，半径 3 公里内为重点区域。二是突出重点区域、重点路段、重点时段卫生保洁，灵活运用洒水车、高压洗扫车等机械车辆，对道路进行卫生保洁和扬尘治理，扩大洒水范围、增加洒水频次、延长路面保湿时间。三是进一步加大道路保洁力度，其中杏花村东路、迎宾北路、华容大道中路、港东北路、港西北路等核心区域道路确保每天机械化湿扫、吸扫不少于 3 次，晴天洒水不少于 8 次、高压冲洗不少于 2 次；华容大道西路、港东中路、港西中路等重点区域道路晴天洒水不少于 5 次，确保路面和交通标志线见“本色”，高频次洒水及冲洗作业形成常态化。</w:t>
      </w:r>
    </w:p>
    <w:p>
      <w:pPr>
        <w:keepNext w:val="0"/>
        <w:keepLines w:val="0"/>
        <w:pageBreakBefore w:val="0"/>
        <w:widowControl/>
        <w:kinsoku/>
        <w:wordWrap/>
        <w:overflowPunct/>
        <w:topLinePunct w:val="0"/>
        <w:autoSpaceDE/>
        <w:autoSpaceDN/>
        <w:bidi w:val="0"/>
        <w:adjustRightInd/>
        <w:snapToGrid/>
        <w:spacing w:afterAutospacing="0" w:line="580" w:lineRule="exact"/>
        <w:ind w:firstLine="643" w:firstLineChars="200"/>
        <w:jc w:val="left"/>
        <w:textAlignment w:val="auto"/>
        <w:rPr>
          <w:rFonts w:ascii="仿宋" w:hAnsi="仿宋" w:eastAsia="仿宋" w:cs="仿宋"/>
          <w:sz w:val="32"/>
          <w:szCs w:val="32"/>
        </w:rPr>
      </w:pPr>
      <w:r>
        <w:rPr>
          <w:rFonts w:hint="eastAsia" w:ascii="楷体" w:hAnsi="楷体" w:eastAsia="楷体"/>
          <w:b/>
          <w:sz w:val="32"/>
          <w:szCs w:val="32"/>
        </w:rPr>
        <w:t>（七）稳步推进环卫设施建设。</w:t>
      </w:r>
      <w:r>
        <w:rPr>
          <w:rFonts w:hint="eastAsia" w:ascii="仿宋" w:hAnsi="仿宋" w:eastAsia="仿宋"/>
          <w:sz w:val="32"/>
          <w:szCs w:val="32"/>
        </w:rPr>
        <w:t>一是累计投入资金89.35万元，采购垃圾收集车2台、电动三轮车5台、人力三轮车80台、塑钢垃圾桶700个、除臭药剂7吨。二是维修改造县中医院、清水村及杏花村等垃圾转运站下水道，维修更换杏花村垃圾转运站屋顶瓦片，及时</w:t>
      </w:r>
      <w:r>
        <w:rPr>
          <w:rFonts w:hint="eastAsia" w:ascii="仿宋" w:hAnsi="仿宋" w:eastAsia="仿宋" w:cs="仿宋_GB2312"/>
          <w:sz w:val="32"/>
          <w:szCs w:val="32"/>
        </w:rPr>
        <w:t>清除垃圾站墙体牛皮癣。</w:t>
      </w:r>
      <w:r>
        <w:rPr>
          <w:rFonts w:hint="eastAsia" w:ascii="仿宋" w:hAnsi="仿宋" w:eastAsia="仿宋"/>
          <w:sz w:val="32"/>
          <w:szCs w:val="32"/>
        </w:rPr>
        <w:t>三是配套制作公厕指路牌、标志牌、制度牌等各类标识牌</w:t>
      </w:r>
      <w:r>
        <w:rPr>
          <w:rFonts w:hint="eastAsia" w:ascii="仿宋" w:hAnsi="仿宋" w:eastAsia="仿宋" w:cs="仿宋_GB2312"/>
          <w:sz w:val="32"/>
          <w:szCs w:val="32"/>
        </w:rPr>
        <w:t>252</w:t>
      </w:r>
      <w:r>
        <w:rPr>
          <w:rFonts w:hint="eastAsia" w:ascii="仿宋" w:hAnsi="仿宋" w:eastAsia="仿宋"/>
          <w:sz w:val="32"/>
          <w:szCs w:val="32"/>
        </w:rPr>
        <w:t>块，</w:t>
      </w:r>
      <w:r>
        <w:rPr>
          <w:rFonts w:hint="eastAsia" w:ascii="仿宋" w:hAnsi="仿宋" w:eastAsia="仿宋" w:cs="仿宋"/>
          <w:color w:val="000000"/>
          <w:kern w:val="0"/>
          <w:sz w:val="32"/>
          <w:szCs w:val="32"/>
          <w:shd w:val="clear" w:color="auto" w:fill="FFFFFF"/>
        </w:rPr>
        <w:t>及时维修、更换损坏的设施，共</w:t>
      </w:r>
      <w:r>
        <w:rPr>
          <w:rFonts w:hint="eastAsia" w:ascii="仿宋" w:hAnsi="仿宋" w:eastAsia="仿宋"/>
          <w:sz w:val="32"/>
          <w:szCs w:val="32"/>
        </w:rPr>
        <w:t>更换水箱46个、洗脸盆33个、笼头85个及照明灯具74套，</w:t>
      </w:r>
      <w:r>
        <w:rPr>
          <w:rFonts w:hint="eastAsia" w:ascii="仿宋" w:hAnsi="仿宋" w:eastAsia="仿宋" w:cs="仿宋"/>
          <w:sz w:val="32"/>
          <w:szCs w:val="32"/>
        </w:rPr>
        <w:t>人工吸粪运输处理</w:t>
      </w:r>
      <w:r>
        <w:rPr>
          <w:rFonts w:hint="eastAsia" w:ascii="仿宋" w:hAnsi="仿宋" w:eastAsia="仿宋"/>
          <w:sz w:val="32"/>
          <w:szCs w:val="32"/>
        </w:rPr>
        <w:t>16次。四是</w:t>
      </w:r>
      <w:r>
        <w:rPr>
          <w:rFonts w:hint="eastAsia" w:ascii="仿宋" w:hAnsi="仿宋" w:eastAsia="仿宋" w:cs="仿宋"/>
          <w:color w:val="000000"/>
          <w:kern w:val="0"/>
          <w:sz w:val="32"/>
          <w:szCs w:val="32"/>
        </w:rPr>
        <w:t>已与城区广告果皮筒特许经营方达成拆除补偿协议，花费3.5万元中止特许经营权，完成了城区280个广告果皮筒拆除事项，彻底消除垃圾污染源头，</w:t>
      </w:r>
      <w:r>
        <w:rPr>
          <w:rFonts w:hint="eastAsia" w:ascii="仿宋" w:hAnsi="仿宋" w:eastAsia="仿宋"/>
          <w:sz w:val="32"/>
          <w:szCs w:val="32"/>
        </w:rPr>
        <w:t>营造了良好的文明创建氛围。</w:t>
      </w:r>
    </w:p>
    <w:p>
      <w:pPr>
        <w:keepNext w:val="0"/>
        <w:keepLines w:val="0"/>
        <w:pageBreakBefore w:val="0"/>
        <w:kinsoku/>
        <w:wordWrap/>
        <w:overflowPunct/>
        <w:topLinePunct w:val="0"/>
        <w:autoSpaceDE/>
        <w:autoSpaceDN/>
        <w:bidi w:val="0"/>
        <w:adjustRightInd/>
        <w:snapToGrid/>
        <w:spacing w:afterAutospacing="0" w:line="580" w:lineRule="exact"/>
        <w:ind w:firstLine="585"/>
        <w:textAlignment w:val="auto"/>
        <w:rPr>
          <w:rFonts w:ascii="仿宋" w:hAnsi="仿宋" w:eastAsia="仿宋"/>
          <w:sz w:val="32"/>
          <w:szCs w:val="32"/>
        </w:rPr>
      </w:pPr>
      <w:r>
        <w:rPr>
          <w:rFonts w:hint="eastAsia" w:ascii="楷体" w:hAnsi="楷体" w:eastAsia="楷体"/>
          <w:b/>
          <w:sz w:val="32"/>
          <w:szCs w:val="32"/>
        </w:rPr>
        <w:t>（八）规范管理垃圾转运站公厕。</w:t>
      </w:r>
      <w:r>
        <w:rPr>
          <w:rFonts w:hint="eastAsia" w:ascii="仿宋" w:hAnsi="仿宋" w:eastAsia="仿宋"/>
          <w:sz w:val="32"/>
          <w:szCs w:val="32"/>
        </w:rPr>
        <w:t>一是建立健全垃圾转运站各项管理制度，</w:t>
      </w:r>
      <w:r>
        <w:rPr>
          <w:rFonts w:hint="eastAsia" w:ascii="仿宋" w:hAnsi="仿宋" w:eastAsia="仿宋" w:cs="仿宋"/>
          <w:sz w:val="32"/>
          <w:szCs w:val="32"/>
        </w:rPr>
        <w:t>及时压缩处理垃圾，</w:t>
      </w:r>
      <w:r>
        <w:rPr>
          <w:rFonts w:hint="eastAsia" w:ascii="仿宋" w:hAnsi="仿宋" w:eastAsia="仿宋"/>
          <w:sz w:val="32"/>
          <w:szCs w:val="32"/>
        </w:rPr>
        <w:t>消除垃圾渗滤液，定时清洗被污染的设施和路面。二是完善生活垃圾、渗滤液处理登记台帐，确保收集、转出台帐手续完备，填写规范要素齐全，统计数据真实准确。定期开展机械设备运行情况安全检查，彻底消除各类安全隐患。</w:t>
      </w:r>
      <w:r>
        <w:rPr>
          <w:rFonts w:hint="eastAsia" w:ascii="仿宋" w:hAnsi="仿宋" w:eastAsia="仿宋" w:cs="仿宋"/>
          <w:color w:val="000000"/>
          <w:kern w:val="0"/>
          <w:sz w:val="32"/>
          <w:szCs w:val="32"/>
          <w:shd w:val="clear" w:color="auto" w:fill="FFFFFF"/>
        </w:rPr>
        <w:t>三是</w:t>
      </w:r>
      <w:r>
        <w:rPr>
          <w:rFonts w:hint="eastAsia" w:ascii="仿宋" w:hAnsi="仿宋" w:eastAsia="仿宋"/>
          <w:sz w:val="32"/>
          <w:szCs w:val="32"/>
        </w:rPr>
        <w:t>大力推进“厕所革命”，</w:t>
      </w:r>
      <w:r>
        <w:rPr>
          <w:rFonts w:hint="eastAsia" w:ascii="仿宋" w:hAnsi="仿宋" w:eastAsia="仿宋" w:cs="仿宋"/>
          <w:color w:val="000000"/>
          <w:kern w:val="0"/>
          <w:sz w:val="32"/>
          <w:szCs w:val="32"/>
          <w:shd w:val="clear" w:color="auto" w:fill="FFFFFF"/>
        </w:rPr>
        <w:t>分片包干全天候规范管理公厕，</w:t>
      </w:r>
      <w:r>
        <w:rPr>
          <w:rFonts w:hint="eastAsia" w:ascii="仿宋" w:hAnsi="仿宋" w:eastAsia="仿宋"/>
          <w:sz w:val="32"/>
          <w:szCs w:val="32"/>
        </w:rPr>
        <w:t>抓好日常卫生保洁，</w:t>
      </w:r>
      <w:r>
        <w:rPr>
          <w:rFonts w:hint="eastAsia" w:ascii="仿宋" w:hAnsi="仿宋" w:eastAsia="仿宋" w:cs="宋体"/>
          <w:color w:val="000000"/>
          <w:kern w:val="0"/>
          <w:sz w:val="32"/>
          <w:szCs w:val="32"/>
          <w:shd w:val="clear" w:color="auto" w:fill="FFFFFF"/>
        </w:rPr>
        <w:t>定期消毒和清除蚊蝇，</w:t>
      </w:r>
      <w:r>
        <w:rPr>
          <w:rFonts w:hint="eastAsia" w:ascii="仿宋" w:hAnsi="仿宋" w:eastAsia="仿宋"/>
          <w:sz w:val="32"/>
          <w:szCs w:val="32"/>
        </w:rPr>
        <w:t>消除卫生死角，</w:t>
      </w:r>
      <w:r>
        <w:rPr>
          <w:rFonts w:hint="eastAsia" w:ascii="仿宋" w:hAnsi="仿宋" w:eastAsia="仿宋" w:cs="宋体"/>
          <w:color w:val="000000"/>
          <w:kern w:val="0"/>
          <w:sz w:val="32"/>
          <w:szCs w:val="32"/>
          <w:shd w:val="clear" w:color="auto" w:fill="FFFFFF"/>
        </w:rPr>
        <w:t>保持室内外干净整洁，无异味。四是公厕标志标牌统一规范，</w:t>
      </w:r>
      <w:r>
        <w:rPr>
          <w:rFonts w:hint="eastAsia" w:ascii="仿宋" w:hAnsi="仿宋" w:eastAsia="仿宋"/>
          <w:sz w:val="32"/>
          <w:szCs w:val="32"/>
        </w:rPr>
        <w:t>配套</w:t>
      </w:r>
      <w:r>
        <w:rPr>
          <w:rFonts w:hint="eastAsia" w:ascii="仿宋" w:hAnsi="仿宋" w:eastAsia="仿宋" w:cs="仿宋_GB2312"/>
          <w:sz w:val="32"/>
          <w:szCs w:val="32"/>
        </w:rPr>
        <w:t>设置</w:t>
      </w:r>
      <w:r>
        <w:rPr>
          <w:rFonts w:hint="eastAsia" w:ascii="仿宋" w:hAnsi="仿宋" w:eastAsia="仿宋"/>
          <w:sz w:val="32"/>
          <w:szCs w:val="32"/>
        </w:rPr>
        <w:t>制作</w:t>
      </w:r>
      <w:r>
        <w:rPr>
          <w:rFonts w:hint="eastAsia" w:ascii="仿宋" w:hAnsi="仿宋" w:eastAsia="仿宋" w:cs="仿宋_GB2312"/>
          <w:sz w:val="32"/>
          <w:szCs w:val="32"/>
        </w:rPr>
        <w:t>指路牌、标志牌、制度牌等，确保公厕</w:t>
      </w:r>
      <w:r>
        <w:rPr>
          <w:rFonts w:hint="eastAsia" w:ascii="仿宋" w:hAnsi="仿宋" w:eastAsia="仿宋" w:cs="宋体"/>
          <w:color w:val="000000"/>
          <w:kern w:val="0"/>
          <w:sz w:val="32"/>
          <w:szCs w:val="32"/>
          <w:shd w:val="clear" w:color="auto" w:fill="FFFFFF"/>
        </w:rPr>
        <w:t>全天候对外开放</w:t>
      </w:r>
      <w:r>
        <w:rPr>
          <w:rFonts w:hint="eastAsia" w:ascii="仿宋" w:hAnsi="仿宋" w:eastAsia="仿宋"/>
          <w:sz w:val="32"/>
          <w:szCs w:val="32"/>
        </w:rPr>
        <w:t>，保洁率达100%。五是</w:t>
      </w:r>
      <w:r>
        <w:rPr>
          <w:rFonts w:hint="eastAsia" w:ascii="仿宋" w:hAnsi="仿宋" w:eastAsia="仿宋" w:cs="仿宋"/>
          <w:color w:val="000000"/>
          <w:kern w:val="0"/>
          <w:sz w:val="32"/>
          <w:szCs w:val="32"/>
          <w:shd w:val="clear" w:color="auto" w:fill="FFFFFF"/>
        </w:rPr>
        <w:t>加强公厕日常巡查、检修及保养，及时维修、更换损坏的设施，</w:t>
      </w:r>
      <w:r>
        <w:rPr>
          <w:rFonts w:hint="eastAsia" w:ascii="仿宋" w:hAnsi="仿宋" w:eastAsia="仿宋" w:cs="仿宋"/>
          <w:sz w:val="32"/>
          <w:szCs w:val="32"/>
        </w:rPr>
        <w:t>确</w:t>
      </w:r>
      <w:r>
        <w:rPr>
          <w:rFonts w:hint="eastAsia" w:ascii="仿宋" w:hAnsi="仿宋" w:eastAsia="仿宋" w:cs="仿宋"/>
          <w:color w:val="000000"/>
          <w:kern w:val="0"/>
          <w:sz w:val="32"/>
          <w:szCs w:val="32"/>
          <w:shd w:val="clear" w:color="auto" w:fill="FFFFFF"/>
        </w:rPr>
        <w:t>保公厕设施始终保持正常使用状态。</w:t>
      </w:r>
    </w:p>
    <w:p>
      <w:pPr>
        <w:keepNext w:val="0"/>
        <w:keepLines w:val="0"/>
        <w:pageBreakBefore w:val="0"/>
        <w:kinsoku/>
        <w:wordWrap/>
        <w:overflowPunct/>
        <w:topLinePunct w:val="0"/>
        <w:autoSpaceDE/>
        <w:autoSpaceDN/>
        <w:bidi w:val="0"/>
        <w:adjustRightInd/>
        <w:snapToGrid/>
        <w:spacing w:afterAutospacing="0" w:line="580" w:lineRule="exact"/>
        <w:ind w:firstLine="585"/>
        <w:textAlignment w:val="auto"/>
        <w:rPr>
          <w:rFonts w:ascii="仿宋" w:hAnsi="仿宋" w:eastAsia="仿宋"/>
          <w:sz w:val="32"/>
          <w:szCs w:val="32"/>
        </w:rPr>
      </w:pPr>
      <w:r>
        <w:rPr>
          <w:rFonts w:hint="eastAsia" w:ascii="楷体" w:hAnsi="楷体" w:eastAsia="楷体"/>
          <w:b/>
          <w:sz w:val="32"/>
          <w:szCs w:val="32"/>
        </w:rPr>
        <w:t>（九）配合推进生活垃圾分类工作。</w:t>
      </w:r>
      <w:r>
        <w:rPr>
          <w:rFonts w:hint="eastAsia" w:ascii="仿宋" w:hAnsi="仿宋" w:eastAsia="仿宋"/>
          <w:sz w:val="32"/>
          <w:szCs w:val="32"/>
        </w:rPr>
        <w:t>一是加强分类政策宣传引导，</w:t>
      </w:r>
      <w:r>
        <w:rPr>
          <w:rFonts w:hint="eastAsia" w:ascii="仿宋" w:hAnsi="仿宋" w:eastAsia="仿宋" w:cs="仿宋_GB2312"/>
          <w:sz w:val="32"/>
          <w:szCs w:val="32"/>
        </w:rPr>
        <w:t>依托单位院落宣传栏、大厅电子屏幕、各楼层宣传牌等展示平台，</w:t>
      </w:r>
      <w:r>
        <w:rPr>
          <w:rFonts w:hint="eastAsia" w:ascii="仿宋" w:hAnsi="仿宋" w:eastAsia="仿宋"/>
          <w:sz w:val="32"/>
          <w:szCs w:val="32"/>
        </w:rPr>
        <w:t>向干部职工、市民发放垃圾分类倡议书、宣传手册2万份，</w:t>
      </w:r>
      <w:r>
        <w:rPr>
          <w:rFonts w:hint="eastAsia" w:ascii="仿宋" w:hAnsi="仿宋" w:eastAsia="仿宋" w:cs="仿宋_GB2312"/>
          <w:sz w:val="32"/>
          <w:szCs w:val="32"/>
        </w:rPr>
        <w:t>宣传垃圾分类目录和模式，</w:t>
      </w:r>
      <w:r>
        <w:rPr>
          <w:rFonts w:hint="eastAsia" w:ascii="仿宋" w:hAnsi="仿宋" w:eastAsia="仿宋"/>
          <w:sz w:val="32"/>
          <w:szCs w:val="32"/>
        </w:rPr>
        <w:t>提高垃圾分类知晓率、准确率。二是加快推进餐厨垃圾处理设施建设，4月24日至4月27日，由县政府领导带队对有投建意向的3家餐厨垃圾运营企业进行了</w:t>
      </w:r>
      <w:r>
        <w:rPr>
          <w:rFonts w:hint="eastAsia" w:ascii="仿宋" w:hAnsi="仿宋" w:eastAsia="仿宋" w:cs="仿宋_GB2312"/>
          <w:sz w:val="32"/>
          <w:szCs w:val="32"/>
        </w:rPr>
        <w:t>实地综合考察。</w:t>
      </w:r>
      <w:r>
        <w:rPr>
          <w:rFonts w:hint="eastAsia" w:ascii="仿宋" w:hAnsi="仿宋" w:eastAsia="仿宋"/>
          <w:sz w:val="32"/>
          <w:szCs w:val="32"/>
        </w:rPr>
        <w:t>三是按照项目</w:t>
      </w:r>
      <w:r>
        <w:rPr>
          <w:rFonts w:hint="eastAsia" w:ascii="仿宋" w:hAnsi="仿宋" w:eastAsia="仿宋" w:cs="仿宋"/>
          <w:sz w:val="32"/>
          <w:szCs w:val="32"/>
        </w:rPr>
        <w:t>选址的基本原则，</w:t>
      </w:r>
      <w:r>
        <w:rPr>
          <w:rFonts w:hint="eastAsia" w:ascii="仿宋" w:hAnsi="仿宋" w:eastAsia="仿宋"/>
          <w:sz w:val="32"/>
          <w:szCs w:val="32"/>
        </w:rPr>
        <w:t>采取实地察看、现场交流及查阅资料等方式，</w:t>
      </w:r>
      <w:r>
        <w:rPr>
          <w:rFonts w:hint="eastAsia" w:ascii="仿宋" w:hAnsi="仿宋" w:eastAsia="仿宋" w:cs="仿宋"/>
          <w:sz w:val="32"/>
          <w:szCs w:val="32"/>
        </w:rPr>
        <w:t>初步确定</w:t>
      </w:r>
      <w:r>
        <w:rPr>
          <w:rFonts w:hint="eastAsia" w:ascii="仿宋" w:hAnsi="仿宋" w:eastAsia="仿宋" w:cs="仿宋_GB2312"/>
          <w:sz w:val="32"/>
          <w:szCs w:val="32"/>
        </w:rPr>
        <w:t>鼎山垃圾场内沼气发电场旁</w:t>
      </w:r>
      <w:r>
        <w:rPr>
          <w:rFonts w:hint="eastAsia" w:ascii="仿宋" w:hAnsi="仿宋" w:eastAsia="仿宋" w:cs="仿宋"/>
          <w:sz w:val="32"/>
          <w:szCs w:val="32"/>
        </w:rPr>
        <w:t>建设用地，并完成了土地测量、土地用途的确定。</w:t>
      </w:r>
      <w:r>
        <w:rPr>
          <w:rFonts w:hint="eastAsia" w:ascii="仿宋" w:hAnsi="仿宋" w:eastAsia="仿宋"/>
          <w:sz w:val="32"/>
          <w:szCs w:val="32"/>
        </w:rPr>
        <w:t>四是</w:t>
      </w:r>
      <w:r>
        <w:rPr>
          <w:rFonts w:hint="eastAsia" w:ascii="仿宋" w:hAnsi="仿宋" w:eastAsia="仿宋" w:cs="仿宋"/>
          <w:sz w:val="32"/>
          <w:szCs w:val="32"/>
        </w:rPr>
        <w:t>编制完成项目特许经营实施方案、项目可行性研究报告，完成政府党务会议决议书、财政局资金审核、环评意见书、建设意见书等前期立项资料。</w:t>
      </w:r>
    </w:p>
    <w:p>
      <w:pPr>
        <w:keepNext w:val="0"/>
        <w:keepLines w:val="0"/>
        <w:pageBreakBefore w:val="0"/>
        <w:kinsoku/>
        <w:wordWrap/>
        <w:overflowPunct/>
        <w:topLinePunct w:val="0"/>
        <w:autoSpaceDE/>
        <w:autoSpaceDN/>
        <w:bidi w:val="0"/>
        <w:adjustRightInd/>
        <w:snapToGrid/>
        <w:spacing w:afterAutospacing="0" w:line="580" w:lineRule="exact"/>
        <w:ind w:firstLine="640" w:firstLineChars="200"/>
        <w:textAlignment w:val="auto"/>
        <w:rPr>
          <w:rFonts w:ascii="黑体" w:hAnsi="黑体" w:eastAsia="黑体"/>
          <w:b w:val="0"/>
          <w:bCs/>
          <w:sz w:val="32"/>
          <w:szCs w:val="32"/>
        </w:rPr>
      </w:pPr>
      <w:r>
        <w:rPr>
          <w:rFonts w:ascii="黑体" w:hAnsi="黑体" w:eastAsia="黑体"/>
          <w:b w:val="0"/>
          <w:bCs/>
          <w:sz w:val="32"/>
          <w:szCs w:val="32"/>
        </w:rPr>
        <w:t>二、目前存在的问题</w:t>
      </w:r>
    </w:p>
    <w:p>
      <w:pPr>
        <w:keepNext w:val="0"/>
        <w:keepLines w:val="0"/>
        <w:pageBreakBefore w:val="0"/>
        <w:kinsoku/>
        <w:wordWrap/>
        <w:overflowPunct/>
        <w:topLinePunct w:val="0"/>
        <w:autoSpaceDE/>
        <w:autoSpaceDN/>
        <w:bidi w:val="0"/>
        <w:adjustRightInd/>
        <w:snapToGrid/>
        <w:spacing w:afterAutospacing="0" w:line="580" w:lineRule="exact"/>
        <w:ind w:firstLine="643" w:firstLineChars="200"/>
        <w:textAlignment w:val="auto"/>
        <w:rPr>
          <w:rFonts w:ascii="仿宋" w:hAnsi="仿宋" w:eastAsia="仿宋"/>
          <w:color w:val="000000"/>
          <w:sz w:val="32"/>
          <w:szCs w:val="32"/>
        </w:rPr>
      </w:pPr>
      <w:r>
        <w:rPr>
          <w:rFonts w:hint="eastAsia" w:ascii="楷体" w:hAnsi="楷体" w:eastAsia="楷体"/>
          <w:b/>
          <w:color w:val="000000"/>
          <w:sz w:val="32"/>
          <w:szCs w:val="32"/>
        </w:rPr>
        <w:t>（一）环卫基础设施严重老化。</w:t>
      </w:r>
      <w:r>
        <w:rPr>
          <w:rFonts w:hint="eastAsia" w:ascii="仿宋" w:hAnsi="仿宋" w:eastAsia="仿宋"/>
          <w:color w:val="000000"/>
          <w:sz w:val="32"/>
          <w:szCs w:val="32"/>
        </w:rPr>
        <w:t>由于环卫作业环境恶劣，任务繁重，设备设施长时间超负荷运行，造成设施严重老化。一是垃圾转运车辆、收集车辆，大多于十几年前购置，长时间作业现已破损不堪，“跑、冒、滴、漏”污染道路，存在着极大地安全隐患。二是按照公厕设置标准，现有公厕数量不足，曾有多名人大代表、政协委员具文提出新建、改扩建提案，且运行的公厕中还存在着旱厕，需要旱改水全面改造升级。</w:t>
      </w:r>
    </w:p>
    <w:p>
      <w:pPr>
        <w:keepNext w:val="0"/>
        <w:keepLines w:val="0"/>
        <w:pageBreakBefore w:val="0"/>
        <w:kinsoku/>
        <w:wordWrap/>
        <w:overflowPunct/>
        <w:topLinePunct w:val="0"/>
        <w:autoSpaceDE/>
        <w:autoSpaceDN/>
        <w:bidi w:val="0"/>
        <w:adjustRightInd/>
        <w:snapToGrid/>
        <w:spacing w:afterAutospacing="0" w:line="580" w:lineRule="exact"/>
        <w:ind w:firstLine="645"/>
        <w:textAlignment w:val="auto"/>
        <w:rPr>
          <w:rFonts w:ascii="楷体" w:hAnsi="楷体" w:eastAsia="楷体"/>
          <w:b/>
          <w:color w:val="000000"/>
          <w:sz w:val="32"/>
          <w:szCs w:val="32"/>
        </w:rPr>
      </w:pPr>
      <w:r>
        <w:rPr>
          <w:rFonts w:hint="eastAsia" w:ascii="楷体" w:hAnsi="楷体" w:eastAsia="楷体"/>
          <w:b/>
          <w:color w:val="000000"/>
          <w:sz w:val="32"/>
          <w:szCs w:val="32"/>
        </w:rPr>
        <w:t>（二）环卫保洁职能职责不明确。</w:t>
      </w:r>
      <w:r>
        <w:rPr>
          <w:rFonts w:hint="eastAsia" w:ascii="仿宋" w:hAnsi="仿宋" w:eastAsia="仿宋"/>
          <w:sz w:val="32"/>
          <w:szCs w:val="32"/>
        </w:rPr>
        <w:t>章华镇、田家湖生态新区所辖各社区负责背街小巷清扫保洁，将生活垃圾收集至垃圾桶内，县市容环卫中心负责将垃圾桶内的生活垃圾转运至垃圾转运站。这种运行管理模式运行10年以来，清扫保洁</w:t>
      </w:r>
      <w:r>
        <w:rPr>
          <w:rFonts w:hint="eastAsia" w:ascii="仿宋" w:hAnsi="仿宋" w:eastAsia="仿宋"/>
          <w:bCs/>
          <w:sz w:val="32"/>
          <w:szCs w:val="32"/>
        </w:rPr>
        <w:t>存在</w:t>
      </w:r>
      <w:r>
        <w:rPr>
          <w:rFonts w:hint="eastAsia" w:ascii="仿宋" w:hAnsi="仿宋" w:eastAsia="仿宋"/>
          <w:sz w:val="32"/>
          <w:szCs w:val="32"/>
        </w:rPr>
        <w:t>作业标准、作业时间、考核标准不同步、不统一</w:t>
      </w:r>
      <w:r>
        <w:rPr>
          <w:rFonts w:hint="eastAsia" w:ascii="仿宋" w:hAnsi="仿宋" w:eastAsia="仿宋"/>
          <w:bCs/>
          <w:sz w:val="32"/>
          <w:szCs w:val="32"/>
        </w:rPr>
        <w:t>的问题，</w:t>
      </w:r>
      <w:r>
        <w:rPr>
          <w:rFonts w:hint="eastAsia" w:ascii="仿宋" w:hAnsi="仿宋" w:eastAsia="仿宋"/>
          <w:sz w:val="32"/>
          <w:szCs w:val="32"/>
        </w:rPr>
        <w:t>影响了城区环卫保洁工作的整体水平，特别是主要道路、城乡接合部、背街小巷之间的结合部，卫生保洁易形成责任不明晰、相互推诿扯皮问题，而作为城市环卫主管部门却不能充分发挥指导监管作用，造成管理体制不顺，管理职责难健全问题。</w:t>
      </w:r>
    </w:p>
    <w:p>
      <w:pPr>
        <w:keepNext w:val="0"/>
        <w:keepLines w:val="0"/>
        <w:pageBreakBefore w:val="0"/>
        <w:kinsoku/>
        <w:wordWrap/>
        <w:overflowPunct/>
        <w:topLinePunct w:val="0"/>
        <w:autoSpaceDE/>
        <w:autoSpaceDN/>
        <w:bidi w:val="0"/>
        <w:adjustRightInd/>
        <w:snapToGrid/>
        <w:spacing w:afterAutospacing="0" w:line="580" w:lineRule="exact"/>
        <w:ind w:firstLine="630"/>
        <w:textAlignment w:val="auto"/>
        <w:rPr>
          <w:rFonts w:ascii="仿宋" w:hAnsi="仿宋" w:eastAsia="仿宋" w:cs="仿宋"/>
          <w:sz w:val="32"/>
          <w:szCs w:val="32"/>
        </w:rPr>
      </w:pPr>
      <w:r>
        <w:rPr>
          <w:rFonts w:hint="eastAsia" w:ascii="楷体" w:hAnsi="楷体" w:eastAsia="楷体"/>
          <w:b/>
          <w:color w:val="000000"/>
          <w:sz w:val="32"/>
          <w:szCs w:val="32"/>
        </w:rPr>
        <w:t>（三）清扫保洁服务</w:t>
      </w:r>
      <w:r>
        <w:rPr>
          <w:rFonts w:hint="eastAsia" w:ascii="楷体" w:hAnsi="楷体" w:eastAsia="楷体" w:cs="仿宋"/>
          <w:b/>
          <w:sz w:val="32"/>
          <w:szCs w:val="32"/>
        </w:rPr>
        <w:t>外包</w:t>
      </w:r>
      <w:r>
        <w:rPr>
          <w:rFonts w:hint="eastAsia" w:ascii="楷体" w:hAnsi="楷体" w:eastAsia="楷体"/>
          <w:b/>
          <w:color w:val="000000"/>
          <w:sz w:val="32"/>
          <w:szCs w:val="32"/>
        </w:rPr>
        <w:t>价格偏低。</w:t>
      </w:r>
      <w:r>
        <w:rPr>
          <w:rFonts w:hint="eastAsia" w:ascii="仿宋" w:hAnsi="仿宋" w:eastAsia="仿宋" w:cs="仿宋"/>
          <w:sz w:val="32"/>
          <w:szCs w:val="32"/>
        </w:rPr>
        <w:t>华容县田家湖生态新区清扫保洁服务外包价格为5.25元/㎡，湘阴县服务外包价格为6.64元/㎡，汨罗市服务外包价格为8.67/㎡，南县服务外包价格为5.47元/㎡。由于华容县财力紧张，市场价格控制较低，导致服务价格与创国家文明、卫生城市环卫工作标准不匹配。</w:t>
      </w:r>
    </w:p>
    <w:p>
      <w:pPr>
        <w:keepNext w:val="0"/>
        <w:keepLines w:val="0"/>
        <w:pageBreakBefore w:val="0"/>
        <w:kinsoku/>
        <w:wordWrap/>
        <w:overflowPunct/>
        <w:topLinePunct w:val="0"/>
        <w:autoSpaceDE/>
        <w:autoSpaceDN/>
        <w:bidi w:val="0"/>
        <w:adjustRightInd/>
        <w:snapToGrid/>
        <w:spacing w:afterAutospacing="0" w:line="580" w:lineRule="exact"/>
        <w:ind w:firstLine="645"/>
        <w:textAlignment w:val="auto"/>
        <w:rPr>
          <w:rFonts w:ascii="仿宋" w:hAnsi="仿宋" w:eastAsia="仿宋" w:cs="仿宋"/>
          <w:sz w:val="32"/>
          <w:szCs w:val="32"/>
        </w:rPr>
      </w:pPr>
      <w:r>
        <w:rPr>
          <w:rFonts w:hint="eastAsia" w:ascii="楷体" w:hAnsi="楷体" w:eastAsia="楷体"/>
          <w:b/>
          <w:color w:val="000000"/>
          <w:sz w:val="32"/>
          <w:szCs w:val="32"/>
        </w:rPr>
        <w:t>（四）</w:t>
      </w:r>
      <w:r>
        <w:rPr>
          <w:rFonts w:hint="eastAsia" w:ascii="楷体" w:hAnsi="楷体" w:eastAsia="楷体"/>
          <w:b/>
          <w:bCs/>
          <w:sz w:val="32"/>
          <w:szCs w:val="32"/>
        </w:rPr>
        <w:t>环卫一线临聘保洁员工资待遇偏低。</w:t>
      </w:r>
      <w:r>
        <w:rPr>
          <w:rFonts w:hint="eastAsia" w:ascii="仿宋" w:hAnsi="仿宋" w:eastAsia="仿宋"/>
          <w:sz w:val="32"/>
          <w:szCs w:val="32"/>
        </w:rPr>
        <w:t>经过多年调整工资基数，目前我县环卫一线临聘保洁员月工资为1350元/月，其中基本工资1300元/月，生产工具费50元/月，公厕保洁员工资为500元/月</w:t>
      </w:r>
      <w:r>
        <w:rPr>
          <w:rFonts w:hint="eastAsia" w:ascii="宋体" w:hAnsi="宋体" w:cs="宋体"/>
          <w:sz w:val="32"/>
          <w:szCs w:val="32"/>
        </w:rPr>
        <w:t>·</w:t>
      </w:r>
      <w:r>
        <w:rPr>
          <w:rFonts w:hint="eastAsia" w:ascii="仿宋" w:hAnsi="仿宋" w:eastAsia="仿宋"/>
          <w:sz w:val="32"/>
          <w:szCs w:val="32"/>
        </w:rPr>
        <w:t>座，且</w:t>
      </w:r>
      <w:r>
        <w:rPr>
          <w:rFonts w:hint="eastAsia" w:ascii="仿宋" w:hAnsi="仿宋" w:eastAsia="仿宋" w:cs="宋体"/>
          <w:kern w:val="0"/>
          <w:sz w:val="32"/>
          <w:szCs w:val="32"/>
        </w:rPr>
        <w:t>是岳阳地区6县（市）、区环卫保洁人员工资中最低的。省人社厅《关于湖南省2022年调整最低工资标准的通知》（湘人社规[2022]6号）规定：我省月最低工资标准为1550元/月。我县一线临聘保洁员与省人社厅规定的最低工资标准差距为200元/月。</w:t>
      </w:r>
    </w:p>
    <w:p>
      <w:pPr>
        <w:keepNext w:val="0"/>
        <w:keepLines w:val="0"/>
        <w:pageBreakBefore w:val="0"/>
        <w:kinsoku/>
        <w:wordWrap/>
        <w:overflowPunct/>
        <w:topLinePunct w:val="0"/>
        <w:autoSpaceDE/>
        <w:autoSpaceDN/>
        <w:bidi w:val="0"/>
        <w:adjustRightInd/>
        <w:snapToGrid/>
        <w:spacing w:afterAutospacing="0" w:line="580" w:lineRule="exact"/>
        <w:ind w:firstLine="645"/>
        <w:textAlignment w:val="auto"/>
        <w:rPr>
          <w:rFonts w:ascii="仿宋" w:hAnsi="仿宋" w:eastAsia="仿宋"/>
          <w:sz w:val="32"/>
          <w:szCs w:val="32"/>
        </w:rPr>
      </w:pPr>
      <w:r>
        <w:rPr>
          <w:rFonts w:hint="eastAsia" w:ascii="楷体" w:hAnsi="楷体" w:eastAsia="楷体"/>
          <w:b/>
          <w:sz w:val="32"/>
          <w:szCs w:val="32"/>
        </w:rPr>
        <w:t>（五）垃圾处理方式较落后。</w:t>
      </w:r>
      <w:r>
        <w:rPr>
          <w:rFonts w:hint="eastAsia" w:ascii="仿宋" w:hAnsi="仿宋" w:eastAsia="仿宋"/>
          <w:sz w:val="32"/>
          <w:szCs w:val="32"/>
        </w:rPr>
        <w:t>我县鼎山垃圾填埋场采用卫生填埋方式，是一种简单生态治理模式，属粗放式经营，需占用大量土地，产生的渗滤液易污染地下水及土壤，垃圾经过讨厌氧分解会产生大量的垃圾填埋气体，存在极大的安全隐患，同时伴随恶臭气味。垃圾处理方式较落后，既浪费土地资源，环保效益又不高，且存在重大环保、安全隐患。</w:t>
      </w:r>
    </w:p>
    <w:p>
      <w:pPr>
        <w:ind w:firstLine="643" w:firstLineChars="200"/>
        <w:rPr>
          <w:rFonts w:ascii="黑体" w:hAnsi="黑体" w:eastAsia="黑体"/>
          <w:b/>
          <w:sz w:val="32"/>
          <w:szCs w:val="32"/>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rPr>
          <w:rFonts w:ascii="黑体" w:hAnsi="黑体" w:eastAsia="黑体" w:cs="黑体"/>
          <w:color w:val="000000" w:themeColor="text1"/>
          <w:sz w:val="30"/>
          <w:szCs w:val="30"/>
          <w14:textFill>
            <w14:solidFill>
              <w14:schemeClr w14:val="tx1"/>
            </w14:solidFill>
          </w14:textFill>
        </w:rPr>
      </w:pPr>
    </w:p>
    <w:p>
      <w:pPr>
        <w:spacing w:before="181" w:line="171" w:lineRule="auto"/>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附件6</w:t>
      </w:r>
    </w:p>
    <w:p>
      <w:pPr>
        <w:spacing w:afterLines="50" w:line="580" w:lineRule="exact"/>
        <w:jc w:val="center"/>
        <w:rPr>
          <w:rFonts w:hint="eastAsia" w:ascii="方正小标宋简体" w:hAnsi="方正小标宋简体" w:eastAsia="方正小标宋简体" w:cs="方正小标宋简体"/>
          <w:color w:val="000000" w:themeColor="text1"/>
          <w:spacing w:val="7"/>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pacing w:val="7"/>
          <w:sz w:val="44"/>
          <w:szCs w:val="44"/>
          <w14:textFill>
            <w14:solidFill>
              <w14:schemeClr w14:val="tx1"/>
            </w14:solidFill>
          </w14:textFill>
        </w:rPr>
        <w:t>2023年度项目支出绩效自评表</w:t>
      </w:r>
    </w:p>
    <w:tbl>
      <w:tblPr>
        <w:tblStyle w:val="19"/>
        <w:tblW w:w="4935" w:type="pct"/>
        <w:tblInd w:w="14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61"/>
        <w:gridCol w:w="900"/>
        <w:gridCol w:w="1103"/>
        <w:gridCol w:w="941"/>
        <w:gridCol w:w="976"/>
        <w:gridCol w:w="1100"/>
        <w:gridCol w:w="598"/>
        <w:gridCol w:w="702"/>
        <w:gridCol w:w="131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646" w:type="pct"/>
            <w:gridSpan w:val="3"/>
            <w:vAlign w:val="center"/>
          </w:tcPr>
          <w:p>
            <w:pPr>
              <w:jc w:val="center"/>
            </w:pPr>
            <w:r>
              <w:rPr>
                <w:rFonts w:hint="eastAsia"/>
              </w:rPr>
              <w:t>项目支出名称</w:t>
            </w:r>
          </w:p>
        </w:tc>
        <w:tc>
          <w:tcPr>
            <w:tcW w:w="3354" w:type="pct"/>
            <w:gridSpan w:val="6"/>
            <w:vAlign w:val="center"/>
          </w:tcPr>
          <w:p>
            <w:pPr>
              <w:jc w:val="center"/>
            </w:pPr>
            <w:r>
              <w:rPr>
                <w:rFonts w:hint="eastAsia"/>
              </w:rPr>
              <w:t>其他城乡社区公共卫生设施支出项目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453" w:type="pct"/>
            <w:vAlign w:val="center"/>
          </w:tcPr>
          <w:p>
            <w:pPr>
              <w:jc w:val="center"/>
            </w:pPr>
            <w:r>
              <w:rPr>
                <w:rFonts w:hint="eastAsia"/>
              </w:rPr>
              <w:t>主管</w:t>
            </w:r>
          </w:p>
          <w:p>
            <w:pPr>
              <w:jc w:val="center"/>
            </w:pPr>
            <w:r>
              <w:rPr>
                <w:rFonts w:hint="eastAsia"/>
              </w:rPr>
              <w:t>部门</w:t>
            </w:r>
          </w:p>
        </w:tc>
        <w:tc>
          <w:tcPr>
            <w:tcW w:w="2334" w:type="pct"/>
            <w:gridSpan w:val="4"/>
            <w:vAlign w:val="center"/>
          </w:tcPr>
          <w:p>
            <w:pPr>
              <w:jc w:val="center"/>
            </w:pPr>
            <w:r>
              <w:rPr>
                <w:rFonts w:hint="eastAsia"/>
              </w:rPr>
              <w:t>华容县市容环境卫生服务中心</w:t>
            </w:r>
          </w:p>
        </w:tc>
        <w:tc>
          <w:tcPr>
            <w:tcW w:w="655" w:type="pct"/>
            <w:vAlign w:val="center"/>
          </w:tcPr>
          <w:p>
            <w:pPr>
              <w:jc w:val="center"/>
            </w:pPr>
            <w:r>
              <w:rPr>
                <w:rFonts w:hint="eastAsia"/>
              </w:rPr>
              <w:t>实施单位</w:t>
            </w:r>
          </w:p>
        </w:tc>
        <w:tc>
          <w:tcPr>
            <w:tcW w:w="1558" w:type="pct"/>
            <w:gridSpan w:val="3"/>
            <w:vAlign w:val="center"/>
          </w:tcPr>
          <w:p>
            <w:pPr>
              <w:jc w:val="center"/>
            </w:pPr>
            <w:r>
              <w:rPr>
                <w:rFonts w:hint="eastAsia"/>
              </w:rPr>
              <w:t>市容环境卫生服务中心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453" w:type="pct"/>
            <w:vMerge w:val="restart"/>
            <w:tcBorders>
              <w:bottom w:val="nil"/>
            </w:tcBorders>
            <w:vAlign w:val="center"/>
          </w:tcPr>
          <w:p>
            <w:pPr>
              <w:jc w:val="center"/>
            </w:pPr>
            <w:r>
              <w:rPr>
                <w:rFonts w:hint="eastAsia"/>
              </w:rPr>
              <w:t>项目资金（万元）</w:t>
            </w:r>
          </w:p>
        </w:tc>
        <w:tc>
          <w:tcPr>
            <w:tcW w:w="1193" w:type="pct"/>
            <w:gridSpan w:val="2"/>
            <w:vAlign w:val="center"/>
          </w:tcPr>
          <w:p>
            <w:pPr>
              <w:jc w:val="center"/>
            </w:pPr>
          </w:p>
        </w:tc>
        <w:tc>
          <w:tcPr>
            <w:tcW w:w="560" w:type="pct"/>
            <w:vAlign w:val="center"/>
          </w:tcPr>
          <w:p>
            <w:pPr>
              <w:jc w:val="center"/>
            </w:pPr>
            <w:r>
              <w:rPr>
                <w:rFonts w:hint="eastAsia"/>
              </w:rPr>
              <w:t>年初</w:t>
            </w:r>
          </w:p>
          <w:p>
            <w:pPr>
              <w:jc w:val="center"/>
            </w:pPr>
            <w:r>
              <w:rPr>
                <w:rFonts w:hint="eastAsia"/>
              </w:rPr>
              <w:t>预算数</w:t>
            </w:r>
          </w:p>
        </w:tc>
        <w:tc>
          <w:tcPr>
            <w:tcW w:w="581" w:type="pct"/>
            <w:vAlign w:val="center"/>
          </w:tcPr>
          <w:p>
            <w:pPr>
              <w:jc w:val="center"/>
            </w:pPr>
            <w:r>
              <w:rPr>
                <w:rFonts w:hint="eastAsia"/>
              </w:rPr>
              <w:t>全年</w:t>
            </w:r>
          </w:p>
          <w:p>
            <w:pPr>
              <w:jc w:val="center"/>
            </w:pPr>
            <w:r>
              <w:rPr>
                <w:rFonts w:hint="eastAsia"/>
              </w:rPr>
              <w:t>预算数</w:t>
            </w:r>
          </w:p>
        </w:tc>
        <w:tc>
          <w:tcPr>
            <w:tcW w:w="655" w:type="pct"/>
            <w:vAlign w:val="center"/>
          </w:tcPr>
          <w:p>
            <w:pPr>
              <w:jc w:val="center"/>
            </w:pPr>
            <w:r>
              <w:rPr>
                <w:rFonts w:hint="eastAsia"/>
              </w:rPr>
              <w:t>全年</w:t>
            </w:r>
          </w:p>
          <w:p>
            <w:pPr>
              <w:jc w:val="center"/>
            </w:pPr>
            <w:r>
              <w:rPr>
                <w:rFonts w:hint="eastAsia"/>
              </w:rPr>
              <w:t>执行数</w:t>
            </w:r>
          </w:p>
        </w:tc>
        <w:tc>
          <w:tcPr>
            <w:tcW w:w="356" w:type="pct"/>
            <w:vAlign w:val="center"/>
          </w:tcPr>
          <w:p>
            <w:pPr>
              <w:jc w:val="center"/>
            </w:pPr>
            <w:r>
              <w:rPr>
                <w:rFonts w:hint="eastAsia"/>
              </w:rPr>
              <w:t>分值</w:t>
            </w:r>
          </w:p>
        </w:tc>
        <w:tc>
          <w:tcPr>
            <w:tcW w:w="418" w:type="pct"/>
            <w:vAlign w:val="center"/>
          </w:tcPr>
          <w:p>
            <w:pPr>
              <w:jc w:val="center"/>
            </w:pPr>
            <w:r>
              <w:rPr>
                <w:rFonts w:hint="eastAsia"/>
              </w:rPr>
              <w:t>执行率</w:t>
            </w:r>
          </w:p>
        </w:tc>
        <w:tc>
          <w:tcPr>
            <w:tcW w:w="784" w:type="pct"/>
            <w:vAlign w:val="center"/>
          </w:tcPr>
          <w:p>
            <w:pPr>
              <w:jc w:val="center"/>
            </w:pPr>
            <w:r>
              <w:rPr>
                <w:rFonts w:hint="eastAsia"/>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453" w:type="pct"/>
            <w:vMerge w:val="continue"/>
            <w:tcBorders>
              <w:top w:val="nil"/>
              <w:bottom w:val="nil"/>
            </w:tcBorders>
            <w:vAlign w:val="center"/>
          </w:tcPr>
          <w:p>
            <w:pPr>
              <w:jc w:val="center"/>
            </w:pPr>
          </w:p>
        </w:tc>
        <w:tc>
          <w:tcPr>
            <w:tcW w:w="1193" w:type="pct"/>
            <w:gridSpan w:val="2"/>
            <w:vAlign w:val="center"/>
          </w:tcPr>
          <w:p>
            <w:pPr>
              <w:jc w:val="center"/>
            </w:pPr>
            <w:r>
              <w:rPr>
                <w:rFonts w:hint="eastAsia"/>
              </w:rPr>
              <w:t>年度资金总额</w:t>
            </w:r>
          </w:p>
        </w:tc>
        <w:tc>
          <w:tcPr>
            <w:tcW w:w="560" w:type="pct"/>
            <w:vAlign w:val="center"/>
          </w:tcPr>
          <w:p>
            <w:pPr>
              <w:jc w:val="center"/>
            </w:pPr>
            <w:r>
              <w:rPr>
                <w:rFonts w:hint="eastAsia"/>
              </w:rPr>
              <w:t>3864.5</w:t>
            </w:r>
          </w:p>
        </w:tc>
        <w:tc>
          <w:tcPr>
            <w:tcW w:w="581" w:type="pct"/>
            <w:vAlign w:val="center"/>
          </w:tcPr>
          <w:p>
            <w:pPr>
              <w:jc w:val="center"/>
            </w:pPr>
            <w:r>
              <w:rPr>
                <w:rFonts w:hint="eastAsia"/>
              </w:rPr>
              <w:t>3864.54</w:t>
            </w:r>
          </w:p>
        </w:tc>
        <w:tc>
          <w:tcPr>
            <w:tcW w:w="655" w:type="pct"/>
            <w:vAlign w:val="center"/>
          </w:tcPr>
          <w:p>
            <w:pPr>
              <w:jc w:val="center"/>
            </w:pPr>
            <w:r>
              <w:rPr>
                <w:rFonts w:hint="eastAsia"/>
              </w:rPr>
              <w:t>3864.54</w:t>
            </w:r>
          </w:p>
        </w:tc>
        <w:tc>
          <w:tcPr>
            <w:tcW w:w="356" w:type="pct"/>
            <w:vAlign w:val="center"/>
          </w:tcPr>
          <w:p>
            <w:pPr>
              <w:jc w:val="center"/>
            </w:pPr>
            <w:r>
              <w:rPr>
                <w:rFonts w:hint="eastAsia"/>
              </w:rPr>
              <w:t>10</w:t>
            </w:r>
          </w:p>
        </w:tc>
        <w:tc>
          <w:tcPr>
            <w:tcW w:w="418" w:type="pct"/>
            <w:vAlign w:val="center"/>
          </w:tcPr>
          <w:p>
            <w:pPr>
              <w:jc w:val="center"/>
            </w:pPr>
            <w:r>
              <w:rPr>
                <w:rFonts w:hint="eastAsia"/>
              </w:rPr>
              <w:t>100%</w:t>
            </w:r>
          </w:p>
        </w:tc>
        <w:tc>
          <w:tcPr>
            <w:tcW w:w="784" w:type="pct"/>
            <w:vAlign w:val="center"/>
          </w:tcPr>
          <w:p>
            <w:pPr>
              <w:jc w:val="center"/>
            </w:pPr>
            <w:r>
              <w:rPr>
                <w:rFonts w:hint="eastAsia"/>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453" w:type="pct"/>
            <w:vMerge w:val="continue"/>
            <w:tcBorders>
              <w:top w:val="nil"/>
              <w:bottom w:val="nil"/>
            </w:tcBorders>
            <w:vAlign w:val="center"/>
          </w:tcPr>
          <w:p>
            <w:pPr>
              <w:jc w:val="center"/>
            </w:pPr>
          </w:p>
        </w:tc>
        <w:tc>
          <w:tcPr>
            <w:tcW w:w="1193" w:type="pct"/>
            <w:gridSpan w:val="2"/>
            <w:vAlign w:val="center"/>
          </w:tcPr>
          <w:p>
            <w:pPr>
              <w:jc w:val="center"/>
            </w:pPr>
            <w:r>
              <w:rPr>
                <w:rFonts w:hint="eastAsia"/>
              </w:rPr>
              <w:t>其中：当年财政拨款</w:t>
            </w:r>
          </w:p>
        </w:tc>
        <w:tc>
          <w:tcPr>
            <w:tcW w:w="560" w:type="pct"/>
            <w:vAlign w:val="center"/>
          </w:tcPr>
          <w:p>
            <w:pPr>
              <w:jc w:val="center"/>
            </w:pPr>
          </w:p>
        </w:tc>
        <w:tc>
          <w:tcPr>
            <w:tcW w:w="581" w:type="pct"/>
            <w:vAlign w:val="center"/>
          </w:tcPr>
          <w:p>
            <w:pPr>
              <w:jc w:val="center"/>
            </w:pPr>
            <w:r>
              <w:rPr>
                <w:rFonts w:hint="eastAsia"/>
              </w:rPr>
              <w:t>3864.54</w:t>
            </w:r>
          </w:p>
        </w:tc>
        <w:tc>
          <w:tcPr>
            <w:tcW w:w="655" w:type="pct"/>
            <w:vAlign w:val="center"/>
          </w:tcPr>
          <w:p>
            <w:pPr>
              <w:jc w:val="center"/>
            </w:pPr>
            <w:r>
              <w:rPr>
                <w:rFonts w:hint="eastAsia"/>
              </w:rPr>
              <w:t>3864.54</w:t>
            </w: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453" w:type="pct"/>
            <w:vMerge w:val="continue"/>
            <w:tcBorders>
              <w:top w:val="nil"/>
              <w:bottom w:val="nil"/>
            </w:tcBorders>
            <w:vAlign w:val="center"/>
          </w:tcPr>
          <w:p>
            <w:pPr>
              <w:jc w:val="center"/>
            </w:pPr>
          </w:p>
        </w:tc>
        <w:tc>
          <w:tcPr>
            <w:tcW w:w="1193" w:type="pct"/>
            <w:gridSpan w:val="2"/>
            <w:vAlign w:val="center"/>
          </w:tcPr>
          <w:p>
            <w:pPr>
              <w:jc w:val="center"/>
            </w:pPr>
            <w:r>
              <w:rPr>
                <w:rFonts w:hint="eastAsia"/>
              </w:rPr>
              <w:t>上年结转资金</w:t>
            </w: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453" w:type="pct"/>
            <w:vMerge w:val="continue"/>
            <w:tcBorders>
              <w:top w:val="nil"/>
            </w:tcBorders>
            <w:vAlign w:val="center"/>
          </w:tcPr>
          <w:p>
            <w:pPr>
              <w:jc w:val="center"/>
            </w:pPr>
          </w:p>
        </w:tc>
        <w:tc>
          <w:tcPr>
            <w:tcW w:w="1193" w:type="pct"/>
            <w:gridSpan w:val="2"/>
            <w:vAlign w:val="center"/>
          </w:tcPr>
          <w:p>
            <w:pPr>
              <w:jc w:val="center"/>
            </w:pPr>
            <w:r>
              <w:rPr>
                <w:rFonts w:hint="eastAsia"/>
              </w:rPr>
              <w:t>其他资金</w:t>
            </w: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453" w:type="pct"/>
            <w:vMerge w:val="restart"/>
            <w:tcBorders>
              <w:bottom w:val="nil"/>
            </w:tcBorders>
            <w:vAlign w:val="center"/>
          </w:tcPr>
          <w:p>
            <w:pPr>
              <w:jc w:val="center"/>
            </w:pPr>
            <w:r>
              <w:rPr>
                <w:rFonts w:hint="eastAsia"/>
              </w:rPr>
              <w:t>年度总</w:t>
            </w:r>
          </w:p>
          <w:p>
            <w:pPr>
              <w:jc w:val="center"/>
            </w:pPr>
            <w:r>
              <w:rPr>
                <w:rFonts w:hint="eastAsia"/>
              </w:rPr>
              <w:t>体目标</w:t>
            </w:r>
          </w:p>
        </w:tc>
        <w:tc>
          <w:tcPr>
            <w:tcW w:w="2334" w:type="pct"/>
            <w:gridSpan w:val="4"/>
            <w:vAlign w:val="center"/>
          </w:tcPr>
          <w:p>
            <w:pPr>
              <w:jc w:val="center"/>
            </w:pPr>
            <w:r>
              <w:rPr>
                <w:rFonts w:hint="eastAsia"/>
              </w:rPr>
              <w:t>预期目标</w:t>
            </w:r>
          </w:p>
        </w:tc>
        <w:tc>
          <w:tcPr>
            <w:tcW w:w="2213" w:type="pct"/>
            <w:gridSpan w:val="4"/>
            <w:vAlign w:val="center"/>
          </w:tcPr>
          <w:p>
            <w:pPr>
              <w:jc w:val="center"/>
            </w:pPr>
            <w:r>
              <w:rPr>
                <w:rFonts w:hint="eastAsia"/>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453" w:type="pct"/>
            <w:vMerge w:val="continue"/>
            <w:tcBorders>
              <w:top w:val="nil"/>
            </w:tcBorders>
            <w:vAlign w:val="center"/>
          </w:tcPr>
          <w:p>
            <w:pPr>
              <w:jc w:val="center"/>
            </w:pPr>
          </w:p>
        </w:tc>
        <w:tc>
          <w:tcPr>
            <w:tcW w:w="2334" w:type="pct"/>
            <w:gridSpan w:val="4"/>
            <w:vAlign w:val="center"/>
          </w:tcPr>
          <w:p>
            <w:pPr>
              <w:jc w:val="center"/>
            </w:pPr>
          </w:p>
        </w:tc>
        <w:tc>
          <w:tcPr>
            <w:tcW w:w="2213" w:type="pct"/>
            <w:gridSpan w:val="4"/>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453" w:type="pct"/>
            <w:vMerge w:val="restart"/>
            <w:vAlign w:val="center"/>
          </w:tcPr>
          <w:p>
            <w:pPr>
              <w:jc w:val="center"/>
            </w:pPr>
            <w:r>
              <w:rPr>
                <w:rFonts w:hint="eastAsia"/>
              </w:rPr>
              <w:t>绩</w:t>
            </w:r>
          </w:p>
          <w:p>
            <w:pPr>
              <w:jc w:val="center"/>
            </w:pPr>
            <w:r>
              <w:rPr>
                <w:rFonts w:hint="eastAsia"/>
              </w:rPr>
              <w:t>效</w:t>
            </w:r>
          </w:p>
          <w:p>
            <w:pPr>
              <w:jc w:val="center"/>
            </w:pPr>
            <w:r>
              <w:rPr>
                <w:rFonts w:hint="eastAsia"/>
              </w:rPr>
              <w:t>指</w:t>
            </w:r>
          </w:p>
          <w:p>
            <w:pPr>
              <w:jc w:val="center"/>
            </w:pPr>
            <w:r>
              <w:rPr>
                <w:rFonts w:hint="eastAsia"/>
              </w:rPr>
              <w:t>标</w:t>
            </w:r>
          </w:p>
        </w:tc>
        <w:tc>
          <w:tcPr>
            <w:tcW w:w="536" w:type="pct"/>
            <w:vAlign w:val="center"/>
          </w:tcPr>
          <w:p>
            <w:pPr>
              <w:jc w:val="center"/>
            </w:pPr>
            <w:r>
              <w:rPr>
                <w:rFonts w:hint="eastAsia"/>
              </w:rPr>
              <w:t>一级指标</w:t>
            </w:r>
          </w:p>
        </w:tc>
        <w:tc>
          <w:tcPr>
            <w:tcW w:w="657" w:type="pct"/>
            <w:vAlign w:val="center"/>
          </w:tcPr>
          <w:p>
            <w:pPr>
              <w:jc w:val="center"/>
            </w:pPr>
            <w:r>
              <w:rPr>
                <w:rFonts w:hint="eastAsia"/>
              </w:rPr>
              <w:t>二级指标</w:t>
            </w:r>
          </w:p>
        </w:tc>
        <w:tc>
          <w:tcPr>
            <w:tcW w:w="560" w:type="pct"/>
            <w:vAlign w:val="center"/>
          </w:tcPr>
          <w:p>
            <w:pPr>
              <w:jc w:val="center"/>
            </w:pPr>
            <w:r>
              <w:rPr>
                <w:rFonts w:hint="eastAsia"/>
              </w:rPr>
              <w:t>三级指标</w:t>
            </w:r>
          </w:p>
        </w:tc>
        <w:tc>
          <w:tcPr>
            <w:tcW w:w="581" w:type="pct"/>
            <w:vAlign w:val="center"/>
          </w:tcPr>
          <w:p>
            <w:pPr>
              <w:jc w:val="center"/>
            </w:pPr>
            <w:r>
              <w:rPr>
                <w:rFonts w:hint="eastAsia"/>
              </w:rPr>
              <w:t>年度</w:t>
            </w:r>
          </w:p>
          <w:p>
            <w:pPr>
              <w:jc w:val="center"/>
            </w:pPr>
            <w:r>
              <w:rPr>
                <w:rFonts w:hint="eastAsia"/>
              </w:rPr>
              <w:t>指标值</w:t>
            </w:r>
          </w:p>
        </w:tc>
        <w:tc>
          <w:tcPr>
            <w:tcW w:w="655" w:type="pct"/>
            <w:vAlign w:val="center"/>
          </w:tcPr>
          <w:p>
            <w:pPr>
              <w:jc w:val="center"/>
            </w:pPr>
            <w:r>
              <w:rPr>
                <w:rFonts w:hint="eastAsia"/>
              </w:rPr>
              <w:t>实际</w:t>
            </w:r>
          </w:p>
          <w:p>
            <w:pPr>
              <w:jc w:val="center"/>
            </w:pPr>
            <w:r>
              <w:rPr>
                <w:rFonts w:hint="eastAsia"/>
              </w:rPr>
              <w:t>完成值</w:t>
            </w:r>
          </w:p>
        </w:tc>
        <w:tc>
          <w:tcPr>
            <w:tcW w:w="356" w:type="pct"/>
            <w:vAlign w:val="center"/>
          </w:tcPr>
          <w:p>
            <w:pPr>
              <w:jc w:val="center"/>
            </w:pPr>
            <w:r>
              <w:rPr>
                <w:rFonts w:hint="eastAsia"/>
              </w:rPr>
              <w:t>分值</w:t>
            </w:r>
          </w:p>
        </w:tc>
        <w:tc>
          <w:tcPr>
            <w:tcW w:w="418" w:type="pct"/>
            <w:vAlign w:val="center"/>
          </w:tcPr>
          <w:p>
            <w:pPr>
              <w:jc w:val="center"/>
            </w:pPr>
            <w:r>
              <w:rPr>
                <w:rFonts w:hint="eastAsia"/>
              </w:rPr>
              <w:t>自评</w:t>
            </w:r>
          </w:p>
          <w:p>
            <w:pPr>
              <w:jc w:val="center"/>
            </w:pPr>
            <w:r>
              <w:rPr>
                <w:rFonts w:hint="eastAsia"/>
              </w:rPr>
              <w:t>得分</w:t>
            </w:r>
          </w:p>
        </w:tc>
        <w:tc>
          <w:tcPr>
            <w:tcW w:w="784" w:type="pct"/>
            <w:vAlign w:val="center"/>
          </w:tcPr>
          <w:p>
            <w:pPr>
              <w:jc w:val="center"/>
            </w:pPr>
            <w:r>
              <w:rPr>
                <w:rFonts w:hint="eastAsia"/>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453" w:type="pct"/>
            <w:vMerge w:val="continue"/>
            <w:textDirection w:val="tbRlV"/>
            <w:vAlign w:val="center"/>
          </w:tcPr>
          <w:p>
            <w:pPr>
              <w:jc w:val="center"/>
            </w:pPr>
          </w:p>
        </w:tc>
        <w:tc>
          <w:tcPr>
            <w:tcW w:w="536" w:type="pct"/>
            <w:vMerge w:val="restart"/>
            <w:tcBorders>
              <w:bottom w:val="nil"/>
            </w:tcBorders>
            <w:vAlign w:val="center"/>
          </w:tcPr>
          <w:p>
            <w:pPr>
              <w:jc w:val="center"/>
            </w:pPr>
            <w:r>
              <w:rPr>
                <w:rFonts w:hint="eastAsia"/>
              </w:rPr>
              <w:t>产</w:t>
            </w:r>
          </w:p>
          <w:p>
            <w:pPr>
              <w:jc w:val="center"/>
            </w:pPr>
            <w:r>
              <w:rPr>
                <w:rFonts w:hint="eastAsia"/>
              </w:rPr>
              <w:t>出</w:t>
            </w:r>
          </w:p>
          <w:p>
            <w:pPr>
              <w:jc w:val="center"/>
            </w:pPr>
            <w:r>
              <w:rPr>
                <w:rFonts w:hint="eastAsia"/>
              </w:rPr>
              <w:t>指</w:t>
            </w:r>
          </w:p>
          <w:p>
            <w:pPr>
              <w:jc w:val="center"/>
            </w:pPr>
            <w:r>
              <w:rPr>
                <w:rFonts w:hint="eastAsia"/>
              </w:rPr>
              <w:t>标</w:t>
            </w:r>
          </w:p>
          <w:p>
            <w:pPr>
              <w:jc w:val="center"/>
            </w:pPr>
            <w:r>
              <w:rPr>
                <w:rFonts w:hint="eastAsia"/>
              </w:rPr>
              <w:t>(30分）</w:t>
            </w:r>
          </w:p>
        </w:tc>
        <w:tc>
          <w:tcPr>
            <w:tcW w:w="657" w:type="pct"/>
            <w:vMerge w:val="restart"/>
            <w:tcBorders>
              <w:bottom w:val="nil"/>
            </w:tcBorders>
            <w:vAlign w:val="center"/>
          </w:tcPr>
          <w:p>
            <w:pPr>
              <w:jc w:val="center"/>
            </w:pPr>
            <w:r>
              <w:rPr>
                <w:rFonts w:hint="eastAsia"/>
              </w:rPr>
              <w:t>数</w:t>
            </w:r>
          </w:p>
          <w:p>
            <w:pPr>
              <w:jc w:val="center"/>
            </w:pPr>
            <w:r>
              <w:rPr>
                <w:rFonts w:hint="eastAsia"/>
              </w:rPr>
              <w:t>量</w:t>
            </w:r>
          </w:p>
          <w:p>
            <w:pPr>
              <w:jc w:val="center"/>
            </w:pPr>
            <w:r>
              <w:rPr>
                <w:rFonts w:hint="eastAsia"/>
              </w:rPr>
              <w:t>指</w:t>
            </w:r>
          </w:p>
          <w:p>
            <w:pPr>
              <w:jc w:val="center"/>
            </w:pPr>
            <w:r>
              <w:rPr>
                <w:rFonts w:hint="eastAsia"/>
              </w:rPr>
              <w:t>标</w:t>
            </w:r>
          </w:p>
        </w:tc>
        <w:tc>
          <w:tcPr>
            <w:tcW w:w="560" w:type="pct"/>
            <w:vAlign w:val="center"/>
          </w:tcPr>
          <w:p>
            <w:pPr>
              <w:jc w:val="center"/>
              <w:rPr>
                <w:kern w:val="0"/>
              </w:rPr>
            </w:pPr>
            <w:r>
              <w:rPr>
                <w:kern w:val="0"/>
              </w:rPr>
              <w:t>1.</w:t>
            </w:r>
            <w:r>
              <w:rPr>
                <w:rFonts w:hint="eastAsia"/>
                <w:kern w:val="0"/>
              </w:rPr>
              <w:t>城区清扫保洁率</w:t>
            </w:r>
          </w:p>
          <w:p>
            <w:pPr>
              <w:jc w:val="center"/>
              <w:rPr>
                <w:kern w:val="0"/>
              </w:rPr>
            </w:pPr>
          </w:p>
        </w:tc>
        <w:tc>
          <w:tcPr>
            <w:tcW w:w="581" w:type="pct"/>
            <w:vAlign w:val="center"/>
          </w:tcPr>
          <w:p>
            <w:pPr>
              <w:jc w:val="center"/>
              <w:rPr>
                <w:kern w:val="0"/>
              </w:rPr>
            </w:pPr>
            <w:r>
              <w:rPr>
                <w:rFonts w:hint="eastAsia"/>
                <w:kern w:val="0"/>
              </w:rPr>
              <w:t>95%以上</w:t>
            </w:r>
          </w:p>
          <w:p>
            <w:pPr>
              <w:jc w:val="center"/>
              <w:rPr>
                <w:kern w:val="0"/>
              </w:rPr>
            </w:pPr>
          </w:p>
        </w:tc>
        <w:tc>
          <w:tcPr>
            <w:tcW w:w="655" w:type="pct"/>
            <w:vAlign w:val="center"/>
          </w:tcPr>
          <w:p>
            <w:pPr>
              <w:jc w:val="center"/>
            </w:pPr>
            <w:r>
              <w:rPr>
                <w:rFonts w:hint="eastAsia"/>
              </w:rPr>
              <w:t>92%</w:t>
            </w:r>
          </w:p>
        </w:tc>
        <w:tc>
          <w:tcPr>
            <w:tcW w:w="356" w:type="pct"/>
            <w:vAlign w:val="center"/>
          </w:tcPr>
          <w:p>
            <w:pPr>
              <w:jc w:val="center"/>
            </w:pPr>
            <w:r>
              <w:rPr>
                <w:rFonts w:hint="eastAsia"/>
              </w:rPr>
              <w:t>5</w:t>
            </w:r>
          </w:p>
        </w:tc>
        <w:tc>
          <w:tcPr>
            <w:tcW w:w="418" w:type="pct"/>
            <w:vAlign w:val="center"/>
          </w:tcPr>
          <w:p>
            <w:pPr>
              <w:jc w:val="center"/>
            </w:pPr>
            <w:r>
              <w:rPr>
                <w:rFonts w:hint="eastAsia"/>
              </w:rPr>
              <w:t>4</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453" w:type="pct"/>
            <w:vMerge w:val="continue"/>
            <w:textDirection w:val="tbRlV"/>
            <w:vAlign w:val="center"/>
          </w:tcPr>
          <w:p>
            <w:pPr>
              <w:jc w:val="center"/>
            </w:pPr>
          </w:p>
        </w:tc>
        <w:tc>
          <w:tcPr>
            <w:tcW w:w="536" w:type="pct"/>
            <w:vMerge w:val="continue"/>
            <w:tcBorders>
              <w:top w:val="nil"/>
              <w:bottom w:val="nil"/>
            </w:tcBorders>
            <w:vAlign w:val="center"/>
          </w:tcPr>
          <w:p>
            <w:pPr>
              <w:jc w:val="center"/>
            </w:pPr>
          </w:p>
        </w:tc>
        <w:tc>
          <w:tcPr>
            <w:tcW w:w="657" w:type="pct"/>
            <w:vMerge w:val="continue"/>
            <w:tcBorders>
              <w:top w:val="nil"/>
              <w:bottom w:val="nil"/>
            </w:tcBorders>
            <w:vAlign w:val="center"/>
          </w:tcPr>
          <w:p>
            <w:pPr>
              <w:jc w:val="center"/>
            </w:pPr>
          </w:p>
        </w:tc>
        <w:tc>
          <w:tcPr>
            <w:tcW w:w="560" w:type="pct"/>
            <w:vAlign w:val="center"/>
          </w:tcPr>
          <w:p>
            <w:pPr>
              <w:jc w:val="center"/>
              <w:rPr>
                <w:rFonts w:cstheme="minorEastAsia"/>
                <w:color w:val="000000" w:themeColor="text1"/>
                <w14:textFill>
                  <w14:solidFill>
                    <w14:schemeClr w14:val="tx1"/>
                  </w14:solidFill>
                </w14:textFill>
              </w:rPr>
            </w:pPr>
            <w:r>
              <w:rPr>
                <w:rFonts w:hint="eastAsia"/>
                <w:kern w:val="0"/>
              </w:rPr>
              <w:t>2.城区清扫面积</w:t>
            </w:r>
          </w:p>
        </w:tc>
        <w:tc>
          <w:tcPr>
            <w:tcW w:w="581" w:type="pct"/>
            <w:vAlign w:val="center"/>
          </w:tcPr>
          <w:p>
            <w:pPr>
              <w:jc w:val="center"/>
              <w:rPr>
                <w:rFonts w:cstheme="minorEastAsia"/>
                <w:color w:val="000000" w:themeColor="text1"/>
                <w14:textFill>
                  <w14:solidFill>
                    <w14:schemeClr w14:val="tx1"/>
                  </w14:solidFill>
                </w14:textFill>
              </w:rPr>
            </w:pPr>
            <w:r>
              <w:rPr>
                <w:rFonts w:hint="eastAsia"/>
                <w:kern w:val="0"/>
              </w:rPr>
              <w:t>3.301.4万平方米</w:t>
            </w:r>
          </w:p>
        </w:tc>
        <w:tc>
          <w:tcPr>
            <w:tcW w:w="655" w:type="pct"/>
            <w:vAlign w:val="center"/>
          </w:tcPr>
          <w:p>
            <w:pPr>
              <w:jc w:val="center"/>
            </w:pPr>
            <w:r>
              <w:rPr>
                <w:rFonts w:hint="eastAsia"/>
              </w:rPr>
              <w:t>完成90%</w:t>
            </w:r>
          </w:p>
        </w:tc>
        <w:tc>
          <w:tcPr>
            <w:tcW w:w="356" w:type="pct"/>
            <w:vAlign w:val="center"/>
          </w:tcPr>
          <w:p>
            <w:pPr>
              <w:jc w:val="center"/>
            </w:pPr>
            <w:r>
              <w:rPr>
                <w:rFonts w:hint="eastAsia"/>
              </w:rPr>
              <w:t>5</w:t>
            </w:r>
          </w:p>
        </w:tc>
        <w:tc>
          <w:tcPr>
            <w:tcW w:w="418" w:type="pct"/>
            <w:vAlign w:val="center"/>
          </w:tcPr>
          <w:p>
            <w:pPr>
              <w:jc w:val="center"/>
            </w:pPr>
            <w:r>
              <w:rPr>
                <w:rFonts w:hint="eastAsia"/>
              </w:rPr>
              <w:t>4</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453" w:type="pct"/>
            <w:vMerge w:val="continue"/>
            <w:textDirection w:val="tbRlV"/>
            <w:vAlign w:val="center"/>
          </w:tcPr>
          <w:p>
            <w:pPr>
              <w:jc w:val="center"/>
            </w:pPr>
          </w:p>
        </w:tc>
        <w:tc>
          <w:tcPr>
            <w:tcW w:w="536" w:type="pct"/>
            <w:vMerge w:val="continue"/>
            <w:tcBorders>
              <w:top w:val="nil"/>
              <w:bottom w:val="nil"/>
            </w:tcBorders>
            <w:vAlign w:val="center"/>
          </w:tcPr>
          <w:p>
            <w:pPr>
              <w:jc w:val="center"/>
            </w:pPr>
          </w:p>
        </w:tc>
        <w:tc>
          <w:tcPr>
            <w:tcW w:w="657" w:type="pct"/>
            <w:vMerge w:val="continue"/>
            <w:tcBorders>
              <w:top w:val="nil"/>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453" w:type="pct"/>
            <w:vMerge w:val="continue"/>
            <w:textDirection w:val="tbRlV"/>
            <w:vAlign w:val="center"/>
          </w:tcPr>
          <w:p>
            <w:pPr>
              <w:jc w:val="center"/>
            </w:pPr>
          </w:p>
        </w:tc>
        <w:tc>
          <w:tcPr>
            <w:tcW w:w="536" w:type="pct"/>
            <w:vMerge w:val="continue"/>
            <w:tcBorders>
              <w:top w:val="nil"/>
              <w:bottom w:val="nil"/>
            </w:tcBorders>
            <w:vAlign w:val="center"/>
          </w:tcPr>
          <w:p>
            <w:pPr>
              <w:jc w:val="center"/>
            </w:pPr>
          </w:p>
        </w:tc>
        <w:tc>
          <w:tcPr>
            <w:tcW w:w="657" w:type="pct"/>
            <w:vMerge w:val="restart"/>
            <w:tcBorders>
              <w:bottom w:val="nil"/>
            </w:tcBorders>
            <w:vAlign w:val="center"/>
          </w:tcPr>
          <w:p>
            <w:pPr>
              <w:jc w:val="center"/>
            </w:pPr>
            <w:r>
              <w:rPr>
                <w:rFonts w:hint="eastAsia"/>
              </w:rPr>
              <w:t>质</w:t>
            </w:r>
          </w:p>
          <w:p>
            <w:pPr>
              <w:jc w:val="center"/>
            </w:pPr>
            <w:r>
              <w:rPr>
                <w:rFonts w:hint="eastAsia"/>
              </w:rPr>
              <w:t>量</w:t>
            </w:r>
          </w:p>
          <w:p>
            <w:pPr>
              <w:jc w:val="center"/>
            </w:pPr>
            <w:r>
              <w:rPr>
                <w:rFonts w:hint="eastAsia"/>
              </w:rPr>
              <w:t>指</w:t>
            </w:r>
          </w:p>
          <w:p>
            <w:pPr>
              <w:jc w:val="center"/>
            </w:pPr>
            <w:r>
              <w:rPr>
                <w:rFonts w:hint="eastAsia"/>
              </w:rPr>
              <w:t>标</w:t>
            </w:r>
          </w:p>
        </w:tc>
        <w:tc>
          <w:tcPr>
            <w:tcW w:w="560" w:type="pct"/>
            <w:vAlign w:val="center"/>
          </w:tcPr>
          <w:p>
            <w:pPr>
              <w:jc w:val="center"/>
              <w:rPr>
                <w:kern w:val="0"/>
              </w:rPr>
            </w:pPr>
            <w:r>
              <w:rPr>
                <w:kern w:val="0"/>
              </w:rPr>
              <w:t>1</w:t>
            </w:r>
            <w:r>
              <w:rPr>
                <w:rFonts w:hint="eastAsia"/>
                <w:kern w:val="0"/>
              </w:rPr>
              <w:t xml:space="preserve"> 综合垃圾无害化处理率</w:t>
            </w:r>
          </w:p>
        </w:tc>
        <w:tc>
          <w:tcPr>
            <w:tcW w:w="581" w:type="pct"/>
            <w:vAlign w:val="center"/>
          </w:tcPr>
          <w:p>
            <w:pPr>
              <w:jc w:val="center"/>
            </w:pPr>
            <w:r>
              <w:rPr>
                <w:rFonts w:hint="eastAsia"/>
                <w:kern w:val="0"/>
              </w:rPr>
              <w:t>完成100%</w:t>
            </w:r>
          </w:p>
        </w:tc>
        <w:tc>
          <w:tcPr>
            <w:tcW w:w="655" w:type="pct"/>
            <w:vAlign w:val="center"/>
          </w:tcPr>
          <w:p>
            <w:pPr>
              <w:jc w:val="center"/>
            </w:pPr>
            <w:r>
              <w:rPr>
                <w:rFonts w:hint="eastAsia"/>
              </w:rPr>
              <w:t>100%</w:t>
            </w:r>
          </w:p>
        </w:tc>
        <w:tc>
          <w:tcPr>
            <w:tcW w:w="356" w:type="pct"/>
            <w:vAlign w:val="center"/>
          </w:tcPr>
          <w:p>
            <w:pPr>
              <w:jc w:val="center"/>
            </w:pPr>
            <w:r>
              <w:rPr>
                <w:rFonts w:hint="eastAsia"/>
              </w:rPr>
              <w:t>5</w:t>
            </w:r>
          </w:p>
        </w:tc>
        <w:tc>
          <w:tcPr>
            <w:tcW w:w="418" w:type="pct"/>
            <w:vAlign w:val="center"/>
          </w:tcPr>
          <w:p>
            <w:pPr>
              <w:jc w:val="center"/>
            </w:pPr>
            <w:r>
              <w:rPr>
                <w:rFonts w:hint="eastAsia"/>
              </w:rPr>
              <w:t>5</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453" w:type="pct"/>
            <w:vMerge w:val="continue"/>
            <w:textDirection w:val="tbRlV"/>
            <w:vAlign w:val="center"/>
          </w:tcPr>
          <w:p>
            <w:pPr>
              <w:jc w:val="center"/>
            </w:pPr>
          </w:p>
        </w:tc>
        <w:tc>
          <w:tcPr>
            <w:tcW w:w="536" w:type="pct"/>
            <w:vMerge w:val="continue"/>
            <w:tcBorders>
              <w:top w:val="nil"/>
              <w:bottom w:val="nil"/>
            </w:tcBorders>
            <w:vAlign w:val="center"/>
          </w:tcPr>
          <w:p>
            <w:pPr>
              <w:jc w:val="center"/>
            </w:pPr>
          </w:p>
        </w:tc>
        <w:tc>
          <w:tcPr>
            <w:tcW w:w="657" w:type="pct"/>
            <w:vMerge w:val="continue"/>
            <w:tcBorders>
              <w:top w:val="nil"/>
              <w:bottom w:val="nil"/>
            </w:tcBorders>
            <w:vAlign w:val="center"/>
          </w:tcPr>
          <w:p>
            <w:pPr>
              <w:jc w:val="center"/>
            </w:pPr>
          </w:p>
        </w:tc>
        <w:tc>
          <w:tcPr>
            <w:tcW w:w="560" w:type="pct"/>
            <w:vAlign w:val="center"/>
          </w:tcPr>
          <w:p>
            <w:pPr>
              <w:jc w:val="center"/>
              <w:rPr>
                <w:rFonts w:cstheme="minorEastAsia"/>
                <w:color w:val="000000" w:themeColor="text1"/>
                <w14:textFill>
                  <w14:solidFill>
                    <w14:schemeClr w14:val="tx1"/>
                  </w14:solidFill>
                </w14:textFill>
              </w:rPr>
            </w:pPr>
            <w:r>
              <w:rPr>
                <w:kern w:val="0"/>
              </w:rPr>
              <w:t>2.</w:t>
            </w:r>
            <w:r>
              <w:rPr>
                <w:rFonts w:hint="eastAsia"/>
                <w:kern w:val="0"/>
              </w:rPr>
              <w:t>垃圾无害化处理后空气和水质量</w:t>
            </w:r>
          </w:p>
        </w:tc>
        <w:tc>
          <w:tcPr>
            <w:tcW w:w="581" w:type="pct"/>
            <w:vAlign w:val="center"/>
          </w:tcPr>
          <w:p>
            <w:pPr>
              <w:jc w:val="center"/>
              <w:rPr>
                <w:rFonts w:cstheme="minorEastAsia"/>
                <w:color w:val="000000" w:themeColor="text1"/>
                <w14:textFill>
                  <w14:solidFill>
                    <w14:schemeClr w14:val="tx1"/>
                  </w14:solidFill>
                </w14:textFill>
              </w:rPr>
            </w:pPr>
            <w:r>
              <w:rPr>
                <w:rFonts w:hint="eastAsia"/>
                <w:kern w:val="0"/>
              </w:rPr>
              <w:t>合格</w:t>
            </w:r>
          </w:p>
        </w:tc>
        <w:tc>
          <w:tcPr>
            <w:tcW w:w="655" w:type="pct"/>
            <w:vAlign w:val="center"/>
          </w:tcPr>
          <w:p>
            <w:pPr>
              <w:jc w:val="center"/>
              <w:rPr>
                <w:rFonts w:cstheme="minorEastAsia"/>
                <w:color w:val="000000" w:themeColor="text1"/>
                <w14:textFill>
                  <w14:solidFill>
                    <w14:schemeClr w14:val="tx1"/>
                  </w14:solidFill>
                </w14:textFill>
              </w:rPr>
            </w:pPr>
            <w:r>
              <w:rPr>
                <w:rFonts w:hint="eastAsia"/>
                <w:kern w:val="0"/>
              </w:rPr>
              <w:t>合格</w:t>
            </w:r>
          </w:p>
        </w:tc>
        <w:tc>
          <w:tcPr>
            <w:tcW w:w="356" w:type="pct"/>
            <w:vAlign w:val="center"/>
          </w:tcPr>
          <w:p>
            <w:pPr>
              <w:jc w:val="center"/>
            </w:pPr>
            <w:r>
              <w:rPr>
                <w:rFonts w:hint="eastAsia"/>
              </w:rPr>
              <w:t>5</w:t>
            </w:r>
          </w:p>
        </w:tc>
        <w:tc>
          <w:tcPr>
            <w:tcW w:w="418" w:type="pct"/>
            <w:vAlign w:val="center"/>
          </w:tcPr>
          <w:p>
            <w:pPr>
              <w:jc w:val="center"/>
            </w:pPr>
            <w:r>
              <w:rPr>
                <w:rFonts w:hint="eastAsia"/>
              </w:rPr>
              <w:t>5</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9" w:hRule="atLeast"/>
        </w:trPr>
        <w:tc>
          <w:tcPr>
            <w:tcW w:w="453" w:type="pct"/>
            <w:vMerge w:val="continue"/>
            <w:textDirection w:val="tbRlV"/>
            <w:vAlign w:val="center"/>
          </w:tcPr>
          <w:p>
            <w:pPr>
              <w:jc w:val="center"/>
            </w:pPr>
          </w:p>
        </w:tc>
        <w:tc>
          <w:tcPr>
            <w:tcW w:w="536" w:type="pct"/>
            <w:vMerge w:val="continue"/>
            <w:tcBorders>
              <w:top w:val="nil"/>
              <w:bottom w:val="nil"/>
            </w:tcBorders>
            <w:vAlign w:val="center"/>
          </w:tcPr>
          <w:p>
            <w:pPr>
              <w:jc w:val="center"/>
            </w:pPr>
          </w:p>
        </w:tc>
        <w:tc>
          <w:tcPr>
            <w:tcW w:w="657" w:type="pct"/>
            <w:vMerge w:val="continue"/>
            <w:tcBorders>
              <w:top w:val="nil"/>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453" w:type="pct"/>
            <w:vMerge w:val="continue"/>
            <w:textDirection w:val="tbRlV"/>
            <w:vAlign w:val="center"/>
          </w:tcPr>
          <w:p>
            <w:pPr>
              <w:jc w:val="center"/>
            </w:pPr>
          </w:p>
        </w:tc>
        <w:tc>
          <w:tcPr>
            <w:tcW w:w="536" w:type="pct"/>
            <w:vMerge w:val="continue"/>
            <w:tcBorders>
              <w:top w:val="nil"/>
              <w:bottom w:val="nil"/>
            </w:tcBorders>
            <w:vAlign w:val="center"/>
          </w:tcPr>
          <w:p>
            <w:pPr>
              <w:jc w:val="center"/>
            </w:pPr>
          </w:p>
        </w:tc>
        <w:tc>
          <w:tcPr>
            <w:tcW w:w="657" w:type="pct"/>
            <w:vMerge w:val="restart"/>
            <w:tcBorders>
              <w:bottom w:val="nil"/>
            </w:tcBorders>
            <w:vAlign w:val="center"/>
          </w:tcPr>
          <w:p>
            <w:pPr>
              <w:jc w:val="center"/>
            </w:pPr>
            <w:r>
              <w:rPr>
                <w:rFonts w:hint="eastAsia"/>
              </w:rPr>
              <w:t>时</w:t>
            </w:r>
          </w:p>
          <w:p>
            <w:pPr>
              <w:jc w:val="center"/>
            </w:pPr>
            <w:r>
              <w:rPr>
                <w:rFonts w:hint="eastAsia"/>
              </w:rPr>
              <w:t>效</w:t>
            </w:r>
          </w:p>
          <w:p>
            <w:pPr>
              <w:jc w:val="center"/>
            </w:pPr>
            <w:r>
              <w:rPr>
                <w:rFonts w:hint="eastAsia"/>
              </w:rPr>
              <w:t>指</w:t>
            </w:r>
          </w:p>
          <w:p>
            <w:pPr>
              <w:jc w:val="center"/>
            </w:pPr>
            <w:r>
              <w:rPr>
                <w:rFonts w:hint="eastAsia"/>
              </w:rPr>
              <w:t>标</w:t>
            </w:r>
          </w:p>
        </w:tc>
        <w:tc>
          <w:tcPr>
            <w:tcW w:w="560" w:type="pct"/>
            <w:vAlign w:val="center"/>
          </w:tcPr>
          <w:p>
            <w:pPr>
              <w:jc w:val="center"/>
              <w:rPr>
                <w:rFonts w:cstheme="minorEastAsia"/>
                <w:color w:val="000000" w:themeColor="text1"/>
                <w14:textFill>
                  <w14:solidFill>
                    <w14:schemeClr w14:val="tx1"/>
                  </w14:solidFill>
                </w14:textFill>
              </w:rPr>
            </w:pPr>
            <w:r>
              <w:rPr>
                <w:rFonts w:hint="eastAsia"/>
                <w:kern w:val="0"/>
              </w:rPr>
              <w:t>资金使用合规性</w:t>
            </w:r>
          </w:p>
        </w:tc>
        <w:tc>
          <w:tcPr>
            <w:tcW w:w="581" w:type="pct"/>
            <w:vAlign w:val="center"/>
          </w:tcPr>
          <w:p>
            <w:pPr>
              <w:jc w:val="center"/>
            </w:pPr>
            <w:r>
              <w:rPr>
                <w:rFonts w:hint="eastAsia"/>
              </w:rPr>
              <w:t>100%</w:t>
            </w:r>
          </w:p>
        </w:tc>
        <w:tc>
          <w:tcPr>
            <w:tcW w:w="655" w:type="pct"/>
            <w:vAlign w:val="center"/>
          </w:tcPr>
          <w:p>
            <w:pPr>
              <w:jc w:val="center"/>
            </w:pPr>
            <w:r>
              <w:rPr>
                <w:rFonts w:hint="eastAsia"/>
              </w:rPr>
              <w:t>100%</w:t>
            </w:r>
          </w:p>
        </w:tc>
        <w:tc>
          <w:tcPr>
            <w:tcW w:w="356" w:type="pct"/>
            <w:vAlign w:val="center"/>
          </w:tcPr>
          <w:p>
            <w:pPr>
              <w:jc w:val="center"/>
            </w:pPr>
            <w:r>
              <w:rPr>
                <w:rFonts w:hint="eastAsia"/>
              </w:rPr>
              <w:t>5</w:t>
            </w:r>
          </w:p>
        </w:tc>
        <w:tc>
          <w:tcPr>
            <w:tcW w:w="418" w:type="pct"/>
            <w:vAlign w:val="center"/>
          </w:tcPr>
          <w:p>
            <w:pPr>
              <w:jc w:val="center"/>
            </w:pPr>
            <w:r>
              <w:rPr>
                <w:rFonts w:hint="eastAsia"/>
              </w:rPr>
              <w:t>5</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0" w:hRule="atLeast"/>
        </w:trPr>
        <w:tc>
          <w:tcPr>
            <w:tcW w:w="453" w:type="pct"/>
            <w:vMerge w:val="continue"/>
            <w:textDirection w:val="tbRlV"/>
            <w:vAlign w:val="center"/>
          </w:tcPr>
          <w:p>
            <w:pPr>
              <w:jc w:val="center"/>
            </w:pPr>
          </w:p>
        </w:tc>
        <w:tc>
          <w:tcPr>
            <w:tcW w:w="536" w:type="pct"/>
            <w:vMerge w:val="continue"/>
            <w:tcBorders>
              <w:top w:val="nil"/>
              <w:bottom w:val="nil"/>
            </w:tcBorders>
            <w:vAlign w:val="center"/>
          </w:tcPr>
          <w:p>
            <w:pPr>
              <w:jc w:val="center"/>
            </w:pPr>
          </w:p>
        </w:tc>
        <w:tc>
          <w:tcPr>
            <w:tcW w:w="657" w:type="pct"/>
            <w:vMerge w:val="continue"/>
            <w:tcBorders>
              <w:top w:val="nil"/>
              <w:bottom w:val="nil"/>
            </w:tcBorders>
            <w:vAlign w:val="center"/>
          </w:tcPr>
          <w:p>
            <w:pPr>
              <w:jc w:val="center"/>
            </w:pPr>
          </w:p>
        </w:tc>
        <w:tc>
          <w:tcPr>
            <w:tcW w:w="560" w:type="pct"/>
            <w:vAlign w:val="center"/>
          </w:tcPr>
          <w:p>
            <w:pPr>
              <w:jc w:val="center"/>
              <w:rPr>
                <w:kern w:val="0"/>
              </w:rPr>
            </w:pPr>
            <w:r>
              <w:rPr>
                <w:rFonts w:hint="eastAsia"/>
                <w:kern w:val="0"/>
              </w:rPr>
              <w:t>资金给付及时性</w:t>
            </w:r>
          </w:p>
          <w:p>
            <w:pPr>
              <w:jc w:val="center"/>
            </w:pPr>
          </w:p>
        </w:tc>
        <w:tc>
          <w:tcPr>
            <w:tcW w:w="581" w:type="pct"/>
            <w:vAlign w:val="center"/>
          </w:tcPr>
          <w:p>
            <w:pPr>
              <w:jc w:val="center"/>
            </w:pPr>
            <w:r>
              <w:rPr>
                <w:rFonts w:hint="eastAsia"/>
              </w:rPr>
              <w:t>100%</w:t>
            </w:r>
          </w:p>
        </w:tc>
        <w:tc>
          <w:tcPr>
            <w:tcW w:w="655" w:type="pct"/>
            <w:vAlign w:val="center"/>
          </w:tcPr>
          <w:p>
            <w:pPr>
              <w:jc w:val="center"/>
            </w:pPr>
            <w:r>
              <w:rPr>
                <w:rFonts w:hint="eastAsia"/>
              </w:rPr>
              <w:t>100%</w:t>
            </w:r>
          </w:p>
        </w:tc>
        <w:tc>
          <w:tcPr>
            <w:tcW w:w="356" w:type="pct"/>
            <w:vAlign w:val="center"/>
          </w:tcPr>
          <w:p>
            <w:pPr>
              <w:jc w:val="center"/>
            </w:pPr>
            <w:r>
              <w:rPr>
                <w:rFonts w:hint="eastAsia"/>
              </w:rPr>
              <w:t>5</w:t>
            </w:r>
          </w:p>
        </w:tc>
        <w:tc>
          <w:tcPr>
            <w:tcW w:w="418" w:type="pct"/>
            <w:vAlign w:val="center"/>
          </w:tcPr>
          <w:p>
            <w:pPr>
              <w:jc w:val="center"/>
            </w:pPr>
            <w:r>
              <w:rPr>
                <w:rFonts w:hint="eastAsia"/>
              </w:rPr>
              <w:t>5</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5" w:hRule="atLeast"/>
        </w:trPr>
        <w:tc>
          <w:tcPr>
            <w:tcW w:w="453" w:type="pct"/>
            <w:vMerge w:val="continue"/>
            <w:textDirection w:val="tbRlV"/>
            <w:vAlign w:val="center"/>
          </w:tcPr>
          <w:p>
            <w:pPr>
              <w:jc w:val="center"/>
            </w:pPr>
          </w:p>
        </w:tc>
        <w:tc>
          <w:tcPr>
            <w:tcW w:w="536" w:type="pct"/>
            <w:vMerge w:val="continue"/>
            <w:tcBorders>
              <w:top w:val="nil"/>
              <w:bottom w:val="single" w:color="auto" w:sz="4" w:space="0"/>
            </w:tcBorders>
            <w:vAlign w:val="center"/>
          </w:tcPr>
          <w:p>
            <w:pPr>
              <w:jc w:val="center"/>
            </w:pPr>
          </w:p>
        </w:tc>
        <w:tc>
          <w:tcPr>
            <w:tcW w:w="657" w:type="pct"/>
            <w:vMerge w:val="continue"/>
            <w:tcBorders>
              <w:top w:val="nil"/>
            </w:tcBorders>
            <w:vAlign w:val="center"/>
          </w:tcPr>
          <w:p>
            <w:pPr>
              <w:jc w:val="center"/>
            </w:pPr>
          </w:p>
        </w:tc>
        <w:tc>
          <w:tcPr>
            <w:tcW w:w="560" w:type="pct"/>
            <w:vAlign w:val="center"/>
          </w:tcPr>
          <w:p>
            <w:pPr>
              <w:jc w:val="center"/>
              <w:rPr>
                <w:kern w:val="0"/>
              </w:rPr>
            </w:pPr>
          </w:p>
          <w:p>
            <w:pPr>
              <w:jc w:val="center"/>
              <w:rPr>
                <w:kern w:val="0"/>
              </w:rPr>
            </w:pPr>
          </w:p>
        </w:tc>
        <w:tc>
          <w:tcPr>
            <w:tcW w:w="581" w:type="pct"/>
            <w:vAlign w:val="center"/>
          </w:tcPr>
          <w:p>
            <w:pPr>
              <w:jc w:val="center"/>
              <w:rPr>
                <w:kern w:val="0"/>
              </w:rPr>
            </w:pPr>
          </w:p>
          <w:p>
            <w:pPr>
              <w:jc w:val="center"/>
              <w:rPr>
                <w:kern w:val="0"/>
              </w:rP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restart"/>
            <w:vAlign w:val="center"/>
          </w:tcPr>
          <w:p>
            <w:pPr>
              <w:jc w:val="center"/>
            </w:pPr>
            <w:r>
              <w:rPr>
                <w:rFonts w:hint="eastAsia"/>
              </w:rPr>
              <w:t>绩</w:t>
            </w:r>
          </w:p>
          <w:p>
            <w:pPr>
              <w:jc w:val="center"/>
            </w:pPr>
            <w:r>
              <w:rPr>
                <w:rFonts w:hint="eastAsia"/>
              </w:rPr>
              <w:t>效</w:t>
            </w:r>
          </w:p>
          <w:p>
            <w:pPr>
              <w:jc w:val="center"/>
            </w:pPr>
            <w:r>
              <w:rPr>
                <w:rFonts w:hint="eastAsia"/>
              </w:rPr>
              <w:t>指</w:t>
            </w:r>
          </w:p>
          <w:p>
            <w:pPr>
              <w:jc w:val="center"/>
            </w:pPr>
            <w:r>
              <w:rPr>
                <w:rFonts w:hint="eastAsia"/>
              </w:rPr>
              <w:t>标</w:t>
            </w:r>
          </w:p>
        </w:tc>
        <w:tc>
          <w:tcPr>
            <w:tcW w:w="536" w:type="pct"/>
            <w:vMerge w:val="restart"/>
            <w:tcBorders>
              <w:top w:val="single" w:color="auto" w:sz="4" w:space="0"/>
              <w:left w:val="single" w:color="auto" w:sz="4" w:space="0"/>
              <w:bottom w:val="single" w:color="auto" w:sz="4" w:space="0"/>
              <w:right w:val="single" w:color="auto" w:sz="4" w:space="0"/>
            </w:tcBorders>
            <w:vAlign w:val="center"/>
          </w:tcPr>
          <w:p>
            <w:pPr>
              <w:jc w:val="center"/>
            </w:pPr>
            <w:r>
              <w:rPr>
                <w:rFonts w:hint="eastAsia"/>
              </w:rPr>
              <w:t>效</w:t>
            </w:r>
          </w:p>
          <w:p>
            <w:pPr>
              <w:jc w:val="center"/>
            </w:pPr>
            <w:r>
              <w:rPr>
                <w:rFonts w:hint="eastAsia"/>
              </w:rPr>
              <w:t>益</w:t>
            </w:r>
          </w:p>
          <w:p>
            <w:pPr>
              <w:jc w:val="center"/>
            </w:pPr>
            <w:r>
              <w:rPr>
                <w:rFonts w:hint="eastAsia"/>
              </w:rPr>
              <w:t>指</w:t>
            </w:r>
          </w:p>
          <w:p>
            <w:pPr>
              <w:jc w:val="center"/>
            </w:pPr>
            <w:r>
              <w:rPr>
                <w:rFonts w:hint="eastAsia"/>
              </w:rPr>
              <w:t>标</w:t>
            </w:r>
          </w:p>
          <w:p>
            <w:pPr>
              <w:jc w:val="center"/>
            </w:pPr>
            <w:r>
              <w:rPr>
                <w:rFonts w:hint="eastAsia"/>
              </w:rPr>
              <w:t>（30分）</w:t>
            </w:r>
          </w:p>
        </w:tc>
        <w:tc>
          <w:tcPr>
            <w:tcW w:w="657" w:type="pct"/>
            <w:vMerge w:val="restart"/>
            <w:tcBorders>
              <w:left w:val="single" w:color="auto" w:sz="4" w:space="0"/>
              <w:bottom w:val="nil"/>
            </w:tcBorders>
            <w:vAlign w:val="center"/>
          </w:tcPr>
          <w:p>
            <w:pPr>
              <w:jc w:val="center"/>
            </w:pPr>
            <w:r>
              <w:rPr>
                <w:rFonts w:hint="eastAsia"/>
              </w:rPr>
              <w:t>经济</w:t>
            </w:r>
          </w:p>
          <w:p>
            <w:pPr>
              <w:jc w:val="center"/>
            </w:pPr>
            <w:r>
              <w:rPr>
                <w:rFonts w:hint="eastAsia"/>
              </w:rPr>
              <w:t>效益</w:t>
            </w:r>
          </w:p>
          <w:p>
            <w:pPr>
              <w:jc w:val="center"/>
            </w:pPr>
            <w:r>
              <w:rPr>
                <w:rFonts w:hint="eastAsia"/>
              </w:rPr>
              <w:t>指标</w:t>
            </w:r>
          </w:p>
        </w:tc>
        <w:tc>
          <w:tcPr>
            <w:tcW w:w="560" w:type="pct"/>
            <w:vAlign w:val="center"/>
          </w:tcPr>
          <w:p>
            <w:pPr>
              <w:jc w:val="center"/>
            </w:pPr>
            <w:r>
              <w:rPr>
                <w:rFonts w:hint="eastAsia"/>
              </w:rPr>
              <w:t>道路清洁质量合格率</w:t>
            </w:r>
          </w:p>
        </w:tc>
        <w:tc>
          <w:tcPr>
            <w:tcW w:w="581" w:type="pct"/>
            <w:vAlign w:val="center"/>
          </w:tcPr>
          <w:p>
            <w:pPr>
              <w:jc w:val="center"/>
              <w:rPr>
                <w:rFonts w:cstheme="minorEastAsia"/>
                <w:color w:val="000000" w:themeColor="text1"/>
                <w14:textFill>
                  <w14:solidFill>
                    <w14:schemeClr w14:val="tx1"/>
                  </w14:solidFill>
                </w14:textFill>
              </w:rPr>
            </w:pPr>
            <w:r>
              <w:t>≥</w:t>
            </w:r>
            <w:r>
              <w:rPr>
                <w:rFonts w:hint="eastAsia"/>
              </w:rPr>
              <w:t>95%</w:t>
            </w:r>
          </w:p>
        </w:tc>
        <w:tc>
          <w:tcPr>
            <w:tcW w:w="655" w:type="pct"/>
            <w:vAlign w:val="center"/>
          </w:tcPr>
          <w:p>
            <w:pPr>
              <w:jc w:val="center"/>
              <w:rPr>
                <w:rFonts w:cstheme="minorEastAsia"/>
                <w:color w:val="000000" w:themeColor="text1"/>
                <w14:textFill>
                  <w14:solidFill>
                    <w14:schemeClr w14:val="tx1"/>
                  </w14:solidFill>
                </w14:textFill>
              </w:rPr>
            </w:pPr>
            <w:r>
              <w:t>≥</w:t>
            </w:r>
            <w:r>
              <w:rPr>
                <w:rFonts w:hint="eastAsia"/>
              </w:rPr>
              <w:t>93%</w:t>
            </w:r>
          </w:p>
        </w:tc>
        <w:tc>
          <w:tcPr>
            <w:tcW w:w="356" w:type="pct"/>
            <w:vAlign w:val="center"/>
          </w:tcPr>
          <w:p>
            <w:pPr>
              <w:jc w:val="center"/>
            </w:pPr>
            <w:r>
              <w:rPr>
                <w:rFonts w:hint="eastAsia"/>
              </w:rPr>
              <w:t>10</w:t>
            </w:r>
          </w:p>
        </w:tc>
        <w:tc>
          <w:tcPr>
            <w:tcW w:w="418" w:type="pct"/>
            <w:vAlign w:val="center"/>
          </w:tcPr>
          <w:p>
            <w:pPr>
              <w:jc w:val="center"/>
            </w:pPr>
            <w:r>
              <w:rPr>
                <w:rFonts w:hint="eastAsia"/>
              </w:rPr>
              <w:t>9</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bottom w:val="nil"/>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restart"/>
            <w:tcBorders>
              <w:left w:val="single" w:color="auto" w:sz="4" w:space="0"/>
              <w:bottom w:val="nil"/>
            </w:tcBorders>
            <w:vAlign w:val="center"/>
          </w:tcPr>
          <w:p>
            <w:pPr>
              <w:jc w:val="center"/>
            </w:pPr>
            <w:r>
              <w:rPr>
                <w:rFonts w:hint="eastAsia"/>
              </w:rPr>
              <w:t>社会</w:t>
            </w:r>
          </w:p>
          <w:p>
            <w:pPr>
              <w:jc w:val="center"/>
            </w:pPr>
            <w:r>
              <w:rPr>
                <w:rFonts w:hint="eastAsia"/>
              </w:rPr>
              <w:t>效益</w:t>
            </w:r>
          </w:p>
          <w:p>
            <w:pPr>
              <w:jc w:val="center"/>
            </w:pPr>
            <w:r>
              <w:rPr>
                <w:rFonts w:hint="eastAsia"/>
              </w:rPr>
              <w:t>指标</w:t>
            </w:r>
          </w:p>
        </w:tc>
        <w:tc>
          <w:tcPr>
            <w:tcW w:w="560" w:type="pct"/>
            <w:vAlign w:val="center"/>
          </w:tcPr>
          <w:p>
            <w:pPr>
              <w:jc w:val="center"/>
            </w:pPr>
            <w:r>
              <w:rPr>
                <w:rFonts w:hint="eastAsia"/>
              </w:rPr>
              <w:t>作业规范执行率</w:t>
            </w:r>
          </w:p>
        </w:tc>
        <w:tc>
          <w:tcPr>
            <w:tcW w:w="581" w:type="pct"/>
            <w:vAlign w:val="center"/>
          </w:tcPr>
          <w:p>
            <w:pPr>
              <w:jc w:val="center"/>
              <w:rPr>
                <w:rFonts w:cstheme="minorEastAsia"/>
                <w:color w:val="000000" w:themeColor="text1"/>
                <w14:textFill>
                  <w14:solidFill>
                    <w14:schemeClr w14:val="tx1"/>
                  </w14:solidFill>
                </w14:textFill>
              </w:rPr>
            </w:pPr>
            <w:r>
              <w:rPr>
                <w:rFonts w:hint="eastAsia"/>
              </w:rPr>
              <w:t>完成80%以上</w:t>
            </w:r>
          </w:p>
        </w:tc>
        <w:tc>
          <w:tcPr>
            <w:tcW w:w="655" w:type="pct"/>
            <w:vAlign w:val="center"/>
          </w:tcPr>
          <w:p>
            <w:pPr>
              <w:jc w:val="center"/>
              <w:rPr>
                <w:rFonts w:cstheme="minorEastAsia"/>
                <w:color w:val="000000" w:themeColor="text1"/>
                <w14:textFill>
                  <w14:solidFill>
                    <w14:schemeClr w14:val="tx1"/>
                  </w14:solidFill>
                </w14:textFill>
              </w:rPr>
            </w:pPr>
            <w:r>
              <w:rPr>
                <w:rFonts w:hint="eastAsia"/>
              </w:rPr>
              <w:t>完成80%以上</w:t>
            </w:r>
          </w:p>
        </w:tc>
        <w:tc>
          <w:tcPr>
            <w:tcW w:w="356" w:type="pct"/>
            <w:vAlign w:val="center"/>
          </w:tcPr>
          <w:p>
            <w:pPr>
              <w:jc w:val="center"/>
            </w:pPr>
            <w:r>
              <w:rPr>
                <w:rFonts w:hint="eastAsia"/>
              </w:rPr>
              <w:t>10</w:t>
            </w:r>
          </w:p>
        </w:tc>
        <w:tc>
          <w:tcPr>
            <w:tcW w:w="418" w:type="pct"/>
            <w:vAlign w:val="center"/>
          </w:tcPr>
          <w:p>
            <w:pPr>
              <w:jc w:val="center"/>
            </w:pPr>
            <w:r>
              <w:rPr>
                <w:rFonts w:hint="eastAsia"/>
              </w:rPr>
              <w:t>10</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bottom w:val="nil"/>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restart"/>
            <w:tcBorders>
              <w:left w:val="single" w:color="auto" w:sz="4" w:space="0"/>
              <w:bottom w:val="nil"/>
            </w:tcBorders>
            <w:vAlign w:val="center"/>
          </w:tcPr>
          <w:p>
            <w:pPr>
              <w:jc w:val="center"/>
            </w:pPr>
            <w:r>
              <w:rPr>
                <w:rFonts w:hint="eastAsia"/>
              </w:rPr>
              <w:t>生态</w:t>
            </w:r>
          </w:p>
          <w:p>
            <w:pPr>
              <w:jc w:val="center"/>
            </w:pPr>
            <w:r>
              <w:rPr>
                <w:rFonts w:hint="eastAsia"/>
              </w:rPr>
              <w:t>效益</w:t>
            </w:r>
          </w:p>
          <w:p>
            <w:pPr>
              <w:jc w:val="center"/>
            </w:pPr>
            <w:r>
              <w:rPr>
                <w:rFonts w:hint="eastAsia"/>
              </w:rPr>
              <w:t>指标</w:t>
            </w:r>
          </w:p>
        </w:tc>
        <w:tc>
          <w:tcPr>
            <w:tcW w:w="560" w:type="pct"/>
            <w:vAlign w:val="center"/>
          </w:tcPr>
          <w:p>
            <w:pPr>
              <w:jc w:val="center"/>
            </w:pPr>
            <w:r>
              <w:rPr>
                <w:rFonts w:hint="eastAsia"/>
              </w:rPr>
              <w:t>垃圾清运及时率</w:t>
            </w:r>
          </w:p>
        </w:tc>
        <w:tc>
          <w:tcPr>
            <w:tcW w:w="581" w:type="pct"/>
            <w:vAlign w:val="center"/>
          </w:tcPr>
          <w:p>
            <w:pPr>
              <w:jc w:val="center"/>
              <w:rPr>
                <w:rFonts w:cstheme="minorEastAsia"/>
                <w:color w:val="000000" w:themeColor="text1"/>
                <w14:textFill>
                  <w14:solidFill>
                    <w14:schemeClr w14:val="tx1"/>
                  </w14:solidFill>
                </w14:textFill>
              </w:rPr>
            </w:pPr>
            <w:r>
              <w:t>≥</w:t>
            </w:r>
            <w:r>
              <w:rPr>
                <w:rFonts w:hint="eastAsia"/>
              </w:rPr>
              <w:t>95%</w:t>
            </w:r>
          </w:p>
        </w:tc>
        <w:tc>
          <w:tcPr>
            <w:tcW w:w="655" w:type="pct"/>
            <w:vAlign w:val="center"/>
          </w:tcPr>
          <w:p>
            <w:pPr>
              <w:jc w:val="center"/>
              <w:rPr>
                <w:rFonts w:cstheme="minorEastAsia"/>
                <w:color w:val="000000" w:themeColor="text1"/>
                <w14:textFill>
                  <w14:solidFill>
                    <w14:schemeClr w14:val="tx1"/>
                  </w14:solidFill>
                </w14:textFill>
              </w:rPr>
            </w:pPr>
            <w:r>
              <w:t>≥</w:t>
            </w:r>
            <w:r>
              <w:rPr>
                <w:rFonts w:hint="eastAsia"/>
              </w:rPr>
              <w:t>94%</w:t>
            </w:r>
          </w:p>
        </w:tc>
        <w:tc>
          <w:tcPr>
            <w:tcW w:w="356" w:type="pct"/>
            <w:vAlign w:val="center"/>
          </w:tcPr>
          <w:p>
            <w:pPr>
              <w:jc w:val="center"/>
            </w:pPr>
            <w:r>
              <w:rPr>
                <w:rFonts w:hint="eastAsia"/>
              </w:rPr>
              <w:t>5</w:t>
            </w:r>
          </w:p>
        </w:tc>
        <w:tc>
          <w:tcPr>
            <w:tcW w:w="418" w:type="pct"/>
            <w:vAlign w:val="center"/>
          </w:tcPr>
          <w:p>
            <w:pPr>
              <w:jc w:val="center"/>
            </w:pPr>
            <w:r>
              <w:rPr>
                <w:rFonts w:hint="eastAsia"/>
              </w:rPr>
              <w:t>4</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bottom w:val="nil"/>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restart"/>
            <w:tcBorders>
              <w:left w:val="single" w:color="auto" w:sz="4" w:space="0"/>
              <w:bottom w:val="nil"/>
            </w:tcBorders>
            <w:vAlign w:val="center"/>
          </w:tcPr>
          <w:p>
            <w:pPr>
              <w:jc w:val="center"/>
            </w:pPr>
            <w:r>
              <w:rPr>
                <w:rFonts w:hint="eastAsia"/>
              </w:rPr>
              <w:t>可持续</w:t>
            </w:r>
          </w:p>
          <w:p>
            <w:pPr>
              <w:jc w:val="center"/>
            </w:pPr>
            <w:r>
              <w:rPr>
                <w:rFonts w:hint="eastAsia"/>
              </w:rPr>
              <w:t>影响</w:t>
            </w:r>
          </w:p>
          <w:p>
            <w:pPr>
              <w:jc w:val="center"/>
            </w:pPr>
            <w:r>
              <w:rPr>
                <w:rFonts w:hint="eastAsia"/>
              </w:rPr>
              <w:t>指标</w:t>
            </w:r>
          </w:p>
        </w:tc>
        <w:tc>
          <w:tcPr>
            <w:tcW w:w="560" w:type="pct"/>
            <w:vAlign w:val="center"/>
          </w:tcPr>
          <w:p>
            <w:pPr>
              <w:jc w:val="center"/>
            </w:pPr>
            <w:r>
              <w:rPr>
                <w:rFonts w:hint="eastAsia"/>
              </w:rPr>
              <w:t>投诉处理及时率</w:t>
            </w:r>
          </w:p>
        </w:tc>
        <w:tc>
          <w:tcPr>
            <w:tcW w:w="581" w:type="pct"/>
            <w:vAlign w:val="center"/>
          </w:tcPr>
          <w:p>
            <w:pPr>
              <w:jc w:val="center"/>
            </w:pPr>
            <w:r>
              <w:rPr>
                <w:rFonts w:hint="eastAsia"/>
              </w:rPr>
              <w:t>90%以上</w:t>
            </w:r>
          </w:p>
        </w:tc>
        <w:tc>
          <w:tcPr>
            <w:tcW w:w="655" w:type="pct"/>
            <w:vAlign w:val="center"/>
          </w:tcPr>
          <w:p>
            <w:pPr>
              <w:jc w:val="center"/>
            </w:pPr>
            <w:r>
              <w:rPr>
                <w:rFonts w:hint="eastAsia"/>
              </w:rPr>
              <w:t>90%以上</w:t>
            </w:r>
          </w:p>
        </w:tc>
        <w:tc>
          <w:tcPr>
            <w:tcW w:w="356" w:type="pct"/>
            <w:vAlign w:val="center"/>
          </w:tcPr>
          <w:p>
            <w:pPr>
              <w:jc w:val="center"/>
            </w:pPr>
            <w:r>
              <w:rPr>
                <w:rFonts w:hint="eastAsia"/>
              </w:rPr>
              <w:t>5</w:t>
            </w:r>
          </w:p>
        </w:tc>
        <w:tc>
          <w:tcPr>
            <w:tcW w:w="418" w:type="pct"/>
            <w:vAlign w:val="center"/>
          </w:tcPr>
          <w:p>
            <w:pPr>
              <w:jc w:val="center"/>
            </w:pPr>
            <w:r>
              <w:rPr>
                <w:rFonts w:hint="eastAsia"/>
              </w:rPr>
              <w:t>5</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bottom w:val="nil"/>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restart"/>
            <w:tcBorders>
              <w:top w:val="single" w:color="auto" w:sz="4" w:space="0"/>
              <w:left w:val="single" w:color="auto" w:sz="4" w:space="0"/>
              <w:bottom w:val="single" w:color="auto" w:sz="4" w:space="0"/>
              <w:right w:val="single" w:color="auto" w:sz="4" w:space="0"/>
            </w:tcBorders>
            <w:vAlign w:val="center"/>
          </w:tcPr>
          <w:p>
            <w:pPr>
              <w:jc w:val="center"/>
            </w:pPr>
            <w:r>
              <w:rPr>
                <w:rFonts w:hint="eastAsia"/>
              </w:rPr>
              <w:t>满意度</w:t>
            </w:r>
          </w:p>
          <w:p>
            <w:pPr>
              <w:jc w:val="center"/>
            </w:pPr>
            <w:r>
              <w:rPr>
                <w:rFonts w:hint="eastAsia"/>
              </w:rPr>
              <w:t>指标</w:t>
            </w:r>
          </w:p>
          <w:p>
            <w:pPr>
              <w:jc w:val="center"/>
            </w:pPr>
            <w:r>
              <w:rPr>
                <w:rFonts w:hint="eastAsia"/>
              </w:rPr>
              <w:t>（10分）</w:t>
            </w:r>
          </w:p>
        </w:tc>
        <w:tc>
          <w:tcPr>
            <w:tcW w:w="657" w:type="pct"/>
            <w:vMerge w:val="restart"/>
            <w:tcBorders>
              <w:left w:val="single" w:color="auto" w:sz="4" w:space="0"/>
              <w:bottom w:val="nil"/>
            </w:tcBorders>
            <w:vAlign w:val="center"/>
          </w:tcPr>
          <w:p>
            <w:pPr>
              <w:jc w:val="center"/>
            </w:pPr>
            <w:r>
              <w:rPr>
                <w:rFonts w:hint="eastAsia"/>
              </w:rPr>
              <w:t>服务对象</w:t>
            </w:r>
          </w:p>
          <w:p>
            <w:pPr>
              <w:jc w:val="center"/>
            </w:pPr>
            <w:r>
              <w:rPr>
                <w:rFonts w:hint="eastAsia"/>
              </w:rPr>
              <w:t>满意度</w:t>
            </w:r>
          </w:p>
          <w:p>
            <w:pPr>
              <w:jc w:val="center"/>
            </w:pPr>
            <w:r>
              <w:rPr>
                <w:rFonts w:hint="eastAsia"/>
              </w:rPr>
              <w:t>指标</w:t>
            </w:r>
          </w:p>
        </w:tc>
        <w:tc>
          <w:tcPr>
            <w:tcW w:w="560" w:type="pct"/>
            <w:vAlign w:val="center"/>
          </w:tcPr>
          <w:p>
            <w:pPr>
              <w:jc w:val="center"/>
            </w:pPr>
            <w:r>
              <w:rPr>
                <w:rFonts w:hint="eastAsia"/>
              </w:rPr>
              <w:t>市民满意度</w:t>
            </w:r>
          </w:p>
        </w:tc>
        <w:tc>
          <w:tcPr>
            <w:tcW w:w="581" w:type="pct"/>
            <w:vAlign w:val="center"/>
          </w:tcPr>
          <w:p>
            <w:pPr>
              <w:jc w:val="center"/>
              <w:rPr>
                <w:rFonts w:cstheme="minorEastAsia"/>
                <w:color w:val="000000" w:themeColor="text1"/>
                <w14:textFill>
                  <w14:solidFill>
                    <w14:schemeClr w14:val="tx1"/>
                  </w14:solidFill>
                </w14:textFill>
              </w:rPr>
            </w:pPr>
            <w:r>
              <w:t>≥</w:t>
            </w:r>
            <w:r>
              <w:rPr>
                <w:rFonts w:hint="eastAsia"/>
              </w:rPr>
              <w:t>96%</w:t>
            </w:r>
          </w:p>
        </w:tc>
        <w:tc>
          <w:tcPr>
            <w:tcW w:w="655" w:type="pct"/>
            <w:vAlign w:val="center"/>
          </w:tcPr>
          <w:p>
            <w:pPr>
              <w:jc w:val="center"/>
              <w:rPr>
                <w:rFonts w:cstheme="minorEastAsia"/>
                <w:color w:val="000000" w:themeColor="text1"/>
                <w14:textFill>
                  <w14:solidFill>
                    <w14:schemeClr w14:val="tx1"/>
                  </w14:solidFill>
                </w14:textFill>
              </w:rPr>
            </w:pPr>
            <w:r>
              <w:t>≥</w:t>
            </w:r>
            <w:r>
              <w:rPr>
                <w:rFonts w:hint="eastAsia"/>
              </w:rPr>
              <w:t>94%</w:t>
            </w:r>
          </w:p>
        </w:tc>
        <w:tc>
          <w:tcPr>
            <w:tcW w:w="356" w:type="pct"/>
            <w:vAlign w:val="center"/>
          </w:tcPr>
          <w:p>
            <w:pPr>
              <w:jc w:val="center"/>
            </w:pPr>
            <w:r>
              <w:rPr>
                <w:rFonts w:hint="eastAsia"/>
              </w:rPr>
              <w:t>10</w:t>
            </w:r>
          </w:p>
        </w:tc>
        <w:tc>
          <w:tcPr>
            <w:tcW w:w="418" w:type="pct"/>
            <w:vAlign w:val="center"/>
          </w:tcPr>
          <w:p>
            <w:pPr>
              <w:jc w:val="center"/>
            </w:pPr>
            <w:r>
              <w:rPr>
                <w:rFonts w:hint="eastAsia"/>
              </w:rPr>
              <w:t>9</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bottom w:val="nil"/>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top w:val="nil"/>
              <w:left w:val="single" w:color="auto" w:sz="4" w:space="0"/>
              <w:bottom w:val="single" w:color="auto" w:sz="4" w:space="0"/>
            </w:tcBorders>
            <w:vAlign w:val="center"/>
          </w:tcPr>
          <w:p>
            <w:pPr>
              <w:jc w:val="center"/>
            </w:pPr>
          </w:p>
        </w:tc>
        <w:tc>
          <w:tcPr>
            <w:tcW w:w="560" w:type="pct"/>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restart"/>
            <w:tcBorders>
              <w:top w:val="single" w:color="auto" w:sz="4" w:space="0"/>
              <w:left w:val="single" w:color="auto" w:sz="4" w:space="0"/>
              <w:bottom w:val="single" w:color="auto" w:sz="4" w:space="0"/>
              <w:right w:val="single" w:color="auto" w:sz="4" w:space="0"/>
            </w:tcBorders>
            <w:vAlign w:val="center"/>
          </w:tcPr>
          <w:p>
            <w:pPr>
              <w:jc w:val="center"/>
            </w:pPr>
            <w:r>
              <w:rPr>
                <w:rFonts w:hint="eastAsia"/>
              </w:rPr>
              <w:t>成</w:t>
            </w:r>
          </w:p>
          <w:p>
            <w:pPr>
              <w:jc w:val="center"/>
            </w:pPr>
            <w:r>
              <w:rPr>
                <w:rFonts w:hint="eastAsia"/>
              </w:rPr>
              <w:t>本</w:t>
            </w:r>
          </w:p>
          <w:p>
            <w:pPr>
              <w:jc w:val="center"/>
            </w:pPr>
            <w:r>
              <w:rPr>
                <w:rFonts w:hint="eastAsia"/>
              </w:rPr>
              <w:t>指</w:t>
            </w:r>
          </w:p>
          <w:p>
            <w:pPr>
              <w:jc w:val="center"/>
            </w:pPr>
            <w:r>
              <w:rPr>
                <w:rFonts w:hint="eastAsia"/>
              </w:rPr>
              <w:t>标</w:t>
            </w:r>
          </w:p>
          <w:p>
            <w:pPr>
              <w:jc w:val="center"/>
            </w:pPr>
            <w:r>
              <w:rPr>
                <w:rFonts w:hint="eastAsia"/>
              </w:rPr>
              <w:t>（20分）</w:t>
            </w:r>
          </w:p>
        </w:tc>
        <w:tc>
          <w:tcPr>
            <w:tcW w:w="657" w:type="pct"/>
            <w:vMerge w:val="restart"/>
            <w:tcBorders>
              <w:top w:val="single" w:color="auto" w:sz="4" w:space="0"/>
              <w:left w:val="single" w:color="auto" w:sz="4" w:space="0"/>
              <w:right w:val="single" w:color="auto" w:sz="4" w:space="0"/>
            </w:tcBorders>
            <w:vAlign w:val="center"/>
          </w:tcPr>
          <w:p>
            <w:pPr>
              <w:jc w:val="center"/>
            </w:pPr>
            <w:r>
              <w:rPr>
                <w:rFonts w:hint="eastAsia"/>
              </w:rPr>
              <w:t>经济</w:t>
            </w:r>
          </w:p>
          <w:p>
            <w:pPr>
              <w:jc w:val="center"/>
            </w:pPr>
            <w:r>
              <w:rPr>
                <w:rFonts w:hint="eastAsia"/>
              </w:rPr>
              <w:t>成本</w:t>
            </w:r>
          </w:p>
          <w:p>
            <w:pPr>
              <w:jc w:val="center"/>
            </w:pPr>
            <w:r>
              <w:rPr>
                <w:rFonts w:hint="eastAsia"/>
              </w:rPr>
              <w:t>指标</w:t>
            </w:r>
          </w:p>
        </w:tc>
        <w:tc>
          <w:tcPr>
            <w:tcW w:w="560" w:type="pct"/>
            <w:tcBorders>
              <w:left w:val="single" w:color="auto" w:sz="4" w:space="0"/>
            </w:tcBorders>
            <w:vAlign w:val="center"/>
          </w:tcPr>
          <w:p>
            <w:pPr>
              <w:jc w:val="center"/>
              <w:rPr>
                <w:rFonts w:hint="eastAsia" w:eastAsia="宋体" w:cstheme="minorEastAsia"/>
                <w:color w:val="000000" w:themeColor="text1"/>
                <w:lang w:eastAsia="zh-CN"/>
                <w14:textFill>
                  <w14:solidFill>
                    <w14:schemeClr w14:val="tx1"/>
                  </w14:solidFill>
                </w14:textFill>
              </w:rPr>
            </w:pPr>
            <w:r>
              <w:rPr>
                <w:rFonts w:hint="eastAsia" w:cstheme="minorEastAsia"/>
                <w:color w:val="000000" w:themeColor="text1"/>
                <w:lang w:eastAsia="zh-CN"/>
                <w14:textFill>
                  <w14:solidFill>
                    <w14:schemeClr w14:val="tx1"/>
                  </w14:solidFill>
                </w14:textFill>
              </w:rPr>
              <w:t>财政预算执行控制差异率</w:t>
            </w:r>
          </w:p>
        </w:tc>
        <w:tc>
          <w:tcPr>
            <w:tcW w:w="581" w:type="pct"/>
            <w:vAlign w:val="center"/>
          </w:tcPr>
          <w:p>
            <w:pPr>
              <w:jc w:val="center"/>
              <w:rPr>
                <w:rFonts w:cstheme="minorEastAsia"/>
                <w:color w:val="000000" w:themeColor="text1"/>
                <w14:textFill>
                  <w14:solidFill>
                    <w14:schemeClr w14:val="tx1"/>
                  </w14:solidFill>
                </w14:textFill>
              </w:rPr>
            </w:pPr>
            <w:r>
              <w:rPr>
                <w:rFonts w:hint="eastAsia"/>
                <w:lang w:eastAsia="zh-CN"/>
              </w:rPr>
              <w:t>≤</w:t>
            </w:r>
            <w:r>
              <w:rPr>
                <w:rFonts w:hint="eastAsia"/>
                <w:lang w:val="en-US" w:eastAsia="zh-CN"/>
              </w:rPr>
              <w:t>3864</w:t>
            </w:r>
            <w:r>
              <w:rPr>
                <w:rFonts w:hint="eastAsia"/>
              </w:rPr>
              <w:t>.</w:t>
            </w:r>
            <w:r>
              <w:rPr>
                <w:rFonts w:hint="eastAsia"/>
                <w:lang w:val="en-US" w:eastAsia="zh-CN"/>
              </w:rPr>
              <w:t>54</w:t>
            </w:r>
            <w:r>
              <w:rPr>
                <w:rFonts w:hint="eastAsia"/>
              </w:rPr>
              <w:t>万元</w:t>
            </w:r>
          </w:p>
        </w:tc>
        <w:tc>
          <w:tcPr>
            <w:tcW w:w="655" w:type="pct"/>
            <w:vAlign w:val="center"/>
          </w:tcPr>
          <w:p>
            <w:pPr>
              <w:jc w:val="center"/>
            </w:pPr>
            <w:r>
              <w:rPr>
                <w:rFonts w:hint="eastAsia"/>
                <w:lang w:eastAsia="zh-CN"/>
              </w:rPr>
              <w:t>≤</w:t>
            </w:r>
            <w:r>
              <w:rPr>
                <w:rFonts w:hint="eastAsia"/>
                <w:lang w:val="en-US" w:eastAsia="zh-CN"/>
              </w:rPr>
              <w:t>3864.54</w:t>
            </w:r>
          </w:p>
        </w:tc>
        <w:tc>
          <w:tcPr>
            <w:tcW w:w="356" w:type="pct"/>
            <w:vAlign w:val="center"/>
          </w:tcPr>
          <w:p>
            <w:pPr>
              <w:jc w:val="center"/>
            </w:pPr>
            <w:r>
              <w:rPr>
                <w:rFonts w:hint="eastAsia"/>
              </w:rPr>
              <w:t>10</w:t>
            </w:r>
          </w:p>
        </w:tc>
        <w:tc>
          <w:tcPr>
            <w:tcW w:w="418" w:type="pct"/>
            <w:vAlign w:val="center"/>
          </w:tcPr>
          <w:p>
            <w:pPr>
              <w:jc w:val="center"/>
            </w:pPr>
            <w:r>
              <w:rPr>
                <w:rFonts w:hint="eastAsia"/>
              </w:rPr>
              <w:t>10</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left w:val="single" w:color="auto" w:sz="4" w:space="0"/>
              <w:bottom w:val="single" w:color="auto" w:sz="4" w:space="0"/>
              <w:right w:val="single" w:color="auto" w:sz="4" w:space="0"/>
            </w:tcBorders>
            <w:vAlign w:val="center"/>
          </w:tcPr>
          <w:p>
            <w:pPr>
              <w:jc w:val="center"/>
            </w:pPr>
          </w:p>
        </w:tc>
        <w:tc>
          <w:tcPr>
            <w:tcW w:w="560" w:type="pct"/>
            <w:tcBorders>
              <w:left w:val="single" w:color="auto" w:sz="4" w:space="0"/>
            </w:tcBorders>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restart"/>
            <w:tcBorders>
              <w:top w:val="single" w:color="auto" w:sz="4" w:space="0"/>
              <w:left w:val="single" w:color="auto" w:sz="4" w:space="0"/>
              <w:right w:val="single" w:color="auto" w:sz="4" w:space="0"/>
            </w:tcBorders>
            <w:vAlign w:val="center"/>
          </w:tcPr>
          <w:p>
            <w:pPr>
              <w:jc w:val="center"/>
            </w:pPr>
            <w:r>
              <w:rPr>
                <w:rFonts w:hint="eastAsia"/>
              </w:rPr>
              <w:t>社会</w:t>
            </w:r>
          </w:p>
          <w:p>
            <w:pPr>
              <w:jc w:val="center"/>
            </w:pPr>
            <w:r>
              <w:rPr>
                <w:rFonts w:hint="eastAsia"/>
              </w:rPr>
              <w:t>成本</w:t>
            </w:r>
          </w:p>
          <w:p>
            <w:pPr>
              <w:jc w:val="center"/>
            </w:pPr>
            <w:r>
              <w:rPr>
                <w:rFonts w:hint="eastAsia"/>
              </w:rPr>
              <w:t>指标</w:t>
            </w:r>
          </w:p>
        </w:tc>
        <w:tc>
          <w:tcPr>
            <w:tcW w:w="560" w:type="pct"/>
            <w:tcBorders>
              <w:left w:val="single" w:color="auto" w:sz="4" w:space="0"/>
            </w:tcBorders>
            <w:vAlign w:val="center"/>
          </w:tcPr>
          <w:p>
            <w:pPr>
              <w:jc w:val="center"/>
              <w:rPr>
                <w:rFonts w:cstheme="minorEastAsia"/>
                <w:color w:val="000000" w:themeColor="text1"/>
                <w14:textFill>
                  <w14:solidFill>
                    <w14:schemeClr w14:val="tx1"/>
                  </w14:solidFill>
                </w14:textFill>
              </w:rPr>
            </w:pPr>
            <w:r>
              <w:rPr>
                <w:rFonts w:hint="eastAsia"/>
                <w:kern w:val="0"/>
              </w:rPr>
              <w:t>提高公民的环境卫生意识，养成良好的卫生习惯</w:t>
            </w:r>
          </w:p>
        </w:tc>
        <w:tc>
          <w:tcPr>
            <w:tcW w:w="581" w:type="pct"/>
            <w:vAlign w:val="center"/>
          </w:tcPr>
          <w:p>
            <w:pPr>
              <w:jc w:val="center"/>
            </w:pPr>
            <w:r>
              <w:rPr>
                <w:rFonts w:hint="eastAsia"/>
              </w:rPr>
              <w:t>90%以上</w:t>
            </w:r>
          </w:p>
        </w:tc>
        <w:tc>
          <w:tcPr>
            <w:tcW w:w="655" w:type="pct"/>
            <w:vAlign w:val="center"/>
          </w:tcPr>
          <w:p>
            <w:pPr>
              <w:jc w:val="center"/>
            </w:pPr>
            <w:r>
              <w:rPr>
                <w:rFonts w:hint="eastAsia"/>
              </w:rPr>
              <w:t>提升90%</w:t>
            </w:r>
          </w:p>
        </w:tc>
        <w:tc>
          <w:tcPr>
            <w:tcW w:w="356" w:type="pct"/>
            <w:vAlign w:val="center"/>
          </w:tcPr>
          <w:p>
            <w:pPr>
              <w:jc w:val="center"/>
            </w:pPr>
            <w:r>
              <w:rPr>
                <w:rFonts w:hint="eastAsia"/>
              </w:rPr>
              <w:t>5</w:t>
            </w:r>
          </w:p>
        </w:tc>
        <w:tc>
          <w:tcPr>
            <w:tcW w:w="418" w:type="pct"/>
            <w:vAlign w:val="center"/>
          </w:tcPr>
          <w:p>
            <w:pPr>
              <w:jc w:val="center"/>
            </w:pPr>
            <w:r>
              <w:rPr>
                <w:rFonts w:hint="eastAsia"/>
              </w:rPr>
              <w:t>4</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left w:val="single" w:color="auto" w:sz="4" w:space="0"/>
              <w:bottom w:val="single" w:color="auto" w:sz="4" w:space="0"/>
              <w:right w:val="single" w:color="auto" w:sz="4" w:space="0"/>
            </w:tcBorders>
            <w:vAlign w:val="center"/>
          </w:tcPr>
          <w:p>
            <w:pPr>
              <w:jc w:val="center"/>
            </w:pPr>
          </w:p>
        </w:tc>
        <w:tc>
          <w:tcPr>
            <w:tcW w:w="560" w:type="pct"/>
            <w:tcBorders>
              <w:left w:val="single" w:color="auto" w:sz="4" w:space="0"/>
            </w:tcBorders>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restart"/>
            <w:tcBorders>
              <w:top w:val="single" w:color="auto" w:sz="4" w:space="0"/>
              <w:left w:val="single" w:color="auto" w:sz="4" w:space="0"/>
              <w:right w:val="single" w:color="auto" w:sz="4" w:space="0"/>
            </w:tcBorders>
            <w:vAlign w:val="center"/>
          </w:tcPr>
          <w:p>
            <w:pPr>
              <w:jc w:val="center"/>
            </w:pPr>
            <w:r>
              <w:rPr>
                <w:rFonts w:hint="eastAsia"/>
              </w:rPr>
              <w:t>生态</w:t>
            </w:r>
          </w:p>
          <w:p>
            <w:pPr>
              <w:jc w:val="center"/>
            </w:pPr>
            <w:r>
              <w:rPr>
                <w:rFonts w:hint="eastAsia"/>
              </w:rPr>
              <w:t>环境</w:t>
            </w:r>
          </w:p>
          <w:p>
            <w:pPr>
              <w:jc w:val="center"/>
            </w:pPr>
            <w:r>
              <w:rPr>
                <w:rFonts w:hint="eastAsia"/>
              </w:rPr>
              <w:t>成本</w:t>
            </w:r>
          </w:p>
          <w:p>
            <w:pPr>
              <w:jc w:val="center"/>
            </w:pPr>
            <w:r>
              <w:rPr>
                <w:rFonts w:hint="eastAsia"/>
              </w:rPr>
              <w:t>指标</w:t>
            </w:r>
          </w:p>
        </w:tc>
        <w:tc>
          <w:tcPr>
            <w:tcW w:w="560" w:type="pct"/>
            <w:tcBorders>
              <w:left w:val="single" w:color="auto" w:sz="4" w:space="0"/>
            </w:tcBorders>
            <w:vAlign w:val="center"/>
          </w:tcPr>
          <w:p>
            <w:pPr>
              <w:jc w:val="center"/>
            </w:pPr>
            <w:r>
              <w:rPr>
                <w:rFonts w:hint="eastAsia"/>
              </w:rPr>
              <w:t>公厕清洁达标率</w:t>
            </w:r>
          </w:p>
        </w:tc>
        <w:tc>
          <w:tcPr>
            <w:tcW w:w="581" w:type="pct"/>
            <w:vAlign w:val="center"/>
          </w:tcPr>
          <w:p>
            <w:pPr>
              <w:jc w:val="center"/>
            </w:pPr>
            <w:r>
              <w:rPr>
                <w:rFonts w:hint="eastAsia"/>
              </w:rPr>
              <w:t>95%以上</w:t>
            </w:r>
          </w:p>
        </w:tc>
        <w:tc>
          <w:tcPr>
            <w:tcW w:w="655" w:type="pct"/>
            <w:vAlign w:val="center"/>
          </w:tcPr>
          <w:p>
            <w:pPr>
              <w:jc w:val="center"/>
              <w:rPr>
                <w:rFonts w:cstheme="minorEastAsia"/>
                <w:color w:val="000000" w:themeColor="text1"/>
                <w14:textFill>
                  <w14:solidFill>
                    <w14:schemeClr w14:val="tx1"/>
                  </w14:solidFill>
                </w14:textFill>
              </w:rPr>
            </w:pPr>
            <w:r>
              <w:t>≥</w:t>
            </w:r>
            <w:r>
              <w:rPr>
                <w:rFonts w:hint="eastAsia"/>
              </w:rPr>
              <w:t>95</w:t>
            </w:r>
          </w:p>
        </w:tc>
        <w:tc>
          <w:tcPr>
            <w:tcW w:w="356" w:type="pct"/>
            <w:vAlign w:val="center"/>
          </w:tcPr>
          <w:p>
            <w:pPr>
              <w:jc w:val="center"/>
            </w:pPr>
            <w:r>
              <w:rPr>
                <w:rFonts w:hint="eastAsia"/>
              </w:rPr>
              <w:t>5</w:t>
            </w:r>
          </w:p>
        </w:tc>
        <w:tc>
          <w:tcPr>
            <w:tcW w:w="418" w:type="pct"/>
            <w:vAlign w:val="center"/>
          </w:tcPr>
          <w:p>
            <w:pPr>
              <w:jc w:val="center"/>
            </w:pPr>
            <w:r>
              <w:rPr>
                <w:rFonts w:hint="eastAsia"/>
              </w:rPr>
              <w:t>5</w:t>
            </w: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53" w:type="pct"/>
            <w:vMerge w:val="continue"/>
            <w:textDirection w:val="tbRlV"/>
            <w:vAlign w:val="center"/>
          </w:tcPr>
          <w:p>
            <w:pPr>
              <w:jc w:val="center"/>
            </w:pPr>
          </w:p>
        </w:tc>
        <w:tc>
          <w:tcPr>
            <w:tcW w:w="536"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57" w:type="pct"/>
            <w:vMerge w:val="continue"/>
            <w:tcBorders>
              <w:left w:val="single" w:color="auto" w:sz="4" w:space="0"/>
              <w:bottom w:val="single" w:color="auto" w:sz="4" w:space="0"/>
              <w:right w:val="single" w:color="auto" w:sz="4" w:space="0"/>
            </w:tcBorders>
            <w:vAlign w:val="center"/>
          </w:tcPr>
          <w:p>
            <w:pPr>
              <w:jc w:val="center"/>
            </w:pPr>
          </w:p>
        </w:tc>
        <w:tc>
          <w:tcPr>
            <w:tcW w:w="560" w:type="pct"/>
            <w:tcBorders>
              <w:left w:val="single" w:color="auto" w:sz="4" w:space="0"/>
            </w:tcBorders>
            <w:vAlign w:val="center"/>
          </w:tcPr>
          <w:p>
            <w:pPr>
              <w:jc w:val="center"/>
            </w:pPr>
          </w:p>
        </w:tc>
        <w:tc>
          <w:tcPr>
            <w:tcW w:w="581" w:type="pct"/>
            <w:vAlign w:val="center"/>
          </w:tcPr>
          <w:p>
            <w:pPr>
              <w:jc w:val="center"/>
            </w:pPr>
          </w:p>
        </w:tc>
        <w:tc>
          <w:tcPr>
            <w:tcW w:w="655" w:type="pct"/>
            <w:vAlign w:val="center"/>
          </w:tcPr>
          <w:p>
            <w:pPr>
              <w:jc w:val="center"/>
            </w:pPr>
          </w:p>
        </w:tc>
        <w:tc>
          <w:tcPr>
            <w:tcW w:w="356" w:type="pct"/>
            <w:vAlign w:val="center"/>
          </w:tcPr>
          <w:p>
            <w:pPr>
              <w:jc w:val="center"/>
            </w:pPr>
          </w:p>
        </w:tc>
        <w:tc>
          <w:tcPr>
            <w:tcW w:w="418" w:type="pct"/>
            <w:vAlign w:val="center"/>
          </w:tcPr>
          <w:p>
            <w:pPr>
              <w:jc w:val="center"/>
            </w:pPr>
          </w:p>
        </w:tc>
        <w:tc>
          <w:tcPr>
            <w:tcW w:w="784"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442" w:type="pct"/>
            <w:gridSpan w:val="6"/>
            <w:vAlign w:val="center"/>
          </w:tcPr>
          <w:p>
            <w:pPr>
              <w:jc w:val="center"/>
            </w:pPr>
            <w:r>
              <w:rPr>
                <w:rFonts w:hint="eastAsia"/>
              </w:rPr>
              <w:t>总分</w:t>
            </w:r>
          </w:p>
        </w:tc>
        <w:tc>
          <w:tcPr>
            <w:tcW w:w="356" w:type="pct"/>
            <w:vAlign w:val="center"/>
          </w:tcPr>
          <w:p>
            <w:pPr>
              <w:jc w:val="center"/>
            </w:pPr>
            <w:r>
              <w:rPr>
                <w:rFonts w:hint="eastAsia"/>
              </w:rPr>
              <w:t>100</w:t>
            </w:r>
          </w:p>
        </w:tc>
        <w:tc>
          <w:tcPr>
            <w:tcW w:w="418" w:type="pct"/>
            <w:vAlign w:val="center"/>
          </w:tcPr>
          <w:p>
            <w:pPr>
              <w:jc w:val="center"/>
            </w:pPr>
            <w:r>
              <w:rPr>
                <w:rFonts w:hint="eastAsia"/>
              </w:rPr>
              <w:t>94</w:t>
            </w:r>
          </w:p>
        </w:tc>
        <w:tc>
          <w:tcPr>
            <w:tcW w:w="784" w:type="pct"/>
            <w:vAlign w:val="center"/>
          </w:tcPr>
          <w:p>
            <w:pPr>
              <w:jc w:val="center"/>
            </w:pPr>
          </w:p>
        </w:tc>
      </w:tr>
    </w:tbl>
    <w:p>
      <w:pPr>
        <w:rPr>
          <w:color w:val="000000" w:themeColor="text1"/>
          <w14:textFill>
            <w14:solidFill>
              <w14:schemeClr w14:val="tx1"/>
            </w14:solidFill>
          </w14:textFill>
        </w:rPr>
      </w:pPr>
      <w:r>
        <w:rPr>
          <w:rFonts w:hint="eastAsia"/>
          <w:color w:val="000000" w:themeColor="text1"/>
          <w14:textFill>
            <w14:solidFill>
              <w14:schemeClr w14:val="tx1"/>
            </w14:solidFill>
          </w14:textFill>
        </w:rPr>
        <w:t>备注：每个一级项目支出一张表。如，业务工作经费，运行维护经费，其他事业发展类资金各一张表。</w:t>
      </w:r>
    </w:p>
    <w:p>
      <w:pPr>
        <w:rPr>
          <w:color w:val="000000" w:themeColor="text1"/>
          <w14:textFill>
            <w14:solidFill>
              <w14:schemeClr w14:val="tx1"/>
            </w14:solidFill>
          </w14:textFill>
        </w:rPr>
      </w:pP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填表人：        填报日期：            联系电话：      单位负责人签字：</w:t>
      </w:r>
    </w:p>
    <w:p>
      <w:pP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br w:type="page"/>
      </w:r>
    </w:p>
    <w:p>
      <w:pPr>
        <w:pStyle w:val="9"/>
        <w:rPr>
          <w:color w:val="000000" w:themeColor="text1"/>
          <w14:textFill>
            <w14:solidFill>
              <w14:schemeClr w14:val="tx1"/>
            </w14:solidFill>
          </w14:textFill>
        </w:rPr>
        <w:sectPr>
          <w:footerReference r:id="rId5" w:type="default"/>
          <w:pgSz w:w="11905" w:h="16838"/>
          <w:pgMar w:top="1984" w:right="1701" w:bottom="1984" w:left="1701" w:header="850" w:footer="1587" w:gutter="0"/>
          <w:pgNumType w:fmt="numberInDash"/>
          <w:cols w:space="0" w:num="1"/>
          <w:docGrid w:type="lines" w:linePitch="314" w:charSpace="0"/>
        </w:sectPr>
      </w:pPr>
    </w:p>
    <w:p>
      <w:pPr>
        <w:spacing w:before="181" w:line="171" w:lineRule="auto"/>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附表7</w:t>
      </w:r>
    </w:p>
    <w:p>
      <w:pPr>
        <w:spacing w:line="560" w:lineRule="exact"/>
        <w:jc w:val="center"/>
        <w:rPr>
          <w:rFonts w:eastAsia="方正小标宋_GBK"/>
          <w:color w:val="000000" w:themeColor="text1"/>
          <w:sz w:val="36"/>
          <w:szCs w:val="36"/>
          <w14:textFill>
            <w14:solidFill>
              <w14:schemeClr w14:val="tx1"/>
            </w14:solidFill>
          </w14:textFill>
        </w:rPr>
      </w:pPr>
      <w:r>
        <w:rPr>
          <w:rFonts w:eastAsia="方正小标宋_GBK"/>
          <w:color w:val="000000" w:themeColor="text1"/>
          <w:sz w:val="36"/>
          <w:szCs w:val="36"/>
          <w14:textFill>
            <w14:solidFill>
              <w14:schemeClr w14:val="tx1"/>
            </w14:solidFill>
          </w14:textFill>
        </w:rPr>
        <w:t>绩效评价结果征求意见的反馈函</w:t>
      </w:r>
    </w:p>
    <w:p>
      <w:pPr>
        <w:spacing w:line="560" w:lineRule="exact"/>
        <w:jc w:val="center"/>
        <w:rPr>
          <w:rFonts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（重点绩效评价项目用）</w:t>
      </w:r>
    </w:p>
    <w:p>
      <w:pPr>
        <w:spacing w:line="560" w:lineRule="exact"/>
        <w:rPr>
          <w:rFonts w:eastAsia="仿宋_GB2312"/>
          <w:color w:val="000000" w:themeColor="text1"/>
          <w:sz w:val="28"/>
          <w:szCs w:val="28"/>
          <w14:textFill>
            <w14:solidFill>
              <w14:schemeClr w14:val="tx1"/>
            </w14:solidFill>
          </w14:textFill>
        </w:rPr>
      </w:pPr>
      <w:r>
        <w:rPr>
          <w:rFonts w:eastAsia="仿宋_GB2312"/>
          <w:color w:val="000000" w:themeColor="text1"/>
          <w:sz w:val="28"/>
          <w:szCs w:val="28"/>
          <w:u w:val="single"/>
          <w14:textFill>
            <w14:solidFill>
              <w14:schemeClr w14:val="tx1"/>
            </w14:solidFill>
          </w14:textFill>
        </w:rPr>
        <w:t xml:space="preserve">    </w:t>
      </w:r>
      <w:r>
        <w:rPr>
          <w:rFonts w:hint="eastAsia" w:eastAsia="仿宋_GB2312"/>
          <w:color w:val="000000" w:themeColor="text1"/>
          <w:sz w:val="28"/>
          <w:szCs w:val="28"/>
          <w:u w:val="single"/>
          <w14:textFill>
            <w14:solidFill>
              <w14:schemeClr w14:val="tx1"/>
            </w14:solidFill>
          </w14:textFill>
        </w:rPr>
        <w:t xml:space="preserve">    </w:t>
      </w:r>
      <w:r>
        <w:rPr>
          <w:rFonts w:eastAsia="仿宋_GB2312"/>
          <w:color w:val="000000" w:themeColor="text1"/>
          <w:sz w:val="28"/>
          <w:szCs w:val="28"/>
          <w:u w:val="single"/>
          <w14:textFill>
            <w14:solidFill>
              <w14:schemeClr w14:val="tx1"/>
            </w14:solidFill>
          </w14:textFill>
        </w:rPr>
        <w:t xml:space="preserve">    </w:t>
      </w:r>
      <w:r>
        <w:rPr>
          <w:rFonts w:hint="eastAsia" w:eastAsia="仿宋_GB2312"/>
          <w:color w:val="000000" w:themeColor="text1"/>
          <w:sz w:val="28"/>
          <w:szCs w:val="28"/>
          <w:u w:val="single"/>
          <w14:textFill>
            <w14:solidFill>
              <w14:schemeClr w14:val="tx1"/>
            </w14:solidFill>
          </w14:textFill>
        </w:rPr>
        <w:t xml:space="preserve">   </w:t>
      </w:r>
      <w:r>
        <w:rPr>
          <w:rFonts w:eastAsia="仿宋_GB2312"/>
          <w:color w:val="000000" w:themeColor="text1"/>
          <w:sz w:val="28"/>
          <w:szCs w:val="28"/>
          <w:u w:val="single"/>
          <w14:textFill>
            <w14:solidFill>
              <w14:schemeClr w14:val="tx1"/>
            </w14:solidFill>
          </w14:textFill>
        </w:rPr>
        <w:t xml:space="preserve">   </w:t>
      </w:r>
      <w:r>
        <w:rPr>
          <w:rFonts w:eastAsia="仿宋_GB2312"/>
          <w:color w:val="000000" w:themeColor="text1"/>
          <w:sz w:val="28"/>
          <w:szCs w:val="28"/>
          <w14:textFill>
            <w14:solidFill>
              <w14:schemeClr w14:val="tx1"/>
            </w14:solidFill>
          </w14:textFill>
        </w:rPr>
        <w:t>：</w:t>
      </w:r>
    </w:p>
    <w:p>
      <w:pPr>
        <w:spacing w:line="560" w:lineRule="exact"/>
        <w:ind w:firstLine="640" w:firstLineChars="200"/>
        <w:rPr>
          <w:rFonts w:eastAsia="仿宋_GB2312"/>
          <w:color w:val="000000" w:themeColor="text1"/>
          <w:sz w:val="32"/>
          <w:szCs w:val="32"/>
          <w14:textFill>
            <w14:solidFill>
              <w14:schemeClr w14:val="tx1"/>
            </w14:solidFill>
          </w14:textFill>
        </w:rPr>
      </w:pPr>
      <w:r>
        <w:rPr>
          <w:rFonts w:eastAsia="仿宋_GB2312"/>
          <w:color w:val="000000" w:themeColor="text1"/>
          <w:sz w:val="32"/>
          <w:szCs w:val="32"/>
          <w14:textFill>
            <w14:solidFill>
              <w14:schemeClr w14:val="tx1"/>
            </w14:solidFill>
          </w14:textFill>
        </w:rPr>
        <w:t>按照相关规定和绩效评价要求，根据贵单位的绩效自评报告和绩效评价工作组的现场评价情况，形成绩效评价报告。现将《×××绩效评价报告》反馈贵单位，请于    年     月   日前提出书面意见或说明，逾期未复，视为无异议。</w:t>
      </w:r>
    </w:p>
    <w:tbl>
      <w:tblPr>
        <w:tblStyle w:val="12"/>
        <w:tblW w:w="89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8920" w:type="dxa"/>
            <w:vAlign w:val="center"/>
          </w:tcPr>
          <w:p>
            <w:pPr>
              <w:spacing w:line="560" w:lineRule="exact"/>
              <w:ind w:firstLine="560"/>
              <w:jc w:val="center"/>
              <w:rPr>
                <w:rFonts w:eastAsia="黑体"/>
                <w:color w:val="000000" w:themeColor="text1"/>
                <w:sz w:val="28"/>
                <w:szCs w:val="28"/>
                <w14:textFill>
                  <w14:solidFill>
                    <w14:schemeClr w14:val="tx1"/>
                  </w14:solidFill>
                </w14:textFill>
              </w:rPr>
            </w:pPr>
            <w:r>
              <w:rPr>
                <w:rFonts w:eastAsia="楷体_GB2312"/>
                <w:color w:val="000000" w:themeColor="text1"/>
                <w:sz w:val="28"/>
                <w:szCs w:val="28"/>
                <w14:textFill>
                  <w14:solidFill>
                    <w14:schemeClr w14:val="tx1"/>
                  </w14:solidFill>
                </w14:textFill>
              </w:rPr>
              <w:t>项目实施单位意见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3" w:hRule="atLeast"/>
          <w:jc w:val="center"/>
        </w:trPr>
        <w:tc>
          <w:tcPr>
            <w:tcW w:w="8920" w:type="dxa"/>
          </w:tcPr>
          <w:p>
            <w:pPr>
              <w:spacing w:line="560" w:lineRule="exact"/>
              <w:ind w:firstLine="140" w:firstLineChars="50"/>
              <w:rPr>
                <w:rFonts w:eastAsia="黑体"/>
                <w:color w:val="000000" w:themeColor="text1"/>
                <w:sz w:val="28"/>
                <w:szCs w:val="28"/>
                <w14:textFill>
                  <w14:solidFill>
                    <w14:schemeClr w14:val="tx1"/>
                  </w14:solidFill>
                </w14:textFill>
              </w:rPr>
            </w:pPr>
            <w:r>
              <w:rPr>
                <w:rFonts w:eastAsia="黑体"/>
                <w:color w:val="000000" w:themeColor="text1"/>
                <w:sz w:val="28"/>
                <w:szCs w:val="28"/>
                <w14:textFill>
                  <w14:solidFill>
                    <w14:schemeClr w14:val="tx1"/>
                  </w14:solidFill>
                </w14:textFill>
              </w:rPr>
              <w:t>一、对报告中“评价结论”的意见</w:t>
            </w:r>
          </w:p>
          <w:p>
            <w:pPr>
              <w:spacing w:line="560" w:lineRule="exact"/>
              <w:ind w:firstLine="560"/>
              <w:rPr>
                <w:color w:val="000000" w:themeColor="text1"/>
                <w:sz w:val="28"/>
                <w:szCs w:val="28"/>
                <w14:textFill>
                  <w14:solidFill>
                    <w14:schemeClr w14:val="tx1"/>
                  </w14:solidFill>
                </w14:textFill>
              </w:rPr>
            </w:pPr>
          </w:p>
          <w:p>
            <w:pPr>
              <w:spacing w:line="560" w:lineRule="exact"/>
              <w:ind w:firstLine="560"/>
              <w:rPr>
                <w:color w:val="000000" w:themeColor="text1"/>
                <w:sz w:val="28"/>
                <w:szCs w:val="28"/>
                <w14:textFill>
                  <w14:solidFill>
                    <w14:schemeClr w14:val="tx1"/>
                  </w14:solidFill>
                </w14:textFill>
              </w:rPr>
            </w:pPr>
          </w:p>
          <w:p>
            <w:pPr>
              <w:spacing w:line="560" w:lineRule="exact"/>
              <w:ind w:firstLine="140" w:firstLineChars="50"/>
              <w:rPr>
                <w:rFonts w:eastAsia="黑体"/>
                <w:color w:val="000000" w:themeColor="text1"/>
                <w:sz w:val="28"/>
                <w:szCs w:val="28"/>
                <w14:textFill>
                  <w14:solidFill>
                    <w14:schemeClr w14:val="tx1"/>
                  </w14:solidFill>
                </w14:textFill>
              </w:rPr>
            </w:pPr>
            <w:r>
              <w:rPr>
                <w:rFonts w:eastAsia="黑体"/>
                <w:color w:val="000000" w:themeColor="text1"/>
                <w:sz w:val="28"/>
                <w:szCs w:val="28"/>
                <w14:textFill>
                  <w14:solidFill>
                    <w14:schemeClr w14:val="tx1"/>
                  </w14:solidFill>
                </w14:textFill>
              </w:rPr>
              <w:t>二、对报告中“问题”和“建议”的意见</w:t>
            </w:r>
          </w:p>
          <w:p>
            <w:pPr>
              <w:spacing w:line="560" w:lineRule="exact"/>
              <w:ind w:firstLine="560"/>
              <w:rPr>
                <w:color w:val="000000" w:themeColor="text1"/>
                <w:sz w:val="28"/>
                <w:szCs w:val="28"/>
                <w14:textFill>
                  <w14:solidFill>
                    <w14:schemeClr w14:val="tx1"/>
                  </w14:solidFill>
                </w14:textFill>
              </w:rPr>
            </w:pPr>
          </w:p>
          <w:p>
            <w:pPr>
              <w:spacing w:line="560" w:lineRule="exact"/>
              <w:ind w:firstLine="560"/>
              <w:rPr>
                <w:color w:val="000000" w:themeColor="text1"/>
                <w:sz w:val="28"/>
                <w:szCs w:val="28"/>
                <w14:textFill>
                  <w14:solidFill>
                    <w14:schemeClr w14:val="tx1"/>
                  </w14:solidFill>
                </w14:textFill>
              </w:rPr>
            </w:pPr>
          </w:p>
          <w:p>
            <w:pPr>
              <w:spacing w:line="560" w:lineRule="exact"/>
              <w:ind w:firstLine="560"/>
              <w:rPr>
                <w:color w:val="000000" w:themeColor="text1"/>
                <w:sz w:val="28"/>
                <w:szCs w:val="28"/>
                <w14:textFill>
                  <w14:solidFill>
                    <w14:schemeClr w14:val="tx1"/>
                  </w14:solidFill>
                </w14:textFill>
              </w:rPr>
            </w:pPr>
          </w:p>
          <w:p>
            <w:pPr>
              <w:spacing w:line="560" w:lineRule="exact"/>
              <w:ind w:firstLine="140" w:firstLineChars="50"/>
              <w:rPr>
                <w:rFonts w:eastAsia="黑体"/>
                <w:color w:val="000000" w:themeColor="text1"/>
                <w:sz w:val="28"/>
                <w:szCs w:val="28"/>
                <w14:textFill>
                  <w14:solidFill>
                    <w14:schemeClr w14:val="tx1"/>
                  </w14:solidFill>
                </w14:textFill>
              </w:rPr>
            </w:pPr>
            <w:r>
              <w:rPr>
                <w:rFonts w:eastAsia="黑体"/>
                <w:color w:val="000000" w:themeColor="text1"/>
                <w:sz w:val="28"/>
                <w:szCs w:val="28"/>
                <w14:textFill>
                  <w14:solidFill>
                    <w14:schemeClr w14:val="tx1"/>
                  </w14:solidFill>
                </w14:textFill>
              </w:rPr>
              <w:t>三、</w:t>
            </w:r>
            <w:r>
              <w:rPr>
                <w:rFonts w:hint="eastAsia" w:eastAsia="黑体"/>
                <w:color w:val="000000" w:themeColor="text1"/>
                <w:sz w:val="28"/>
                <w:szCs w:val="28"/>
                <w14:textFill>
                  <w14:solidFill>
                    <w14:schemeClr w14:val="tx1"/>
                  </w14:solidFill>
                </w14:textFill>
              </w:rPr>
              <w:t>其他意见</w:t>
            </w:r>
            <w:r>
              <w:rPr>
                <w:rFonts w:eastAsia="黑体"/>
                <w:color w:val="000000" w:themeColor="text1"/>
                <w:sz w:val="28"/>
                <w:szCs w:val="28"/>
                <w14:textFill>
                  <w14:solidFill>
                    <w14:schemeClr w14:val="tx1"/>
                  </w14:solidFill>
                </w14:textFill>
              </w:rPr>
              <w:t>或建议</w:t>
            </w:r>
          </w:p>
          <w:p>
            <w:pPr>
              <w:wordWrap w:val="0"/>
              <w:spacing w:line="560" w:lineRule="exact"/>
              <w:ind w:right="1280"/>
              <w:jc w:val="right"/>
              <w:rPr>
                <w:rFonts w:eastAsia="仿宋_GB2312"/>
                <w:color w:val="000000" w:themeColor="text1"/>
                <w:sz w:val="28"/>
                <w:szCs w:val="28"/>
                <w14:textFill>
                  <w14:solidFill>
                    <w14:schemeClr w14:val="tx1"/>
                  </w14:solidFill>
                </w14:textFill>
              </w:rPr>
            </w:pPr>
          </w:p>
          <w:p>
            <w:pPr>
              <w:pStyle w:val="9"/>
              <w:rPr>
                <w:rFonts w:eastAsia="仿宋_GB2312"/>
                <w:color w:val="000000" w:themeColor="text1"/>
                <w:sz w:val="28"/>
                <w:szCs w:val="28"/>
                <w14:textFill>
                  <w14:solidFill>
                    <w14:schemeClr w14:val="tx1"/>
                  </w14:solidFill>
                </w14:textFill>
              </w:rPr>
            </w:pPr>
          </w:p>
          <w:p>
            <w:pPr>
              <w:rPr>
                <w:rFonts w:eastAsia="仿宋_GB2312"/>
                <w:color w:val="000000" w:themeColor="text1"/>
                <w:sz w:val="28"/>
                <w:szCs w:val="28"/>
                <w14:textFill>
                  <w14:solidFill>
                    <w14:schemeClr w14:val="tx1"/>
                  </w14:solidFill>
                </w14:textFill>
              </w:rPr>
            </w:pPr>
          </w:p>
          <w:p>
            <w:pPr>
              <w:pStyle w:val="9"/>
              <w:rPr>
                <w:color w:val="000000" w:themeColor="text1"/>
                <w14:textFill>
                  <w14:solidFill>
                    <w14:schemeClr w14:val="tx1"/>
                  </w14:solidFill>
                </w14:textFill>
              </w:rPr>
            </w:pPr>
          </w:p>
          <w:p>
            <w:pPr>
              <w:wordWrap w:val="0"/>
              <w:spacing w:line="560" w:lineRule="exact"/>
              <w:ind w:right="1280"/>
              <w:jc w:val="right"/>
              <w:rPr>
                <w:rFonts w:eastAsia="仿宋_GB2312"/>
                <w:color w:val="000000" w:themeColor="text1"/>
                <w:sz w:val="28"/>
                <w:szCs w:val="28"/>
                <w14:textFill>
                  <w14:solidFill>
                    <w14:schemeClr w14:val="tx1"/>
                  </w14:solidFill>
                </w14:textFill>
              </w:rPr>
            </w:pPr>
            <w:r>
              <w:rPr>
                <w:rFonts w:hint="eastAsia" w:eastAsia="仿宋_GB2312"/>
                <w:color w:val="000000" w:themeColor="text1"/>
                <w:sz w:val="28"/>
                <w:szCs w:val="28"/>
                <w14:textFill>
                  <w14:solidFill>
                    <w14:schemeClr w14:val="tx1"/>
                  </w14:solidFill>
                </w14:textFill>
              </w:rPr>
              <w:t>单</w:t>
            </w:r>
            <w:r>
              <w:rPr>
                <w:rFonts w:eastAsia="仿宋_GB2312"/>
                <w:color w:val="000000" w:themeColor="text1"/>
                <w:sz w:val="28"/>
                <w:szCs w:val="28"/>
                <w14:textFill>
                  <w14:solidFill>
                    <w14:schemeClr w14:val="tx1"/>
                  </w14:solidFill>
                </w14:textFill>
              </w:rPr>
              <w:t>位（盖章）</w:t>
            </w:r>
          </w:p>
          <w:p>
            <w:pPr>
              <w:wordWrap w:val="0"/>
              <w:spacing w:line="560" w:lineRule="exact"/>
              <w:ind w:right="1280"/>
              <w:jc w:val="right"/>
              <w:rPr>
                <w:color w:val="000000" w:themeColor="text1"/>
                <w:sz w:val="28"/>
                <w:szCs w:val="28"/>
                <w14:textFill>
                  <w14:solidFill>
                    <w14:schemeClr w14:val="tx1"/>
                  </w14:solidFill>
                </w14:textFill>
              </w:rPr>
            </w:pPr>
            <w:r>
              <w:rPr>
                <w:rFonts w:eastAsia="仿宋_GB2312"/>
                <w:color w:val="000000" w:themeColor="text1"/>
                <w:sz w:val="28"/>
                <w:szCs w:val="28"/>
                <w14:textFill>
                  <w14:solidFill>
                    <w14:schemeClr w14:val="tx1"/>
                  </w14:solidFill>
                </w14:textFill>
              </w:rPr>
              <w:t>年   月   日</w:t>
            </w:r>
          </w:p>
        </w:tc>
      </w:tr>
    </w:tbl>
    <w:p>
      <w:pPr>
        <w:spacing w:line="20" w:lineRule="exact"/>
        <w:rPr>
          <w:rFonts w:ascii="黑体" w:hAnsi="宋体" w:eastAsia="黑体" w:cs="黑体"/>
          <w:color w:val="000000" w:themeColor="text1"/>
          <w:kern w:val="0"/>
          <w:sz w:val="32"/>
          <w:szCs w:val="32"/>
          <w14:textFill>
            <w14:solidFill>
              <w14:schemeClr w14:val="tx1"/>
            </w14:solidFill>
          </w14:textFill>
        </w:rPr>
      </w:pPr>
      <w:r>
        <w:rPr>
          <w:rFonts w:hint="eastAsia" w:ascii="黑体" w:hAnsi="宋体" w:eastAsia="黑体" w:cs="黑体"/>
          <w:color w:val="000000" w:themeColor="text1"/>
          <w:kern w:val="0"/>
          <w:sz w:val="32"/>
          <w:szCs w:val="32"/>
          <w14:textFill>
            <w14:solidFill>
              <w14:schemeClr w14:val="tx1"/>
            </w14:solidFill>
          </w14:textFill>
        </w:rPr>
        <w:br w:type="page"/>
      </w:r>
    </w:p>
    <w:p>
      <w:pPr>
        <w:spacing w:before="181" w:line="171" w:lineRule="auto"/>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附表8</w:t>
      </w:r>
    </w:p>
    <w:p>
      <w:pPr>
        <w:spacing w:line="560" w:lineRule="exact"/>
        <w:jc w:val="center"/>
        <w:rPr>
          <w:rFonts w:eastAsia="方正小标宋_GBK"/>
          <w:color w:val="000000" w:themeColor="text1"/>
          <w:sz w:val="36"/>
          <w:szCs w:val="36"/>
          <w14:textFill>
            <w14:solidFill>
              <w14:schemeClr w14:val="tx1"/>
            </w14:solidFill>
          </w14:textFill>
        </w:rPr>
      </w:pPr>
      <w:r>
        <w:rPr>
          <w:rFonts w:eastAsia="方正小标宋_GBK"/>
          <w:color w:val="000000" w:themeColor="text1"/>
          <w:sz w:val="36"/>
          <w:szCs w:val="36"/>
          <w14:textFill>
            <w14:solidFill>
              <w14:schemeClr w14:val="tx1"/>
            </w14:solidFill>
          </w14:textFill>
        </w:rPr>
        <w:t>绩效评价结果整改报告书</w:t>
      </w:r>
    </w:p>
    <w:p>
      <w:pPr>
        <w:spacing w:line="560" w:lineRule="exact"/>
        <w:jc w:val="center"/>
        <w:rPr>
          <w:color w:val="000000" w:themeColor="text1"/>
          <w:sz w:val="28"/>
          <w:szCs w:val="28"/>
          <w14:textFill>
            <w14:solidFill>
              <w14:schemeClr w14:val="tx1"/>
            </w14:solidFill>
          </w14:textFill>
        </w:rPr>
      </w:pPr>
      <w:r>
        <w:rPr>
          <w:rFonts w:eastAsia="楷体_GB2312"/>
          <w:color w:val="000000" w:themeColor="text1"/>
          <w:sz w:val="32"/>
          <w:szCs w:val="32"/>
          <w14:textFill>
            <w14:solidFill>
              <w14:schemeClr w14:val="tx1"/>
            </w14:solidFill>
          </w14:textFill>
        </w:rPr>
        <w:t>（参考格式）</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6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color w:val="000000" w:themeColor="text1"/>
                <w:sz w:val="24"/>
                <w14:textFill>
                  <w14:solidFill>
                    <w14:schemeClr w14:val="tx1"/>
                  </w14:solidFill>
                </w14:textFill>
              </w:rPr>
            </w:pPr>
            <w:r>
              <w:rPr>
                <w:rFonts w:ascii="黑体" w:hAnsi="黑体" w:eastAsia="黑体"/>
                <w:color w:val="000000" w:themeColor="text1"/>
                <w:sz w:val="24"/>
                <w14:textFill>
                  <w14:solidFill>
                    <w14:schemeClr w14:val="tx1"/>
                  </w14:solidFill>
                </w14:textFill>
              </w:rPr>
              <w:t>预算支出名称</w:t>
            </w:r>
          </w:p>
        </w:tc>
        <w:tc>
          <w:tcPr>
            <w:tcW w:w="6773" w:type="dxa"/>
          </w:tcPr>
          <w:p>
            <w:pPr>
              <w:spacing w:line="560" w:lineRule="exact"/>
              <w:ind w:firstLine="560"/>
              <w:rPr>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color w:val="000000" w:themeColor="text1"/>
                <w:sz w:val="24"/>
                <w14:textFill>
                  <w14:solidFill>
                    <w14:schemeClr w14:val="tx1"/>
                  </w14:solidFill>
                </w14:textFill>
              </w:rPr>
            </w:pPr>
            <w:r>
              <w:rPr>
                <w:rFonts w:ascii="黑体" w:hAnsi="黑体" w:eastAsia="黑体"/>
                <w:color w:val="000000" w:themeColor="text1"/>
                <w:sz w:val="24"/>
                <w14:textFill>
                  <w14:solidFill>
                    <w14:schemeClr w14:val="tx1"/>
                  </w14:solidFill>
                </w14:textFill>
              </w:rPr>
              <w:t>评价内容</w:t>
            </w:r>
          </w:p>
        </w:tc>
        <w:tc>
          <w:tcPr>
            <w:tcW w:w="6773" w:type="dxa"/>
          </w:tcPr>
          <w:p>
            <w:pPr>
              <w:spacing w:line="560" w:lineRule="exact"/>
              <w:ind w:firstLine="560"/>
              <w:rPr>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color w:val="000000" w:themeColor="text1"/>
                <w:sz w:val="24"/>
                <w14:textFill>
                  <w14:solidFill>
                    <w14:schemeClr w14:val="tx1"/>
                  </w14:solidFill>
                </w14:textFill>
              </w:rPr>
            </w:pPr>
            <w:r>
              <w:rPr>
                <w:rFonts w:ascii="黑体" w:hAnsi="黑体" w:eastAsia="黑体"/>
                <w:color w:val="000000" w:themeColor="text1"/>
                <w:sz w:val="24"/>
                <w14:textFill>
                  <w14:solidFill>
                    <w14:schemeClr w14:val="tx1"/>
                  </w14:solidFill>
                </w14:textFill>
              </w:rPr>
              <w:t>联系人及电话</w:t>
            </w:r>
          </w:p>
        </w:tc>
        <w:tc>
          <w:tcPr>
            <w:tcW w:w="6773" w:type="dxa"/>
          </w:tcPr>
          <w:p>
            <w:pPr>
              <w:spacing w:line="560" w:lineRule="exact"/>
              <w:ind w:firstLine="560"/>
              <w:rPr>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9" w:hRule="atLeast"/>
          <w:jc w:val="center"/>
        </w:trPr>
        <w:tc>
          <w:tcPr>
            <w:tcW w:w="8600" w:type="dxa"/>
            <w:gridSpan w:val="2"/>
          </w:tcPr>
          <w:p>
            <w:pPr>
              <w:spacing w:line="560" w:lineRule="exact"/>
              <w:ind w:right="-27" w:rightChars="-13"/>
              <w:jc w:val="center"/>
              <w:rPr>
                <w:color w:val="000000" w:themeColor="text1"/>
                <w:sz w:val="24"/>
                <w14:textFill>
                  <w14:solidFill>
                    <w14:schemeClr w14:val="tx1"/>
                  </w14:solidFill>
                </w14:textFill>
              </w:rPr>
            </w:pPr>
            <w:r>
              <w:rPr>
                <w:color w:val="000000" w:themeColor="text1"/>
                <w:sz w:val="32"/>
                <w:szCs w:val="32"/>
                <w14:textFill>
                  <w14:solidFill>
                    <w14:schemeClr w14:val="tx1"/>
                  </w14:solidFill>
                </w14:textFill>
              </w:rPr>
              <w:t>整改情况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0" w:hRule="atLeast"/>
          <w:jc w:val="center"/>
        </w:trPr>
        <w:tc>
          <w:tcPr>
            <w:tcW w:w="1827" w:type="dxa"/>
            <w:vAlign w:val="center"/>
          </w:tcPr>
          <w:p>
            <w:pPr>
              <w:spacing w:line="560" w:lineRule="exact"/>
              <w:ind w:right="-27" w:rightChars="-13"/>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单位意见</w:t>
            </w:r>
          </w:p>
        </w:tc>
        <w:tc>
          <w:tcPr>
            <w:tcW w:w="6773" w:type="dxa"/>
            <w:vAlign w:val="bottom"/>
          </w:tcPr>
          <w:p>
            <w:pPr>
              <w:spacing w:line="560" w:lineRule="exact"/>
              <w:ind w:right="-27" w:rightChars="-13"/>
              <w:jc w:val="center"/>
              <w:rPr>
                <w:color w:val="000000" w:themeColor="text1"/>
                <w:sz w:val="24"/>
                <w14:textFill>
                  <w14:solidFill>
                    <w14:schemeClr w14:val="tx1"/>
                  </w14:solidFill>
                </w14:textFill>
              </w:rPr>
            </w:pPr>
          </w:p>
          <w:p>
            <w:pPr>
              <w:spacing w:line="560" w:lineRule="exact"/>
              <w:ind w:right="-27" w:rightChars="-13"/>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单位负责人签名：     单位（盖章）：      年    月    日</w:t>
            </w:r>
          </w:p>
        </w:tc>
      </w:tr>
    </w:tbl>
    <w:p>
      <w:pPr>
        <w:widowControl/>
        <w:spacing w:line="400" w:lineRule="exact"/>
        <w:rPr>
          <w:rFonts w:ascii="宋体" w:hAnsi="宋体" w:cs="宋体"/>
          <w:bCs/>
          <w:color w:val="000000" w:themeColor="text1"/>
          <w:szCs w:val="21"/>
          <w14:textFill>
            <w14:solidFill>
              <w14:schemeClr w14:val="tx1"/>
            </w14:solidFill>
          </w14:textFill>
        </w:rPr>
      </w:pPr>
      <w:r>
        <w:rPr>
          <w:rFonts w:hint="eastAsia" w:ascii="宋体" w:hAnsi="宋体" w:cs="宋体"/>
          <w:b/>
          <w:color w:val="000000" w:themeColor="text1"/>
          <w:szCs w:val="21"/>
          <w14:textFill>
            <w14:solidFill>
              <w14:schemeClr w14:val="tx1"/>
            </w14:solidFill>
          </w14:textFill>
        </w:rPr>
        <w:t>注</w:t>
      </w:r>
      <w:r>
        <w:rPr>
          <w:rFonts w:hint="eastAsia" w:ascii="宋体" w:hAnsi="宋体" w:cs="宋体"/>
          <w:bCs/>
          <w:color w:val="000000" w:themeColor="text1"/>
          <w:szCs w:val="21"/>
          <w14:textFill>
            <w14:solidFill>
              <w14:schemeClr w14:val="tx1"/>
            </w14:solidFill>
          </w14:textFill>
        </w:rPr>
        <w:t>：绩效评价结果整改报告书应在收到绩效评价结果反馈意见后30天内交县财政局绩效管理股。</w:t>
      </w:r>
    </w:p>
    <w:p>
      <w:pPr>
        <w:spacing w:line="580" w:lineRule="exact"/>
        <w:jc w:val="left"/>
        <w:rPr>
          <w:rFonts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附件5</w:t>
      </w:r>
    </w:p>
    <w:p>
      <w:pPr>
        <w:jc w:val="center"/>
        <w:rPr>
          <w:rFonts w:ascii="方正小标宋简体" w:hAnsi="方正小标宋简体" w:eastAsia="方正小标宋简体" w:cs="方正小标宋简体"/>
          <w:color w:val="000000" w:themeColor="text1"/>
          <w:sz w:val="44"/>
          <w:szCs w:val="4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900" w:lineRule="exact"/>
        <w:jc w:val="center"/>
        <w:textAlignment w:val="auto"/>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2023年度华容县市容环境卫生服务中心垃圾处理正常运营相关服务费项目支出</w:t>
      </w:r>
    </w:p>
    <w:p>
      <w:pPr>
        <w:keepNext w:val="0"/>
        <w:keepLines w:val="0"/>
        <w:pageBreakBefore w:val="0"/>
        <w:widowControl w:val="0"/>
        <w:kinsoku/>
        <w:wordWrap/>
        <w:overflowPunct/>
        <w:topLinePunct w:val="0"/>
        <w:autoSpaceDE/>
        <w:autoSpaceDN/>
        <w:bidi w:val="0"/>
        <w:adjustRightInd/>
        <w:snapToGrid/>
        <w:spacing w:line="900" w:lineRule="exact"/>
        <w:jc w:val="center"/>
        <w:textAlignment w:val="auto"/>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绩效自评报告</w:t>
      </w:r>
    </w:p>
    <w:p>
      <w:pPr>
        <w:jc w:val="center"/>
        <w:rPr>
          <w:rFonts w:eastAsia="方正小标宋_GBK"/>
          <w:b/>
          <w:color w:val="000000" w:themeColor="text1"/>
          <w:sz w:val="52"/>
          <w:szCs w:val="52"/>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pStyle w:val="9"/>
        <w:rPr>
          <w:color w:val="000000" w:themeColor="text1"/>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jc w:val="center"/>
        <w:rPr>
          <w:rFonts w:eastAsia="黑体"/>
          <w:color w:val="000000" w:themeColor="text1"/>
          <w:sz w:val="32"/>
          <w:szCs w:val="32"/>
          <w14:textFill>
            <w14:solidFill>
              <w14:schemeClr w14:val="tx1"/>
            </w14:solidFill>
          </w14:textFill>
        </w:rPr>
      </w:pPr>
    </w:p>
    <w:p>
      <w:pPr>
        <w:rPr>
          <w:rFonts w:eastAsia="黑体"/>
          <w:color w:val="000000" w:themeColor="text1"/>
          <w:sz w:val="32"/>
          <w:szCs w:val="32"/>
          <w14:textFill>
            <w14:solidFill>
              <w14:schemeClr w14:val="tx1"/>
            </w14:solidFill>
          </w14:textFill>
        </w:rPr>
      </w:pPr>
    </w:p>
    <w:p>
      <w:pPr>
        <w:pStyle w:val="4"/>
        <w:spacing w:before="100" w:line="221" w:lineRule="auto"/>
        <w:ind w:firstLine="60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pacing w:val="-10"/>
          <w:sz w:val="32"/>
          <w:szCs w:val="32"/>
          <w14:textFill>
            <w14:solidFill>
              <w14:schemeClr w14:val="tx1"/>
            </w14:solidFill>
          </w14:textFill>
        </w:rPr>
        <w:t>部门（单位）名称</w:t>
      </w:r>
      <w:r>
        <w:rPr>
          <w:rFonts w:hint="eastAsia" w:ascii="仿宋_GB2312" w:hAnsi="仿宋_GB2312" w:eastAsia="仿宋_GB2312" w:cs="仿宋_GB2312"/>
          <w:color w:val="000000" w:themeColor="text1"/>
          <w:spacing w:val="4"/>
          <w:sz w:val="32"/>
          <w:szCs w:val="32"/>
          <w14:textFill>
            <w14:solidFill>
              <w14:schemeClr w14:val="tx1"/>
            </w14:solidFill>
          </w14:textFill>
        </w:rPr>
        <w:t>：</w:t>
      </w:r>
      <w:r>
        <w:rPr>
          <w:rFonts w:hint="eastAsia" w:ascii="仿宋_GB2312" w:hAnsi="仿宋_GB2312" w:eastAsia="仿宋_GB2312" w:cs="仿宋_GB2312"/>
          <w:color w:val="000000" w:themeColor="text1"/>
          <w:spacing w:val="4"/>
          <w:sz w:val="32"/>
          <w:szCs w:val="32"/>
          <w:u w:val="single"/>
          <w:lang w:eastAsia="zh-CN"/>
          <w14:textFill>
            <w14:solidFill>
              <w14:schemeClr w14:val="tx1"/>
            </w14:solidFill>
          </w14:textFill>
        </w:rPr>
        <w:t>(</w:t>
      </w:r>
      <w:r>
        <w:rPr>
          <w:rFonts w:hint="eastAsia" w:ascii="仿宋_GB2312" w:hAnsi="仿宋_GB2312" w:eastAsia="仿宋_GB2312" w:cs="仿宋_GB2312"/>
          <w:color w:val="000000" w:themeColor="text1"/>
          <w:spacing w:val="-118"/>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pacing w:val="-75"/>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pacing w:val="-10"/>
          <w:sz w:val="32"/>
          <w:szCs w:val="32"/>
          <w:u w:val="single"/>
          <w14:textFill>
            <w14:solidFill>
              <w14:schemeClr w14:val="tx1"/>
            </w14:solidFill>
          </w14:textFill>
        </w:rPr>
        <w:t>盖章）</w:t>
      </w:r>
      <w:r>
        <w:rPr>
          <w:rFonts w:hint="eastAsia" w:ascii="仿宋_GB2312" w:hAnsi="仿宋_GB2312" w:eastAsia="仿宋_GB2312" w:cs="仿宋_GB2312"/>
          <w:color w:val="000000" w:themeColor="text1"/>
          <w:sz w:val="32"/>
          <w:szCs w:val="32"/>
          <w:u w:val="single"/>
          <w14:textFill>
            <w14:solidFill>
              <w14:schemeClr w14:val="tx1"/>
            </w14:solidFill>
          </w14:textFill>
        </w:rPr>
        <w:t xml:space="preserve">       </w:t>
      </w:r>
      <w:r>
        <w:rPr>
          <w:rFonts w:hint="eastAsia" w:ascii="仿宋_GB2312" w:hAnsi="仿宋_GB2312" w:eastAsia="仿宋_GB2312" w:cs="仿宋_GB2312"/>
          <w:color w:val="000000" w:themeColor="text1"/>
          <w:sz w:val="32"/>
          <w:szCs w:val="32"/>
          <w:u w:val="single"/>
          <w:lang w:eastAsia="zh-CN"/>
          <w14:textFill>
            <w14:solidFill>
              <w14:schemeClr w14:val="tx1"/>
            </w14:solidFill>
          </w14:textFill>
        </w:rPr>
        <w:t xml:space="preserve">     </w:t>
      </w:r>
      <w:r>
        <w:rPr>
          <w:rFonts w:hint="eastAsia" w:ascii="仿宋_GB2312" w:hAnsi="仿宋_GB2312" w:eastAsia="仿宋_GB2312" w:cs="仿宋_GB2312"/>
          <w:color w:val="000000" w:themeColor="text1"/>
          <w:sz w:val="32"/>
          <w:szCs w:val="32"/>
          <w:u w:val="single"/>
          <w14:textFill>
            <w14:solidFill>
              <w14:schemeClr w14:val="tx1"/>
            </w14:solidFill>
          </w14:textFill>
        </w:rPr>
        <w:t xml:space="preserve">  </w:t>
      </w:r>
    </w:p>
    <w:p>
      <w:pPr>
        <w:spacing w:before="228" w:line="222" w:lineRule="auto"/>
        <w:ind w:firstLine="4560" w:firstLineChars="15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pacing w:val="-8"/>
          <w:sz w:val="32"/>
          <w:szCs w:val="32"/>
          <w14:textFill>
            <w14:solidFill>
              <w14:schemeClr w14:val="tx1"/>
            </w14:solidFill>
          </w14:textFill>
        </w:rPr>
        <w:t>2024年5</w:t>
      </w:r>
      <w:r>
        <w:rPr>
          <w:rFonts w:hint="eastAsia" w:ascii="仿宋_GB2312" w:hAnsi="仿宋_GB2312" w:eastAsia="仿宋_GB2312" w:cs="仿宋_GB2312"/>
          <w:color w:val="000000" w:themeColor="text1"/>
          <w:spacing w:val="21"/>
          <w:sz w:val="32"/>
          <w:szCs w:val="32"/>
          <w14:textFill>
            <w14:solidFill>
              <w14:schemeClr w14:val="tx1"/>
            </w14:solidFill>
          </w14:textFill>
        </w:rPr>
        <w:t xml:space="preserve">  </w:t>
      </w:r>
      <w:r>
        <w:rPr>
          <w:rFonts w:hint="eastAsia" w:ascii="仿宋_GB2312" w:hAnsi="仿宋_GB2312" w:eastAsia="仿宋_GB2312" w:cs="仿宋_GB2312"/>
          <w:color w:val="000000" w:themeColor="text1"/>
          <w:spacing w:val="-8"/>
          <w:sz w:val="32"/>
          <w:szCs w:val="32"/>
          <w14:textFill>
            <w14:solidFill>
              <w14:schemeClr w14:val="tx1"/>
            </w14:solidFill>
          </w14:textFill>
        </w:rPr>
        <w:t>月28</w:t>
      </w:r>
      <w:r>
        <w:rPr>
          <w:rFonts w:hint="eastAsia" w:ascii="仿宋_GB2312" w:hAnsi="仿宋_GB2312" w:eastAsia="仿宋_GB2312" w:cs="仿宋_GB2312"/>
          <w:color w:val="000000" w:themeColor="text1"/>
          <w:spacing w:val="43"/>
          <w:sz w:val="32"/>
          <w:szCs w:val="32"/>
          <w14:textFill>
            <w14:solidFill>
              <w14:schemeClr w14:val="tx1"/>
            </w14:solidFill>
          </w14:textFill>
        </w:rPr>
        <w:t xml:space="preserve">  </w:t>
      </w:r>
      <w:r>
        <w:rPr>
          <w:rFonts w:hint="eastAsia" w:ascii="仿宋_GB2312" w:hAnsi="仿宋_GB2312" w:eastAsia="仿宋_GB2312" w:cs="仿宋_GB2312"/>
          <w:color w:val="000000" w:themeColor="text1"/>
          <w:spacing w:val="-8"/>
          <w:sz w:val="32"/>
          <w:szCs w:val="32"/>
          <w14:textFill>
            <w14:solidFill>
              <w14:schemeClr w14:val="tx1"/>
            </w14:solidFill>
          </w14:textFill>
        </w:rPr>
        <w:t>日</w:t>
      </w:r>
    </w:p>
    <w:p>
      <w:pPr>
        <w:spacing w:line="335" w:lineRule="auto"/>
        <w:rPr>
          <w:rFonts w:ascii="仿宋_GB2312" w:hAnsi="仿宋_GB2312" w:eastAsia="仿宋_GB2312" w:cs="仿宋_GB2312"/>
          <w:color w:val="000000" w:themeColor="text1"/>
          <w:sz w:val="32"/>
          <w:szCs w:val="32"/>
          <w14:textFill>
            <w14:solidFill>
              <w14:schemeClr w14:val="tx1"/>
            </w14:solidFill>
          </w14:textFill>
        </w:rPr>
      </w:pPr>
    </w:p>
    <w:p>
      <w:pPr>
        <w:pStyle w:val="4"/>
        <w:spacing w:before="102" w:line="224" w:lineRule="auto"/>
        <w:ind w:left="3216"/>
        <w:rPr>
          <w:rFonts w:ascii="仿宋_GB2312" w:hAnsi="仿宋_GB2312" w:eastAsia="仿宋_GB2312" w:cs="仿宋_GB2312"/>
          <w:color w:val="000000" w:themeColor="text1"/>
          <w:spacing w:val="8"/>
          <w:sz w:val="32"/>
          <w:szCs w:val="32"/>
          <w14:textFill>
            <w14:solidFill>
              <w14:schemeClr w14:val="tx1"/>
            </w14:solidFill>
          </w14:textFill>
        </w:rPr>
      </w:pPr>
      <w:r>
        <w:rPr>
          <w:rFonts w:hint="eastAsia" w:ascii="仿宋_GB2312" w:hAnsi="仿宋_GB2312" w:eastAsia="仿宋_GB2312" w:cs="仿宋_GB2312"/>
          <w:color w:val="000000" w:themeColor="text1"/>
          <w:spacing w:val="8"/>
          <w:sz w:val="32"/>
          <w:szCs w:val="32"/>
          <w14:textFill>
            <w14:solidFill>
              <w14:schemeClr w14:val="tx1"/>
            </w14:solidFill>
          </w14:textFill>
        </w:rPr>
        <w:t>（此页为封面）</w:t>
      </w:r>
    </w:p>
    <w:p>
      <w:pPr>
        <w:rPr>
          <w:rFonts w:ascii="仿宋_GB2312" w:hAnsi="仿宋_GB2312" w:eastAsia="仿宋_GB2312" w:cs="仿宋_GB2312"/>
          <w:color w:val="000000" w:themeColor="text1"/>
          <w:spacing w:val="8"/>
          <w:sz w:val="32"/>
          <w:szCs w:val="32"/>
          <w14:textFill>
            <w14:solidFill>
              <w14:schemeClr w14:val="tx1"/>
            </w14:solidFill>
          </w14:textFill>
        </w:rPr>
      </w:pPr>
      <w:r>
        <w:rPr>
          <w:rFonts w:hint="eastAsia" w:ascii="仿宋_GB2312" w:hAnsi="仿宋_GB2312" w:eastAsia="仿宋_GB2312" w:cs="仿宋_GB2312"/>
          <w:color w:val="000000" w:themeColor="text1"/>
          <w:spacing w:val="8"/>
          <w:sz w:val="32"/>
          <w:szCs w:val="32"/>
          <w14:textFill>
            <w14:solidFill>
              <w14:schemeClr w14:val="tx1"/>
            </w14:solidFill>
          </w14:textFill>
        </w:rPr>
        <w:br w:type="page"/>
      </w:r>
    </w:p>
    <w:p>
      <w:pPr>
        <w:keepNext w:val="0"/>
        <w:keepLines w:val="0"/>
        <w:pageBreakBefore w:val="0"/>
        <w:widowControl w:val="0"/>
        <w:kinsoku/>
        <w:wordWrap/>
        <w:overflowPunct/>
        <w:topLinePunct w:val="0"/>
        <w:autoSpaceDE/>
        <w:autoSpaceDN/>
        <w:bidi w:val="0"/>
        <w:adjustRightInd/>
        <w:snapToGrid/>
        <w:spacing w:line="600" w:lineRule="exact"/>
        <w:ind w:left="0" w:leftChars="0"/>
        <w:jc w:val="center"/>
        <w:textAlignment w:val="auto"/>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2023年度华容县市容环境卫生服务中心垃圾处理正常运营相关服务费项目支出</w:t>
      </w:r>
    </w:p>
    <w:p>
      <w:pPr>
        <w:keepNext w:val="0"/>
        <w:keepLines w:val="0"/>
        <w:pageBreakBefore w:val="0"/>
        <w:widowControl w:val="0"/>
        <w:kinsoku/>
        <w:wordWrap/>
        <w:overflowPunct/>
        <w:topLinePunct w:val="0"/>
        <w:autoSpaceDE/>
        <w:autoSpaceDN/>
        <w:bidi w:val="0"/>
        <w:adjustRightInd/>
        <w:snapToGrid/>
        <w:spacing w:line="600" w:lineRule="exact"/>
        <w:ind w:left="0" w:leftChars="0"/>
        <w:jc w:val="center"/>
        <w:textAlignment w:val="auto"/>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绩效自评报告</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3" w:firstLineChars="200"/>
        <w:textAlignment w:val="auto"/>
        <w:rPr>
          <w:rFonts w:ascii="黑体" w:hAnsi="黑体" w:eastAsia="黑体"/>
          <w:b/>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黑体" w:hAnsi="黑体" w:eastAsia="黑体"/>
          <w:b w:val="0"/>
          <w:bCs/>
          <w:sz w:val="32"/>
          <w:szCs w:val="32"/>
        </w:rPr>
      </w:pPr>
      <w:r>
        <w:rPr>
          <w:rFonts w:hint="eastAsia" w:ascii="黑体" w:hAnsi="黑体" w:eastAsia="黑体"/>
          <w:b w:val="0"/>
          <w:bCs/>
          <w:sz w:val="32"/>
          <w:szCs w:val="32"/>
        </w:rPr>
        <w:t>一、基本情况</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仿宋" w:hAnsi="仿宋" w:eastAsia="仿宋"/>
          <w:sz w:val="32"/>
          <w:szCs w:val="32"/>
        </w:rPr>
      </w:pPr>
      <w:r>
        <w:rPr>
          <w:rFonts w:hint="eastAsia" w:ascii="仿宋" w:hAnsi="仿宋" w:eastAsia="仿宋"/>
          <w:sz w:val="32"/>
          <w:szCs w:val="32"/>
        </w:rPr>
        <w:t>华容县鼎山无害化垃圾处理场地处县城北部的万庾镇鼎山村，距县城约7公里，占地16公顷，总库容量为275万立方米，总投资约1.3亿元，设计日处理垃圾能力260吨/天，服务年限为26年。</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仿宋" w:hAnsi="仿宋" w:eastAsia="仿宋"/>
          <w:sz w:val="32"/>
          <w:szCs w:val="32"/>
        </w:rPr>
      </w:pPr>
      <w:r>
        <w:rPr>
          <w:rFonts w:hint="eastAsia" w:ascii="仿宋" w:hAnsi="仿宋" w:eastAsia="仿宋"/>
          <w:sz w:val="32"/>
          <w:szCs w:val="32"/>
        </w:rPr>
        <w:t>2011年12月30日，华容县人民政府与湖南首创投资有限责任公司签订了《华容县鼎山无害化垃圾处理场TOT项目特许经营协议》，华容县人民政府特许华容首创垃圾综合处理有限责任公司运营鼎山垃圾处理场26年。2012年元月正式投入运营。运营至今，共卫生填埋约92万吨生活垃圾，达标处理约45万吨渗滤液。</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黑体" w:hAnsi="黑体" w:eastAsia="黑体"/>
          <w:b w:val="0"/>
          <w:bCs/>
          <w:sz w:val="32"/>
          <w:szCs w:val="32"/>
        </w:rPr>
      </w:pPr>
      <w:r>
        <w:rPr>
          <w:rFonts w:hint="eastAsia" w:ascii="黑体" w:hAnsi="黑体" w:eastAsia="黑体"/>
          <w:b w:val="0"/>
          <w:bCs/>
          <w:sz w:val="32"/>
          <w:szCs w:val="32"/>
        </w:rPr>
        <w:t>二、垃圾处理服务支出项目明细</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黑体" w:hAnsi="黑体" w:eastAsia="黑体"/>
          <w:b/>
          <w:sz w:val="32"/>
          <w:szCs w:val="32"/>
        </w:rPr>
      </w:pPr>
      <w:r>
        <w:rPr>
          <w:rFonts w:hint="eastAsia" w:ascii="仿宋" w:hAnsi="仿宋" w:eastAsia="仿宋"/>
          <w:sz w:val="32"/>
          <w:szCs w:val="32"/>
        </w:rPr>
        <w:t>2023年垃圾处理服务项目支出共1497.12万元，付鼎山垃圾处理服务经费3-6月373.63万元，7-8月190.88万元，鼎山垃圾清理场正常运营相关服务费用380.51万元。付华容首创垃圾综合处理有限责任公司2022年5-10月垃圾处理服务费552.10万元。</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黑体" w:hAnsi="黑体" w:eastAsia="黑体"/>
          <w:b w:val="0"/>
          <w:bCs/>
          <w:sz w:val="32"/>
          <w:szCs w:val="32"/>
        </w:rPr>
      </w:pPr>
      <w:r>
        <w:rPr>
          <w:rFonts w:hint="eastAsia" w:ascii="黑体" w:hAnsi="黑体" w:eastAsia="黑体"/>
          <w:b w:val="0"/>
          <w:bCs/>
          <w:sz w:val="32"/>
          <w:szCs w:val="32"/>
        </w:rPr>
        <w:t>三、处理工艺</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仿宋" w:hAnsi="仿宋" w:eastAsia="仿宋"/>
          <w:sz w:val="32"/>
          <w:szCs w:val="32"/>
        </w:rPr>
      </w:pPr>
      <w:r>
        <w:rPr>
          <w:rFonts w:hint="eastAsia" w:ascii="仿宋" w:hAnsi="仿宋" w:eastAsia="仿宋"/>
          <w:sz w:val="32"/>
          <w:szCs w:val="32"/>
        </w:rPr>
        <w:t>场内设有垃圾填埋区、渗滤液处理区、沼气发电区和出水总排口，垃圾填埋区现有五台机械作业设备，分别是挖掘机、推土机、装载机、清洗车、自卸车，主要填埋工艺为计量-卸车-摊铺-压实-除臭灭蝇-覆盖（雨污分流）-沼气收集处理-渗滤液收集处理，每日平均垃圾量为260吨左右。</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仿宋" w:hAnsi="仿宋" w:eastAsia="仿宋"/>
          <w:sz w:val="32"/>
          <w:szCs w:val="32"/>
        </w:rPr>
      </w:pPr>
      <w:r>
        <w:rPr>
          <w:rFonts w:hint="eastAsia" w:ascii="仿宋" w:hAnsi="仿宋" w:eastAsia="仿宋"/>
          <w:sz w:val="32"/>
          <w:szCs w:val="32"/>
        </w:rPr>
        <w:t>渗滤液处理区现有两套处理设施，分别是100吨进水规模的老设备和300吨进水规模的新设备，主要处理工艺为生化系统+超滤系统+DTRO系统，处理后的达标清液经专用管道排入城市污水管网，最终进入桥东污水厂处理，系统内残留的浓缩液回灌至填埋区。</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仿宋" w:hAnsi="仿宋" w:eastAsia="仿宋"/>
          <w:sz w:val="32"/>
          <w:szCs w:val="32"/>
        </w:rPr>
      </w:pPr>
      <w:r>
        <w:rPr>
          <w:rFonts w:hint="eastAsia" w:ascii="仿宋" w:hAnsi="仿宋" w:eastAsia="仿宋"/>
          <w:sz w:val="32"/>
          <w:szCs w:val="32"/>
        </w:rPr>
        <w:t>沼气发电区是县市容环卫中心与深圳市东康生物质能源公司合作，投入1260万元安装6台沼气收集发电设备，利用填埋气体进行燃烧发电，每天平均发电约25000度，目前已累计发电约2000万度电。</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仿宋" w:hAnsi="仿宋" w:eastAsia="仿宋"/>
          <w:sz w:val="32"/>
          <w:szCs w:val="32"/>
        </w:rPr>
      </w:pPr>
      <w:r>
        <w:rPr>
          <w:rFonts w:hint="eastAsia" w:ascii="仿宋" w:hAnsi="仿宋" w:eastAsia="仿宋"/>
          <w:sz w:val="32"/>
          <w:szCs w:val="32"/>
        </w:rPr>
        <w:t>场内共设一个总排口，在300吨渗滤液处理车间的东南角，并设在线监测房一间，对总排口的出水进行24小时实时监测，在线监测指标为COD（标准限值100mg/L</w:t>
      </w:r>
      <w:r>
        <w:rPr>
          <w:rFonts w:ascii="仿宋" w:hAnsi="仿宋" w:eastAsia="仿宋"/>
          <w:sz w:val="32"/>
          <w:szCs w:val="32"/>
        </w:rPr>
        <w:t>）</w:t>
      </w:r>
      <w:r>
        <w:rPr>
          <w:rFonts w:hint="eastAsia" w:ascii="仿宋" w:hAnsi="仿宋" w:eastAsia="仿宋"/>
          <w:sz w:val="32"/>
          <w:szCs w:val="32"/>
        </w:rPr>
        <w:t>、氨氮（标准限值25mg/L</w:t>
      </w:r>
      <w:r>
        <w:rPr>
          <w:rFonts w:ascii="仿宋" w:hAnsi="仿宋" w:eastAsia="仿宋"/>
          <w:sz w:val="32"/>
          <w:szCs w:val="32"/>
        </w:rPr>
        <w:t>）</w:t>
      </w:r>
      <w:r>
        <w:rPr>
          <w:rFonts w:hint="eastAsia" w:ascii="仿宋" w:hAnsi="仿宋" w:eastAsia="仿宋"/>
          <w:sz w:val="32"/>
          <w:szCs w:val="32"/>
        </w:rPr>
        <w:t>、总氮（标准限值40mg/L</w:t>
      </w:r>
      <w:r>
        <w:rPr>
          <w:rFonts w:ascii="仿宋" w:hAnsi="仿宋" w:eastAsia="仿宋"/>
          <w:sz w:val="32"/>
          <w:szCs w:val="32"/>
        </w:rPr>
        <w:t>）</w:t>
      </w:r>
      <w:r>
        <w:rPr>
          <w:rFonts w:hint="eastAsia" w:ascii="仿宋" w:hAnsi="仿宋" w:eastAsia="仿宋"/>
          <w:sz w:val="32"/>
          <w:szCs w:val="32"/>
        </w:rPr>
        <w:t>、总磷（标准限值3mg/L</w:t>
      </w:r>
      <w:r>
        <w:rPr>
          <w:rFonts w:ascii="仿宋" w:hAnsi="仿宋" w:eastAsia="仿宋"/>
          <w:sz w:val="32"/>
          <w:szCs w:val="32"/>
        </w:rPr>
        <w:t>）</w:t>
      </w:r>
      <w:r>
        <w:rPr>
          <w:rFonts w:hint="eastAsia" w:ascii="仿宋" w:hAnsi="仿宋" w:eastAsia="仿宋"/>
          <w:sz w:val="32"/>
          <w:szCs w:val="32"/>
        </w:rPr>
        <w:t>、PH值(6-9)，在线监测数据系统与湖南省生态环境厅及岳阳市生态环境局直接联网，实时监控。</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textAlignment w:val="auto"/>
        <w:rPr>
          <w:rFonts w:ascii="黑体" w:hAnsi="黑体" w:eastAsia="黑体"/>
          <w:b w:val="0"/>
          <w:bCs/>
          <w:sz w:val="32"/>
          <w:szCs w:val="32"/>
        </w:rPr>
      </w:pPr>
      <w:r>
        <w:rPr>
          <w:rFonts w:hint="eastAsia" w:ascii="黑体" w:hAnsi="黑体" w:eastAsia="黑体"/>
          <w:b w:val="0"/>
          <w:bCs/>
          <w:sz w:val="32"/>
          <w:szCs w:val="32"/>
        </w:rPr>
        <w:t>四、其它情况</w:t>
      </w:r>
    </w:p>
    <w:p>
      <w:pPr>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 w:hAnsi="仿宋" w:eastAsia="仿宋"/>
          <w:sz w:val="32"/>
          <w:szCs w:val="32"/>
        </w:rPr>
      </w:pPr>
      <w:r>
        <w:rPr>
          <w:rFonts w:hint="eastAsia" w:ascii="仿宋" w:hAnsi="仿宋" w:eastAsia="仿宋"/>
          <w:sz w:val="32"/>
          <w:szCs w:val="32"/>
        </w:rPr>
        <w:t>场内设有两座调节池，分别是1万立方米的老调节池和1.1万立方米的新调节池，用于调节储存垃圾渗滤液，设进水泵两台，将池内渗滤液抽至渗滤液处理系统进行处理。填埋库区底部防渗层设有渗滤液收集导排管道，直接连通到老调节池，通过阀门开关控制释放库区渗滤液到老调节池。老调节池采用粘土+HDPE膜结构，池上设有漂浮盖收集雨水经水泵排入截洪沟，新调节池采用封闭市钢筋混凝土机构，雨水自然排放。</w:t>
      </w:r>
    </w:p>
    <w:p>
      <w:pPr>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黑体" w:hAnsi="黑体" w:eastAsia="黑体"/>
          <w:b w:val="0"/>
          <w:bCs/>
          <w:sz w:val="32"/>
          <w:szCs w:val="32"/>
        </w:rPr>
      </w:pPr>
      <w:r>
        <w:rPr>
          <w:rFonts w:hint="eastAsia" w:ascii="黑体" w:hAnsi="黑体" w:eastAsia="黑体"/>
          <w:b w:val="0"/>
          <w:bCs/>
          <w:sz w:val="32"/>
          <w:szCs w:val="32"/>
        </w:rPr>
        <w:t>五、垃圾处理方式较落后</w:t>
      </w:r>
    </w:p>
    <w:p>
      <w:pPr>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ascii="仿宋" w:hAnsi="仿宋" w:eastAsia="仿宋"/>
          <w:sz w:val="32"/>
          <w:szCs w:val="32"/>
        </w:rPr>
      </w:pPr>
      <w:r>
        <w:rPr>
          <w:rFonts w:hint="eastAsia" w:ascii="仿宋" w:hAnsi="仿宋" w:eastAsia="仿宋"/>
          <w:sz w:val="32"/>
          <w:szCs w:val="32"/>
        </w:rPr>
        <w:t>我县鼎山垃圾填埋场采用卫生填埋方式，是一种简单生态治理模式，属粗放式经营，需占用大量土地，产生的渗滤液易污染地下水及土壤，垃圾经过讨厌氧分解会产生大量的垃圾填埋气体，存在极大的安全隐患，同时伴随恶臭气味。垃圾处理方式较落后，既浪费土地资源，环保效益又不高，且存在重大环保、安全隐患。</w:t>
      </w:r>
    </w:p>
    <w:p>
      <w:pPr>
        <w:ind w:firstLine="643" w:firstLineChars="200"/>
        <w:rPr>
          <w:rFonts w:ascii="黑体" w:hAnsi="黑体" w:eastAsia="黑体"/>
          <w:b/>
          <w:sz w:val="32"/>
          <w:szCs w:val="32"/>
        </w:rPr>
      </w:pPr>
    </w:p>
    <w:p>
      <w:pPr>
        <w:widowControl/>
        <w:tabs>
          <w:tab w:val="left" w:pos="690"/>
        </w:tabs>
        <w:spacing w:line="400" w:lineRule="exact"/>
        <w:rPr>
          <w:rFonts w:ascii="宋体" w:hAnsi="宋体" w:cs="宋体"/>
          <w:bCs/>
          <w:color w:val="000000" w:themeColor="text1"/>
          <w:szCs w:val="21"/>
          <w14:textFill>
            <w14:solidFill>
              <w14:schemeClr w14:val="tx1"/>
            </w14:solidFill>
          </w14:textFill>
        </w:rPr>
      </w:pPr>
    </w:p>
    <w:p>
      <w:pPr>
        <w:widowControl/>
        <w:spacing w:line="400" w:lineRule="exact"/>
        <w:rPr>
          <w:rFonts w:ascii="宋体" w:hAnsi="宋体" w:cs="宋体"/>
          <w:bCs/>
          <w:color w:val="000000" w:themeColor="text1"/>
          <w:szCs w:val="21"/>
          <w14:textFill>
            <w14:solidFill>
              <w14:schemeClr w14:val="tx1"/>
            </w14:solidFill>
          </w14:textFill>
        </w:rPr>
      </w:pPr>
    </w:p>
    <w:p>
      <w:pPr>
        <w:widowControl/>
        <w:spacing w:line="400" w:lineRule="exact"/>
        <w:rPr>
          <w:rFonts w:ascii="宋体" w:hAnsi="宋体" w:cs="宋体"/>
          <w:bCs/>
          <w:color w:val="000000" w:themeColor="text1"/>
          <w:szCs w:val="21"/>
          <w14:textFill>
            <w14:solidFill>
              <w14:schemeClr w14:val="tx1"/>
            </w14:solidFill>
          </w14:textFill>
        </w:rPr>
      </w:pPr>
    </w:p>
    <w:p>
      <w:pPr>
        <w:widowControl/>
        <w:spacing w:line="400" w:lineRule="exact"/>
        <w:rPr>
          <w:rFonts w:ascii="宋体" w:hAnsi="宋体" w:cs="宋体"/>
          <w:bCs/>
          <w:color w:val="000000" w:themeColor="text1"/>
          <w:szCs w:val="21"/>
          <w14:textFill>
            <w14:solidFill>
              <w14:schemeClr w14:val="tx1"/>
            </w14:solidFill>
          </w14:textFill>
        </w:rPr>
      </w:pPr>
    </w:p>
    <w:p>
      <w:pPr>
        <w:widowControl/>
        <w:spacing w:line="400" w:lineRule="exact"/>
        <w:rPr>
          <w:rFonts w:ascii="宋体" w:hAnsi="宋体" w:cs="宋体"/>
          <w:bCs/>
          <w:color w:val="000000" w:themeColor="text1"/>
          <w:szCs w:val="21"/>
          <w14:textFill>
            <w14:solidFill>
              <w14:schemeClr w14:val="tx1"/>
            </w14:solidFill>
          </w14:textFill>
        </w:rPr>
      </w:pPr>
    </w:p>
    <w:p>
      <w:pPr>
        <w:widowControl/>
        <w:spacing w:line="400" w:lineRule="exact"/>
        <w:rPr>
          <w:rFonts w:ascii="宋体" w:hAnsi="宋体" w:cs="宋体"/>
          <w:bCs/>
          <w:color w:val="000000" w:themeColor="text1"/>
          <w:szCs w:val="21"/>
          <w14:textFill>
            <w14:solidFill>
              <w14:schemeClr w14:val="tx1"/>
            </w14:solidFill>
          </w14:textFill>
        </w:rPr>
      </w:pPr>
    </w:p>
    <w:p>
      <w:pPr>
        <w:widowControl/>
        <w:spacing w:line="400" w:lineRule="exact"/>
        <w:rPr>
          <w:rFonts w:ascii="宋体" w:hAnsi="宋体" w:cs="宋体"/>
          <w:bCs/>
          <w:color w:val="000000" w:themeColor="text1"/>
          <w:szCs w:val="21"/>
          <w14:textFill>
            <w14:solidFill>
              <w14:schemeClr w14:val="tx1"/>
            </w14:solidFill>
          </w14:textFill>
        </w:rPr>
      </w:pPr>
    </w:p>
    <w:p>
      <w:pPr>
        <w:widowControl/>
        <w:spacing w:line="400" w:lineRule="exact"/>
        <w:rPr>
          <w:rFonts w:ascii="宋体" w:hAnsi="宋体" w:cs="宋体"/>
          <w:bCs/>
          <w:color w:val="000000" w:themeColor="text1"/>
          <w:szCs w:val="21"/>
          <w14:textFill>
            <w14:solidFill>
              <w14:schemeClr w14:val="tx1"/>
            </w14:solidFill>
          </w14:textFill>
        </w:rPr>
      </w:pPr>
      <w:bookmarkStart w:id="6" w:name="_GoBack"/>
      <w:bookmarkEnd w:id="6"/>
    </w:p>
    <w:p>
      <w:pPr>
        <w:spacing w:before="181" w:line="171" w:lineRule="auto"/>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附件6</w:t>
      </w:r>
    </w:p>
    <w:p>
      <w:pPr>
        <w:jc w:val="center"/>
      </w:pPr>
      <w:r>
        <w:rPr>
          <w:rFonts w:hint="eastAsia" w:ascii="方正小标宋简体" w:hAnsi="方正小标宋简体" w:eastAsia="方正小标宋简体" w:cs="方正小标宋简体"/>
          <w:color w:val="000000" w:themeColor="text1"/>
          <w:spacing w:val="7"/>
          <w:sz w:val="44"/>
          <w:szCs w:val="44"/>
          <w14:textFill>
            <w14:solidFill>
              <w14:schemeClr w14:val="tx1"/>
            </w14:solidFill>
          </w14:textFill>
        </w:rPr>
        <w:t>2023年度项目支出绩效自评表</w:t>
      </w:r>
    </w:p>
    <w:tbl>
      <w:tblPr>
        <w:tblStyle w:val="19"/>
        <w:tblW w:w="5021"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99"/>
        <w:gridCol w:w="896"/>
        <w:gridCol w:w="1113"/>
        <w:gridCol w:w="937"/>
        <w:gridCol w:w="976"/>
        <w:gridCol w:w="1108"/>
        <w:gridCol w:w="593"/>
        <w:gridCol w:w="697"/>
        <w:gridCol w:w="132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1701" w:type="pct"/>
            <w:gridSpan w:val="3"/>
            <w:vAlign w:val="center"/>
          </w:tcPr>
          <w:p>
            <w:pPr>
              <w:jc w:val="center"/>
            </w:pPr>
            <w:r>
              <w:rPr>
                <w:rFonts w:hint="eastAsia"/>
              </w:rPr>
              <w:t>项目支出名称</w:t>
            </w:r>
          </w:p>
        </w:tc>
        <w:tc>
          <w:tcPr>
            <w:tcW w:w="3298" w:type="pct"/>
            <w:gridSpan w:val="6"/>
            <w:vAlign w:val="center"/>
          </w:tcPr>
          <w:p>
            <w:pPr>
              <w:jc w:val="center"/>
            </w:pPr>
            <w:r>
              <w:rPr>
                <w:rFonts w:hint="eastAsia"/>
              </w:rPr>
              <w:t>垃圾处理支出运营相关服务费用项目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7" w:hRule="atLeast"/>
        </w:trPr>
        <w:tc>
          <w:tcPr>
            <w:tcW w:w="526" w:type="pct"/>
            <w:vAlign w:val="center"/>
          </w:tcPr>
          <w:p>
            <w:pPr>
              <w:jc w:val="center"/>
            </w:pPr>
            <w:r>
              <w:rPr>
                <w:rFonts w:hint="eastAsia"/>
              </w:rPr>
              <w:t>主管</w:t>
            </w:r>
          </w:p>
          <w:p>
            <w:pPr>
              <w:jc w:val="center"/>
            </w:pPr>
            <w:r>
              <w:rPr>
                <w:rFonts w:hint="eastAsia"/>
              </w:rPr>
              <w:t>部门</w:t>
            </w:r>
          </w:p>
        </w:tc>
        <w:tc>
          <w:tcPr>
            <w:tcW w:w="2294" w:type="pct"/>
            <w:gridSpan w:val="4"/>
            <w:vAlign w:val="center"/>
          </w:tcPr>
          <w:p>
            <w:pPr>
              <w:jc w:val="center"/>
            </w:pPr>
          </w:p>
        </w:tc>
        <w:tc>
          <w:tcPr>
            <w:tcW w:w="647" w:type="pct"/>
            <w:vAlign w:val="center"/>
          </w:tcPr>
          <w:p>
            <w:pPr>
              <w:jc w:val="center"/>
            </w:pPr>
            <w:r>
              <w:rPr>
                <w:rFonts w:hint="eastAsia"/>
              </w:rPr>
              <w:t>实施单位</w:t>
            </w:r>
          </w:p>
        </w:tc>
        <w:tc>
          <w:tcPr>
            <w:tcW w:w="1531" w:type="pct"/>
            <w:gridSpan w:val="3"/>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7" w:hRule="atLeast"/>
        </w:trPr>
        <w:tc>
          <w:tcPr>
            <w:tcW w:w="526" w:type="pct"/>
            <w:vMerge w:val="restart"/>
            <w:tcBorders>
              <w:bottom w:val="nil"/>
            </w:tcBorders>
            <w:vAlign w:val="center"/>
          </w:tcPr>
          <w:p>
            <w:pPr>
              <w:jc w:val="center"/>
            </w:pPr>
            <w:r>
              <w:rPr>
                <w:rFonts w:hint="eastAsia"/>
              </w:rPr>
              <w:t>项目资金（万元）</w:t>
            </w:r>
          </w:p>
        </w:tc>
        <w:tc>
          <w:tcPr>
            <w:tcW w:w="1174" w:type="pct"/>
            <w:gridSpan w:val="2"/>
            <w:vAlign w:val="center"/>
          </w:tcPr>
          <w:p>
            <w:pPr>
              <w:jc w:val="center"/>
            </w:pPr>
          </w:p>
        </w:tc>
        <w:tc>
          <w:tcPr>
            <w:tcW w:w="548" w:type="pct"/>
            <w:vAlign w:val="center"/>
          </w:tcPr>
          <w:p>
            <w:pPr>
              <w:jc w:val="center"/>
            </w:pPr>
            <w:r>
              <w:rPr>
                <w:rFonts w:hint="eastAsia"/>
              </w:rPr>
              <w:t>年初</w:t>
            </w:r>
          </w:p>
          <w:p>
            <w:pPr>
              <w:jc w:val="center"/>
            </w:pPr>
            <w:r>
              <w:rPr>
                <w:rFonts w:hint="eastAsia"/>
              </w:rPr>
              <w:t>预算数</w:t>
            </w:r>
          </w:p>
        </w:tc>
        <w:tc>
          <w:tcPr>
            <w:tcW w:w="571" w:type="pct"/>
            <w:vAlign w:val="center"/>
          </w:tcPr>
          <w:p>
            <w:pPr>
              <w:jc w:val="center"/>
            </w:pPr>
            <w:r>
              <w:rPr>
                <w:rFonts w:hint="eastAsia"/>
              </w:rPr>
              <w:t>全年</w:t>
            </w:r>
          </w:p>
          <w:p>
            <w:pPr>
              <w:jc w:val="center"/>
            </w:pPr>
            <w:r>
              <w:rPr>
                <w:rFonts w:hint="eastAsia"/>
              </w:rPr>
              <w:t>预算数</w:t>
            </w:r>
          </w:p>
        </w:tc>
        <w:tc>
          <w:tcPr>
            <w:tcW w:w="647" w:type="pct"/>
            <w:vAlign w:val="center"/>
          </w:tcPr>
          <w:p>
            <w:pPr>
              <w:jc w:val="center"/>
            </w:pPr>
            <w:r>
              <w:rPr>
                <w:rFonts w:hint="eastAsia"/>
              </w:rPr>
              <w:t>全年</w:t>
            </w:r>
          </w:p>
          <w:p>
            <w:pPr>
              <w:jc w:val="center"/>
            </w:pPr>
            <w:r>
              <w:rPr>
                <w:rFonts w:hint="eastAsia"/>
              </w:rPr>
              <w:t>执行数</w:t>
            </w:r>
          </w:p>
        </w:tc>
        <w:tc>
          <w:tcPr>
            <w:tcW w:w="347" w:type="pct"/>
            <w:vAlign w:val="center"/>
          </w:tcPr>
          <w:p>
            <w:pPr>
              <w:jc w:val="center"/>
            </w:pPr>
            <w:r>
              <w:rPr>
                <w:rFonts w:hint="eastAsia"/>
              </w:rPr>
              <w:t>分值</w:t>
            </w:r>
          </w:p>
        </w:tc>
        <w:tc>
          <w:tcPr>
            <w:tcW w:w="408" w:type="pct"/>
            <w:vAlign w:val="center"/>
          </w:tcPr>
          <w:p>
            <w:pPr>
              <w:jc w:val="center"/>
            </w:pPr>
            <w:r>
              <w:rPr>
                <w:rFonts w:hint="eastAsia"/>
              </w:rPr>
              <w:t>执行率</w:t>
            </w:r>
          </w:p>
        </w:tc>
        <w:tc>
          <w:tcPr>
            <w:tcW w:w="775" w:type="pct"/>
            <w:vAlign w:val="center"/>
          </w:tcPr>
          <w:p>
            <w:pPr>
              <w:jc w:val="center"/>
            </w:pPr>
            <w:r>
              <w:rPr>
                <w:rFonts w:hint="eastAsia"/>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cBorders>
              <w:top w:val="nil"/>
              <w:bottom w:val="nil"/>
            </w:tcBorders>
            <w:vAlign w:val="center"/>
          </w:tcPr>
          <w:p>
            <w:pPr>
              <w:jc w:val="center"/>
            </w:pPr>
          </w:p>
        </w:tc>
        <w:tc>
          <w:tcPr>
            <w:tcW w:w="1174" w:type="pct"/>
            <w:gridSpan w:val="2"/>
            <w:vAlign w:val="center"/>
          </w:tcPr>
          <w:p>
            <w:pPr>
              <w:jc w:val="center"/>
            </w:pPr>
            <w:r>
              <w:rPr>
                <w:rFonts w:hint="eastAsia"/>
              </w:rPr>
              <w:t>年度资金总额</w:t>
            </w:r>
          </w:p>
        </w:tc>
        <w:tc>
          <w:tcPr>
            <w:tcW w:w="548" w:type="pct"/>
            <w:vAlign w:val="center"/>
          </w:tcPr>
          <w:p>
            <w:pPr>
              <w:jc w:val="center"/>
            </w:pPr>
            <w:r>
              <w:rPr>
                <w:rFonts w:hint="eastAsia"/>
              </w:rPr>
              <w:t>1497.12</w:t>
            </w:r>
          </w:p>
        </w:tc>
        <w:tc>
          <w:tcPr>
            <w:tcW w:w="571" w:type="pct"/>
            <w:vAlign w:val="center"/>
          </w:tcPr>
          <w:p>
            <w:pPr>
              <w:jc w:val="center"/>
            </w:pPr>
            <w:r>
              <w:rPr>
                <w:rFonts w:hint="eastAsia"/>
              </w:rPr>
              <w:t>1497.12</w:t>
            </w:r>
          </w:p>
        </w:tc>
        <w:tc>
          <w:tcPr>
            <w:tcW w:w="647" w:type="pct"/>
            <w:vAlign w:val="center"/>
          </w:tcPr>
          <w:p>
            <w:pPr>
              <w:jc w:val="center"/>
            </w:pPr>
            <w:r>
              <w:rPr>
                <w:rFonts w:hint="eastAsia"/>
              </w:rPr>
              <w:t>1497.12</w:t>
            </w:r>
          </w:p>
        </w:tc>
        <w:tc>
          <w:tcPr>
            <w:tcW w:w="347" w:type="pct"/>
            <w:vAlign w:val="center"/>
          </w:tcPr>
          <w:p>
            <w:pPr>
              <w:jc w:val="center"/>
            </w:pPr>
            <w:r>
              <w:rPr>
                <w:rFonts w:hint="eastAsia"/>
              </w:rPr>
              <w:t>10</w:t>
            </w:r>
          </w:p>
        </w:tc>
        <w:tc>
          <w:tcPr>
            <w:tcW w:w="408" w:type="pct"/>
            <w:vAlign w:val="center"/>
          </w:tcPr>
          <w:p>
            <w:pPr>
              <w:jc w:val="center"/>
            </w:pPr>
            <w:r>
              <w:rPr>
                <w:rFonts w:hint="eastAsia"/>
              </w:rPr>
              <w:t>100%</w:t>
            </w:r>
          </w:p>
        </w:tc>
        <w:tc>
          <w:tcPr>
            <w:tcW w:w="775" w:type="pct"/>
            <w:vAlign w:val="center"/>
          </w:tcPr>
          <w:p>
            <w:pPr>
              <w:jc w:val="center"/>
            </w:pPr>
            <w:r>
              <w:rPr>
                <w:rFonts w:hint="eastAsia"/>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cBorders>
              <w:top w:val="nil"/>
              <w:bottom w:val="nil"/>
            </w:tcBorders>
            <w:vAlign w:val="center"/>
          </w:tcPr>
          <w:p>
            <w:pPr>
              <w:jc w:val="center"/>
            </w:pPr>
          </w:p>
        </w:tc>
        <w:tc>
          <w:tcPr>
            <w:tcW w:w="1174" w:type="pct"/>
            <w:gridSpan w:val="2"/>
            <w:vAlign w:val="center"/>
          </w:tcPr>
          <w:p>
            <w:pPr>
              <w:jc w:val="center"/>
            </w:pPr>
            <w:r>
              <w:rPr>
                <w:rFonts w:hint="eastAsia"/>
              </w:rPr>
              <w:t>其中：当年财政拨款</w:t>
            </w:r>
          </w:p>
        </w:tc>
        <w:tc>
          <w:tcPr>
            <w:tcW w:w="548" w:type="pct"/>
            <w:vAlign w:val="center"/>
          </w:tcPr>
          <w:p>
            <w:pPr>
              <w:jc w:val="center"/>
            </w:pPr>
          </w:p>
        </w:tc>
        <w:tc>
          <w:tcPr>
            <w:tcW w:w="571" w:type="pct"/>
            <w:vAlign w:val="center"/>
          </w:tcPr>
          <w:p>
            <w:pPr>
              <w:jc w:val="center"/>
            </w:pPr>
            <w:r>
              <w:rPr>
                <w:rFonts w:hint="eastAsia"/>
              </w:rPr>
              <w:t>1497.12</w:t>
            </w:r>
          </w:p>
        </w:tc>
        <w:tc>
          <w:tcPr>
            <w:tcW w:w="647" w:type="pct"/>
            <w:vAlign w:val="center"/>
          </w:tcPr>
          <w:p>
            <w:pPr>
              <w:jc w:val="center"/>
            </w:pPr>
            <w:r>
              <w:rPr>
                <w:rFonts w:hint="eastAsia"/>
              </w:rPr>
              <w:t>1497.12</w:t>
            </w: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cBorders>
              <w:top w:val="nil"/>
              <w:bottom w:val="nil"/>
            </w:tcBorders>
            <w:vAlign w:val="center"/>
          </w:tcPr>
          <w:p>
            <w:pPr>
              <w:jc w:val="center"/>
            </w:pPr>
          </w:p>
        </w:tc>
        <w:tc>
          <w:tcPr>
            <w:tcW w:w="1174" w:type="pct"/>
            <w:gridSpan w:val="2"/>
            <w:vAlign w:val="center"/>
          </w:tcPr>
          <w:p>
            <w:pPr>
              <w:jc w:val="center"/>
            </w:pPr>
            <w:r>
              <w:rPr>
                <w:rFonts w:hint="eastAsia"/>
              </w:rPr>
              <w:t>上年结转资金</w:t>
            </w: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cBorders>
              <w:top w:val="nil"/>
            </w:tcBorders>
            <w:vAlign w:val="center"/>
          </w:tcPr>
          <w:p>
            <w:pPr>
              <w:jc w:val="center"/>
            </w:pPr>
          </w:p>
        </w:tc>
        <w:tc>
          <w:tcPr>
            <w:tcW w:w="1174" w:type="pct"/>
            <w:gridSpan w:val="2"/>
            <w:vAlign w:val="center"/>
          </w:tcPr>
          <w:p>
            <w:pPr>
              <w:jc w:val="center"/>
            </w:pPr>
            <w:r>
              <w:rPr>
                <w:rFonts w:hint="eastAsia"/>
              </w:rPr>
              <w:t>其他资金</w:t>
            </w: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restart"/>
            <w:tcBorders>
              <w:bottom w:val="nil"/>
            </w:tcBorders>
            <w:vAlign w:val="center"/>
          </w:tcPr>
          <w:p>
            <w:pPr>
              <w:jc w:val="center"/>
            </w:pPr>
            <w:r>
              <w:rPr>
                <w:rFonts w:hint="eastAsia"/>
              </w:rPr>
              <w:t>年度总</w:t>
            </w:r>
          </w:p>
          <w:p>
            <w:pPr>
              <w:jc w:val="center"/>
            </w:pPr>
            <w:r>
              <w:rPr>
                <w:rFonts w:hint="eastAsia"/>
              </w:rPr>
              <w:t>体目标</w:t>
            </w:r>
          </w:p>
        </w:tc>
        <w:tc>
          <w:tcPr>
            <w:tcW w:w="2294" w:type="pct"/>
            <w:gridSpan w:val="4"/>
            <w:vAlign w:val="center"/>
          </w:tcPr>
          <w:p>
            <w:pPr>
              <w:jc w:val="center"/>
            </w:pPr>
            <w:r>
              <w:rPr>
                <w:rFonts w:hint="eastAsia"/>
              </w:rPr>
              <w:t>预期目标</w:t>
            </w:r>
          </w:p>
        </w:tc>
        <w:tc>
          <w:tcPr>
            <w:tcW w:w="2178" w:type="pct"/>
            <w:gridSpan w:val="4"/>
            <w:vAlign w:val="center"/>
          </w:tcPr>
          <w:p>
            <w:pPr>
              <w:jc w:val="center"/>
            </w:pPr>
            <w:r>
              <w:rPr>
                <w:rFonts w:hint="eastAsia"/>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cBorders>
              <w:top w:val="nil"/>
            </w:tcBorders>
            <w:vAlign w:val="center"/>
          </w:tcPr>
          <w:p>
            <w:pPr>
              <w:jc w:val="center"/>
            </w:pPr>
          </w:p>
        </w:tc>
        <w:tc>
          <w:tcPr>
            <w:tcW w:w="2294" w:type="pct"/>
            <w:gridSpan w:val="4"/>
            <w:vAlign w:val="center"/>
          </w:tcPr>
          <w:p>
            <w:pPr>
              <w:jc w:val="center"/>
            </w:pPr>
          </w:p>
        </w:tc>
        <w:tc>
          <w:tcPr>
            <w:tcW w:w="2178" w:type="pct"/>
            <w:gridSpan w:val="4"/>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7" w:hRule="atLeast"/>
        </w:trPr>
        <w:tc>
          <w:tcPr>
            <w:tcW w:w="526" w:type="pct"/>
            <w:vMerge w:val="restart"/>
            <w:vAlign w:val="center"/>
          </w:tcPr>
          <w:p>
            <w:pPr>
              <w:jc w:val="center"/>
            </w:pPr>
            <w:r>
              <w:rPr>
                <w:rFonts w:hint="eastAsia"/>
              </w:rPr>
              <w:t>绩</w:t>
            </w:r>
          </w:p>
          <w:p>
            <w:pPr>
              <w:jc w:val="center"/>
            </w:pPr>
            <w:r>
              <w:rPr>
                <w:rFonts w:hint="eastAsia"/>
              </w:rPr>
              <w:t>效</w:t>
            </w:r>
          </w:p>
          <w:p>
            <w:pPr>
              <w:jc w:val="center"/>
            </w:pPr>
            <w:r>
              <w:rPr>
                <w:rFonts w:hint="eastAsia"/>
              </w:rPr>
              <w:t>指</w:t>
            </w:r>
          </w:p>
          <w:p>
            <w:pPr>
              <w:jc w:val="center"/>
            </w:pPr>
            <w:r>
              <w:rPr>
                <w:rFonts w:hint="eastAsia"/>
              </w:rPr>
              <w:t>标</w:t>
            </w:r>
          </w:p>
        </w:tc>
        <w:tc>
          <w:tcPr>
            <w:tcW w:w="524" w:type="pct"/>
            <w:vAlign w:val="center"/>
          </w:tcPr>
          <w:p>
            <w:pPr>
              <w:jc w:val="center"/>
            </w:pPr>
            <w:r>
              <w:rPr>
                <w:rFonts w:hint="eastAsia"/>
              </w:rPr>
              <w:t>一级指标</w:t>
            </w:r>
          </w:p>
        </w:tc>
        <w:tc>
          <w:tcPr>
            <w:tcW w:w="649" w:type="pct"/>
            <w:vAlign w:val="center"/>
          </w:tcPr>
          <w:p>
            <w:pPr>
              <w:jc w:val="center"/>
            </w:pPr>
            <w:r>
              <w:rPr>
                <w:rFonts w:hint="eastAsia"/>
              </w:rPr>
              <w:t>二级指标</w:t>
            </w:r>
          </w:p>
        </w:tc>
        <w:tc>
          <w:tcPr>
            <w:tcW w:w="548" w:type="pct"/>
            <w:vAlign w:val="center"/>
          </w:tcPr>
          <w:p>
            <w:pPr>
              <w:jc w:val="center"/>
            </w:pPr>
            <w:r>
              <w:rPr>
                <w:rFonts w:hint="eastAsia"/>
              </w:rPr>
              <w:t>三级指标</w:t>
            </w:r>
          </w:p>
        </w:tc>
        <w:tc>
          <w:tcPr>
            <w:tcW w:w="571" w:type="pct"/>
            <w:vAlign w:val="center"/>
          </w:tcPr>
          <w:p>
            <w:pPr>
              <w:jc w:val="center"/>
            </w:pPr>
            <w:r>
              <w:rPr>
                <w:rFonts w:hint="eastAsia"/>
              </w:rPr>
              <w:t>年度</w:t>
            </w:r>
          </w:p>
          <w:p>
            <w:pPr>
              <w:jc w:val="center"/>
            </w:pPr>
            <w:r>
              <w:rPr>
                <w:rFonts w:hint="eastAsia"/>
              </w:rPr>
              <w:t>指标值</w:t>
            </w:r>
          </w:p>
        </w:tc>
        <w:tc>
          <w:tcPr>
            <w:tcW w:w="647" w:type="pct"/>
            <w:vAlign w:val="center"/>
          </w:tcPr>
          <w:p>
            <w:pPr>
              <w:jc w:val="center"/>
            </w:pPr>
            <w:r>
              <w:rPr>
                <w:rFonts w:hint="eastAsia"/>
              </w:rPr>
              <w:t>实际</w:t>
            </w:r>
          </w:p>
          <w:p>
            <w:pPr>
              <w:jc w:val="center"/>
            </w:pPr>
            <w:r>
              <w:rPr>
                <w:rFonts w:hint="eastAsia"/>
              </w:rPr>
              <w:t>完成值</w:t>
            </w:r>
          </w:p>
        </w:tc>
        <w:tc>
          <w:tcPr>
            <w:tcW w:w="347" w:type="pct"/>
            <w:vAlign w:val="center"/>
          </w:tcPr>
          <w:p>
            <w:pPr>
              <w:jc w:val="center"/>
            </w:pPr>
            <w:r>
              <w:rPr>
                <w:rFonts w:hint="eastAsia"/>
              </w:rPr>
              <w:t>分值</w:t>
            </w:r>
          </w:p>
        </w:tc>
        <w:tc>
          <w:tcPr>
            <w:tcW w:w="408" w:type="pct"/>
            <w:vAlign w:val="center"/>
          </w:tcPr>
          <w:p>
            <w:pPr>
              <w:jc w:val="center"/>
            </w:pPr>
            <w:r>
              <w:rPr>
                <w:rFonts w:hint="eastAsia"/>
              </w:rPr>
              <w:t>自评</w:t>
            </w:r>
          </w:p>
          <w:p>
            <w:pPr>
              <w:jc w:val="center"/>
            </w:pPr>
            <w:r>
              <w:rPr>
                <w:rFonts w:hint="eastAsia"/>
              </w:rPr>
              <w:t>得分</w:t>
            </w:r>
          </w:p>
        </w:tc>
        <w:tc>
          <w:tcPr>
            <w:tcW w:w="775" w:type="pct"/>
            <w:vAlign w:val="center"/>
          </w:tcPr>
          <w:p>
            <w:pPr>
              <w:jc w:val="center"/>
            </w:pPr>
            <w:r>
              <w:rPr>
                <w:rFonts w:hint="eastAsia"/>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7" w:hRule="atLeast"/>
        </w:trPr>
        <w:tc>
          <w:tcPr>
            <w:tcW w:w="526" w:type="pct"/>
            <w:vMerge w:val="continue"/>
            <w:textDirection w:val="tbRlV"/>
            <w:vAlign w:val="center"/>
          </w:tcPr>
          <w:p>
            <w:pPr>
              <w:jc w:val="center"/>
            </w:pPr>
          </w:p>
        </w:tc>
        <w:tc>
          <w:tcPr>
            <w:tcW w:w="524" w:type="pct"/>
            <w:vMerge w:val="restart"/>
            <w:tcBorders>
              <w:bottom w:val="nil"/>
            </w:tcBorders>
            <w:vAlign w:val="center"/>
          </w:tcPr>
          <w:p>
            <w:pPr>
              <w:jc w:val="center"/>
            </w:pPr>
            <w:r>
              <w:rPr>
                <w:rFonts w:hint="eastAsia"/>
              </w:rPr>
              <w:t>产</w:t>
            </w:r>
          </w:p>
          <w:p>
            <w:pPr>
              <w:jc w:val="center"/>
            </w:pPr>
            <w:r>
              <w:rPr>
                <w:rFonts w:hint="eastAsia"/>
              </w:rPr>
              <w:t>出</w:t>
            </w:r>
          </w:p>
          <w:p>
            <w:pPr>
              <w:jc w:val="center"/>
            </w:pPr>
            <w:r>
              <w:rPr>
                <w:rFonts w:hint="eastAsia"/>
              </w:rPr>
              <w:t>指</w:t>
            </w:r>
          </w:p>
          <w:p>
            <w:pPr>
              <w:jc w:val="center"/>
            </w:pPr>
            <w:r>
              <w:rPr>
                <w:rFonts w:hint="eastAsia"/>
              </w:rPr>
              <w:t>标</w:t>
            </w:r>
          </w:p>
          <w:p>
            <w:pPr>
              <w:jc w:val="center"/>
            </w:pPr>
            <w:r>
              <w:rPr>
                <w:rFonts w:hint="eastAsia"/>
              </w:rPr>
              <w:t>(30分）</w:t>
            </w:r>
          </w:p>
        </w:tc>
        <w:tc>
          <w:tcPr>
            <w:tcW w:w="649" w:type="pct"/>
            <w:vMerge w:val="restart"/>
            <w:tcBorders>
              <w:bottom w:val="nil"/>
            </w:tcBorders>
            <w:vAlign w:val="center"/>
          </w:tcPr>
          <w:p>
            <w:pPr>
              <w:jc w:val="center"/>
            </w:pPr>
            <w:r>
              <w:rPr>
                <w:rFonts w:hint="eastAsia"/>
              </w:rPr>
              <w:t>数</w:t>
            </w:r>
          </w:p>
          <w:p>
            <w:pPr>
              <w:jc w:val="center"/>
            </w:pPr>
            <w:r>
              <w:rPr>
                <w:rFonts w:hint="eastAsia"/>
              </w:rPr>
              <w:t>量</w:t>
            </w:r>
          </w:p>
          <w:p>
            <w:pPr>
              <w:jc w:val="center"/>
            </w:pPr>
            <w:r>
              <w:rPr>
                <w:rFonts w:hint="eastAsia"/>
              </w:rPr>
              <w:t>指</w:t>
            </w:r>
          </w:p>
          <w:p>
            <w:pPr>
              <w:jc w:val="center"/>
            </w:pPr>
            <w:r>
              <w:rPr>
                <w:rFonts w:hint="eastAsia"/>
              </w:rPr>
              <w:t>标</w:t>
            </w:r>
          </w:p>
        </w:tc>
        <w:tc>
          <w:tcPr>
            <w:tcW w:w="548" w:type="pct"/>
            <w:vAlign w:val="center"/>
          </w:tcPr>
          <w:p>
            <w:pPr>
              <w:jc w:val="center"/>
            </w:pPr>
            <w:r>
              <w:rPr>
                <w:rFonts w:hint="eastAsia"/>
              </w:rPr>
              <w:t>垃圾无害化处理率</w:t>
            </w:r>
          </w:p>
        </w:tc>
        <w:tc>
          <w:tcPr>
            <w:tcW w:w="571" w:type="pct"/>
            <w:vAlign w:val="center"/>
          </w:tcPr>
          <w:p>
            <w:pPr>
              <w:jc w:val="center"/>
            </w:pPr>
            <w:r>
              <w:rPr>
                <w:rFonts w:hint="eastAsia"/>
              </w:rPr>
              <w:t>达到85%以上</w:t>
            </w:r>
          </w:p>
        </w:tc>
        <w:tc>
          <w:tcPr>
            <w:tcW w:w="647" w:type="pct"/>
            <w:vAlign w:val="center"/>
          </w:tcPr>
          <w:p>
            <w:pPr>
              <w:jc w:val="center"/>
            </w:pPr>
            <w:r>
              <w:rPr>
                <w:rFonts w:hint="eastAsia"/>
              </w:rPr>
              <w:t>达到80%</w:t>
            </w:r>
          </w:p>
        </w:tc>
        <w:tc>
          <w:tcPr>
            <w:tcW w:w="347" w:type="pct"/>
            <w:vAlign w:val="center"/>
          </w:tcPr>
          <w:p>
            <w:pPr>
              <w:jc w:val="center"/>
            </w:pPr>
            <w:r>
              <w:rPr>
                <w:rFonts w:hint="eastAsia"/>
              </w:rPr>
              <w:t>10</w:t>
            </w:r>
          </w:p>
        </w:tc>
        <w:tc>
          <w:tcPr>
            <w:tcW w:w="408" w:type="pct"/>
            <w:vAlign w:val="center"/>
          </w:tcPr>
          <w:p>
            <w:pPr>
              <w:jc w:val="center"/>
            </w:pPr>
            <w:r>
              <w:rPr>
                <w:rFonts w:hint="eastAsia"/>
              </w:rPr>
              <w:t>9</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extDirection w:val="tbRlV"/>
            <w:vAlign w:val="center"/>
          </w:tcPr>
          <w:p>
            <w:pPr>
              <w:jc w:val="center"/>
            </w:pPr>
          </w:p>
        </w:tc>
        <w:tc>
          <w:tcPr>
            <w:tcW w:w="524" w:type="pct"/>
            <w:vMerge w:val="continue"/>
            <w:tcBorders>
              <w:top w:val="nil"/>
              <w:bottom w:val="nil"/>
            </w:tcBorders>
            <w:vAlign w:val="center"/>
          </w:tcPr>
          <w:p>
            <w:pPr>
              <w:jc w:val="center"/>
            </w:pPr>
          </w:p>
        </w:tc>
        <w:tc>
          <w:tcPr>
            <w:tcW w:w="649" w:type="pct"/>
            <w:vMerge w:val="continue"/>
            <w:tcBorders>
              <w:top w:val="nil"/>
              <w:bottom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extDirection w:val="tbRlV"/>
            <w:vAlign w:val="center"/>
          </w:tcPr>
          <w:p>
            <w:pPr>
              <w:jc w:val="center"/>
            </w:pPr>
          </w:p>
        </w:tc>
        <w:tc>
          <w:tcPr>
            <w:tcW w:w="524" w:type="pct"/>
            <w:vMerge w:val="continue"/>
            <w:tcBorders>
              <w:top w:val="nil"/>
              <w:bottom w:val="nil"/>
            </w:tcBorders>
            <w:vAlign w:val="center"/>
          </w:tcPr>
          <w:p>
            <w:pPr>
              <w:jc w:val="center"/>
            </w:pPr>
          </w:p>
        </w:tc>
        <w:tc>
          <w:tcPr>
            <w:tcW w:w="649" w:type="pct"/>
            <w:vMerge w:val="continue"/>
            <w:tcBorders>
              <w:top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7" w:hRule="atLeast"/>
        </w:trPr>
        <w:tc>
          <w:tcPr>
            <w:tcW w:w="526" w:type="pct"/>
            <w:vMerge w:val="continue"/>
            <w:textDirection w:val="tbRlV"/>
            <w:vAlign w:val="center"/>
          </w:tcPr>
          <w:p>
            <w:pPr>
              <w:jc w:val="center"/>
            </w:pPr>
          </w:p>
        </w:tc>
        <w:tc>
          <w:tcPr>
            <w:tcW w:w="524" w:type="pct"/>
            <w:vMerge w:val="continue"/>
            <w:tcBorders>
              <w:top w:val="nil"/>
              <w:bottom w:val="nil"/>
            </w:tcBorders>
            <w:vAlign w:val="center"/>
          </w:tcPr>
          <w:p>
            <w:pPr>
              <w:jc w:val="center"/>
            </w:pPr>
          </w:p>
        </w:tc>
        <w:tc>
          <w:tcPr>
            <w:tcW w:w="649" w:type="pct"/>
            <w:vMerge w:val="restart"/>
            <w:tcBorders>
              <w:bottom w:val="nil"/>
            </w:tcBorders>
            <w:vAlign w:val="center"/>
          </w:tcPr>
          <w:p>
            <w:pPr>
              <w:jc w:val="center"/>
            </w:pPr>
            <w:r>
              <w:rPr>
                <w:rFonts w:hint="eastAsia"/>
              </w:rPr>
              <w:t>质</w:t>
            </w:r>
          </w:p>
          <w:p>
            <w:pPr>
              <w:jc w:val="center"/>
            </w:pPr>
            <w:r>
              <w:rPr>
                <w:rFonts w:hint="eastAsia"/>
              </w:rPr>
              <w:t>量</w:t>
            </w:r>
          </w:p>
          <w:p>
            <w:pPr>
              <w:jc w:val="center"/>
            </w:pPr>
            <w:r>
              <w:rPr>
                <w:rFonts w:hint="eastAsia"/>
              </w:rPr>
              <w:t>指</w:t>
            </w:r>
          </w:p>
          <w:p>
            <w:pPr>
              <w:jc w:val="center"/>
            </w:pPr>
            <w:r>
              <w:rPr>
                <w:rFonts w:hint="eastAsia"/>
              </w:rPr>
              <w:t>标</w:t>
            </w:r>
          </w:p>
        </w:tc>
        <w:tc>
          <w:tcPr>
            <w:tcW w:w="548" w:type="pct"/>
            <w:vAlign w:val="center"/>
          </w:tcPr>
          <w:p>
            <w:pPr>
              <w:jc w:val="center"/>
            </w:pPr>
            <w:r>
              <w:rPr>
                <w:rFonts w:hint="eastAsia"/>
              </w:rPr>
              <w:t>垃圾回收利用率</w:t>
            </w:r>
          </w:p>
        </w:tc>
        <w:tc>
          <w:tcPr>
            <w:tcW w:w="571" w:type="pct"/>
            <w:vAlign w:val="center"/>
          </w:tcPr>
          <w:p>
            <w:pPr>
              <w:jc w:val="center"/>
            </w:pPr>
            <w:r>
              <w:rPr>
                <w:rFonts w:hint="eastAsia"/>
              </w:rPr>
              <w:t>达到40%以上</w:t>
            </w:r>
          </w:p>
        </w:tc>
        <w:tc>
          <w:tcPr>
            <w:tcW w:w="647" w:type="pct"/>
            <w:vAlign w:val="center"/>
          </w:tcPr>
          <w:p>
            <w:pPr>
              <w:jc w:val="center"/>
            </w:pPr>
            <w:r>
              <w:rPr>
                <w:rFonts w:hint="eastAsia"/>
              </w:rPr>
              <w:t>达到38%</w:t>
            </w:r>
          </w:p>
        </w:tc>
        <w:tc>
          <w:tcPr>
            <w:tcW w:w="347" w:type="pct"/>
            <w:vAlign w:val="center"/>
          </w:tcPr>
          <w:p>
            <w:pPr>
              <w:jc w:val="center"/>
            </w:pPr>
            <w:r>
              <w:rPr>
                <w:rFonts w:hint="eastAsia"/>
              </w:rPr>
              <w:t>10</w:t>
            </w:r>
          </w:p>
        </w:tc>
        <w:tc>
          <w:tcPr>
            <w:tcW w:w="408" w:type="pct"/>
            <w:vAlign w:val="center"/>
          </w:tcPr>
          <w:p>
            <w:pPr>
              <w:jc w:val="center"/>
            </w:pPr>
            <w:r>
              <w:rPr>
                <w:rFonts w:hint="eastAsia"/>
              </w:rPr>
              <w:t>9</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extDirection w:val="tbRlV"/>
            <w:vAlign w:val="center"/>
          </w:tcPr>
          <w:p>
            <w:pPr>
              <w:jc w:val="center"/>
            </w:pPr>
          </w:p>
        </w:tc>
        <w:tc>
          <w:tcPr>
            <w:tcW w:w="524" w:type="pct"/>
            <w:vMerge w:val="continue"/>
            <w:tcBorders>
              <w:top w:val="nil"/>
              <w:bottom w:val="nil"/>
            </w:tcBorders>
            <w:vAlign w:val="center"/>
          </w:tcPr>
          <w:p>
            <w:pPr>
              <w:jc w:val="center"/>
            </w:pPr>
          </w:p>
        </w:tc>
        <w:tc>
          <w:tcPr>
            <w:tcW w:w="649" w:type="pct"/>
            <w:vMerge w:val="continue"/>
            <w:tcBorders>
              <w:top w:val="nil"/>
              <w:bottom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extDirection w:val="tbRlV"/>
            <w:vAlign w:val="center"/>
          </w:tcPr>
          <w:p>
            <w:pPr>
              <w:jc w:val="center"/>
            </w:pPr>
          </w:p>
        </w:tc>
        <w:tc>
          <w:tcPr>
            <w:tcW w:w="524" w:type="pct"/>
            <w:vMerge w:val="continue"/>
            <w:tcBorders>
              <w:top w:val="nil"/>
              <w:bottom w:val="nil"/>
            </w:tcBorders>
            <w:vAlign w:val="center"/>
          </w:tcPr>
          <w:p>
            <w:pPr>
              <w:jc w:val="center"/>
            </w:pPr>
          </w:p>
        </w:tc>
        <w:tc>
          <w:tcPr>
            <w:tcW w:w="649" w:type="pct"/>
            <w:vMerge w:val="continue"/>
            <w:tcBorders>
              <w:top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9" w:hRule="atLeast"/>
        </w:trPr>
        <w:tc>
          <w:tcPr>
            <w:tcW w:w="526" w:type="pct"/>
            <w:vMerge w:val="continue"/>
            <w:textDirection w:val="tbRlV"/>
            <w:vAlign w:val="center"/>
          </w:tcPr>
          <w:p>
            <w:pPr>
              <w:jc w:val="center"/>
            </w:pPr>
          </w:p>
        </w:tc>
        <w:tc>
          <w:tcPr>
            <w:tcW w:w="524" w:type="pct"/>
            <w:vMerge w:val="continue"/>
            <w:tcBorders>
              <w:top w:val="nil"/>
              <w:bottom w:val="nil"/>
            </w:tcBorders>
            <w:vAlign w:val="center"/>
          </w:tcPr>
          <w:p>
            <w:pPr>
              <w:jc w:val="center"/>
            </w:pPr>
          </w:p>
        </w:tc>
        <w:tc>
          <w:tcPr>
            <w:tcW w:w="649" w:type="pct"/>
            <w:vMerge w:val="restart"/>
            <w:tcBorders>
              <w:bottom w:val="nil"/>
            </w:tcBorders>
            <w:vAlign w:val="center"/>
          </w:tcPr>
          <w:p>
            <w:pPr>
              <w:jc w:val="center"/>
            </w:pPr>
            <w:r>
              <w:rPr>
                <w:rFonts w:hint="eastAsia"/>
              </w:rPr>
              <w:t>时</w:t>
            </w:r>
          </w:p>
          <w:p>
            <w:pPr>
              <w:jc w:val="center"/>
            </w:pPr>
            <w:r>
              <w:rPr>
                <w:rFonts w:hint="eastAsia"/>
              </w:rPr>
              <w:t>效</w:t>
            </w:r>
          </w:p>
          <w:p>
            <w:pPr>
              <w:jc w:val="center"/>
            </w:pPr>
            <w:r>
              <w:rPr>
                <w:rFonts w:hint="eastAsia"/>
              </w:rPr>
              <w:t>指</w:t>
            </w:r>
          </w:p>
          <w:p>
            <w:pPr>
              <w:jc w:val="center"/>
            </w:pPr>
            <w:r>
              <w:rPr>
                <w:rFonts w:hint="eastAsia"/>
              </w:rPr>
              <w:t>标</w:t>
            </w:r>
          </w:p>
        </w:tc>
        <w:tc>
          <w:tcPr>
            <w:tcW w:w="548" w:type="pct"/>
            <w:vAlign w:val="center"/>
          </w:tcPr>
          <w:p>
            <w:pPr>
              <w:jc w:val="center"/>
            </w:pPr>
            <w:r>
              <w:rPr>
                <w:rFonts w:hint="eastAsia"/>
              </w:rPr>
              <w:t>垃圾分类准确率</w:t>
            </w:r>
          </w:p>
        </w:tc>
        <w:tc>
          <w:tcPr>
            <w:tcW w:w="571" w:type="pct"/>
            <w:vAlign w:val="center"/>
          </w:tcPr>
          <w:p>
            <w:pPr>
              <w:jc w:val="center"/>
            </w:pPr>
            <w:r>
              <w:rPr>
                <w:rFonts w:hint="eastAsia"/>
              </w:rPr>
              <w:t>达到50%-70%左右</w:t>
            </w:r>
          </w:p>
        </w:tc>
        <w:tc>
          <w:tcPr>
            <w:tcW w:w="647" w:type="pct"/>
            <w:vAlign w:val="center"/>
          </w:tcPr>
          <w:p>
            <w:pPr>
              <w:jc w:val="center"/>
            </w:pPr>
            <w:r>
              <w:rPr>
                <w:rFonts w:hint="eastAsia"/>
              </w:rPr>
              <w:t>达到60%</w:t>
            </w:r>
          </w:p>
        </w:tc>
        <w:tc>
          <w:tcPr>
            <w:tcW w:w="347" w:type="pct"/>
            <w:vAlign w:val="center"/>
          </w:tcPr>
          <w:p>
            <w:pPr>
              <w:jc w:val="center"/>
            </w:pPr>
            <w:r>
              <w:rPr>
                <w:rFonts w:hint="eastAsia"/>
              </w:rPr>
              <w:t>10</w:t>
            </w:r>
          </w:p>
        </w:tc>
        <w:tc>
          <w:tcPr>
            <w:tcW w:w="408" w:type="pct"/>
            <w:vAlign w:val="center"/>
          </w:tcPr>
          <w:p>
            <w:pPr>
              <w:jc w:val="center"/>
            </w:pPr>
            <w:r>
              <w:rPr>
                <w:rFonts w:hint="eastAsia"/>
              </w:rPr>
              <w:t>9</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extDirection w:val="tbRlV"/>
            <w:vAlign w:val="center"/>
          </w:tcPr>
          <w:p>
            <w:pPr>
              <w:jc w:val="center"/>
            </w:pPr>
          </w:p>
        </w:tc>
        <w:tc>
          <w:tcPr>
            <w:tcW w:w="524" w:type="pct"/>
            <w:vMerge w:val="continue"/>
            <w:tcBorders>
              <w:top w:val="nil"/>
              <w:bottom w:val="nil"/>
            </w:tcBorders>
            <w:vAlign w:val="center"/>
          </w:tcPr>
          <w:p>
            <w:pPr>
              <w:jc w:val="center"/>
            </w:pPr>
          </w:p>
        </w:tc>
        <w:tc>
          <w:tcPr>
            <w:tcW w:w="649" w:type="pct"/>
            <w:vMerge w:val="continue"/>
            <w:tcBorders>
              <w:top w:val="nil"/>
              <w:bottom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26" w:type="pct"/>
            <w:vMerge w:val="continue"/>
            <w:textDirection w:val="tbRlV"/>
            <w:vAlign w:val="center"/>
          </w:tcPr>
          <w:p>
            <w:pPr>
              <w:jc w:val="center"/>
            </w:pPr>
          </w:p>
        </w:tc>
        <w:tc>
          <w:tcPr>
            <w:tcW w:w="524" w:type="pct"/>
            <w:vMerge w:val="continue"/>
            <w:tcBorders>
              <w:top w:val="nil"/>
              <w:bottom w:val="single" w:color="auto" w:sz="4" w:space="0"/>
            </w:tcBorders>
            <w:vAlign w:val="center"/>
          </w:tcPr>
          <w:p>
            <w:pPr>
              <w:jc w:val="center"/>
            </w:pPr>
          </w:p>
        </w:tc>
        <w:tc>
          <w:tcPr>
            <w:tcW w:w="649" w:type="pct"/>
            <w:vMerge w:val="continue"/>
            <w:tcBorders>
              <w:top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4" w:hRule="atLeast"/>
        </w:trPr>
        <w:tc>
          <w:tcPr>
            <w:tcW w:w="526" w:type="pct"/>
            <w:vMerge w:val="restart"/>
            <w:vAlign w:val="center"/>
          </w:tcPr>
          <w:p>
            <w:pPr>
              <w:jc w:val="center"/>
            </w:pPr>
            <w:r>
              <w:rPr>
                <w:rFonts w:hint="eastAsia"/>
              </w:rPr>
              <w:t>绩</w:t>
            </w:r>
          </w:p>
          <w:p>
            <w:pPr>
              <w:jc w:val="center"/>
            </w:pPr>
            <w:r>
              <w:rPr>
                <w:rFonts w:hint="eastAsia"/>
              </w:rPr>
              <w:t>效</w:t>
            </w:r>
          </w:p>
          <w:p>
            <w:pPr>
              <w:jc w:val="center"/>
            </w:pPr>
            <w:r>
              <w:rPr>
                <w:rFonts w:hint="eastAsia"/>
              </w:rPr>
              <w:t>指</w:t>
            </w:r>
          </w:p>
          <w:p>
            <w:pPr>
              <w:jc w:val="center"/>
            </w:pPr>
            <w:r>
              <w:rPr>
                <w:rFonts w:hint="eastAsia"/>
              </w:rPr>
              <w:t>标</w:t>
            </w:r>
          </w:p>
        </w:tc>
        <w:tc>
          <w:tcPr>
            <w:tcW w:w="524" w:type="pct"/>
            <w:vMerge w:val="restart"/>
            <w:tcBorders>
              <w:top w:val="single" w:color="auto" w:sz="4" w:space="0"/>
              <w:left w:val="single" w:color="auto" w:sz="4" w:space="0"/>
              <w:bottom w:val="single" w:color="auto" w:sz="4" w:space="0"/>
              <w:right w:val="single" w:color="auto" w:sz="4" w:space="0"/>
            </w:tcBorders>
            <w:vAlign w:val="center"/>
          </w:tcPr>
          <w:p>
            <w:pPr>
              <w:jc w:val="center"/>
            </w:pPr>
            <w:r>
              <w:rPr>
                <w:rFonts w:hint="eastAsia"/>
              </w:rPr>
              <w:t>效</w:t>
            </w:r>
          </w:p>
          <w:p>
            <w:pPr>
              <w:jc w:val="center"/>
            </w:pPr>
            <w:r>
              <w:rPr>
                <w:rFonts w:hint="eastAsia"/>
              </w:rPr>
              <w:t>益</w:t>
            </w:r>
          </w:p>
          <w:p>
            <w:pPr>
              <w:jc w:val="center"/>
            </w:pPr>
            <w:r>
              <w:rPr>
                <w:rFonts w:hint="eastAsia"/>
              </w:rPr>
              <w:t>指</w:t>
            </w:r>
          </w:p>
          <w:p>
            <w:pPr>
              <w:jc w:val="center"/>
            </w:pPr>
            <w:r>
              <w:rPr>
                <w:rFonts w:hint="eastAsia"/>
              </w:rPr>
              <w:t>标</w:t>
            </w:r>
          </w:p>
          <w:p>
            <w:pPr>
              <w:jc w:val="center"/>
            </w:pPr>
            <w:r>
              <w:rPr>
                <w:rFonts w:hint="eastAsia"/>
              </w:rPr>
              <w:t>（30分）</w:t>
            </w:r>
          </w:p>
        </w:tc>
        <w:tc>
          <w:tcPr>
            <w:tcW w:w="649" w:type="pct"/>
            <w:vMerge w:val="restart"/>
            <w:tcBorders>
              <w:left w:val="single" w:color="auto" w:sz="4" w:space="0"/>
              <w:bottom w:val="nil"/>
            </w:tcBorders>
            <w:vAlign w:val="center"/>
          </w:tcPr>
          <w:p>
            <w:pPr>
              <w:jc w:val="center"/>
            </w:pPr>
            <w:r>
              <w:rPr>
                <w:rFonts w:hint="eastAsia"/>
              </w:rPr>
              <w:t>经济</w:t>
            </w:r>
          </w:p>
          <w:p>
            <w:pPr>
              <w:jc w:val="center"/>
            </w:pPr>
            <w:r>
              <w:rPr>
                <w:rFonts w:hint="eastAsia"/>
              </w:rPr>
              <w:t>效益</w:t>
            </w:r>
          </w:p>
          <w:p>
            <w:pPr>
              <w:jc w:val="center"/>
            </w:pPr>
            <w:r>
              <w:rPr>
                <w:rFonts w:hint="eastAsia"/>
              </w:rPr>
              <w:t>指标</w:t>
            </w:r>
          </w:p>
        </w:tc>
        <w:tc>
          <w:tcPr>
            <w:tcW w:w="548" w:type="pct"/>
            <w:vAlign w:val="center"/>
          </w:tcPr>
          <w:p>
            <w:pPr>
              <w:jc w:val="center"/>
            </w:pPr>
            <w:r>
              <w:rPr>
                <w:rFonts w:hint="eastAsia"/>
              </w:rPr>
              <w:t>垃圾处理成本控制率</w:t>
            </w:r>
          </w:p>
        </w:tc>
        <w:tc>
          <w:tcPr>
            <w:tcW w:w="571" w:type="pct"/>
            <w:vAlign w:val="center"/>
          </w:tcPr>
          <w:p>
            <w:pPr>
              <w:jc w:val="center"/>
            </w:pPr>
            <w:r>
              <w:rPr>
                <w:rFonts w:hint="eastAsia"/>
              </w:rPr>
              <w:t>80%-120%左右</w:t>
            </w:r>
          </w:p>
        </w:tc>
        <w:tc>
          <w:tcPr>
            <w:tcW w:w="647" w:type="pct"/>
            <w:vAlign w:val="center"/>
          </w:tcPr>
          <w:p>
            <w:pPr>
              <w:jc w:val="center"/>
            </w:pPr>
            <w:r>
              <w:rPr>
                <w:rFonts w:hint="eastAsia"/>
              </w:rPr>
              <w:t>控制85%左右</w:t>
            </w:r>
          </w:p>
        </w:tc>
        <w:tc>
          <w:tcPr>
            <w:tcW w:w="347" w:type="pct"/>
            <w:vAlign w:val="center"/>
          </w:tcPr>
          <w:p>
            <w:pPr>
              <w:jc w:val="center"/>
            </w:pPr>
            <w:r>
              <w:rPr>
                <w:rFonts w:hint="eastAsia"/>
              </w:rPr>
              <w:t>10</w:t>
            </w:r>
          </w:p>
        </w:tc>
        <w:tc>
          <w:tcPr>
            <w:tcW w:w="408" w:type="pct"/>
            <w:vAlign w:val="center"/>
          </w:tcPr>
          <w:p>
            <w:pPr>
              <w:jc w:val="center"/>
            </w:pPr>
            <w:r>
              <w:rPr>
                <w:rFonts w:hint="eastAsia"/>
              </w:rPr>
              <w:t>10</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bottom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4"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restart"/>
            <w:tcBorders>
              <w:left w:val="single" w:color="auto" w:sz="4" w:space="0"/>
              <w:bottom w:val="nil"/>
            </w:tcBorders>
            <w:vAlign w:val="center"/>
          </w:tcPr>
          <w:p>
            <w:pPr>
              <w:jc w:val="center"/>
            </w:pPr>
            <w:r>
              <w:rPr>
                <w:rFonts w:hint="eastAsia"/>
              </w:rPr>
              <w:t>社会</w:t>
            </w:r>
          </w:p>
          <w:p>
            <w:pPr>
              <w:jc w:val="center"/>
            </w:pPr>
            <w:r>
              <w:rPr>
                <w:rFonts w:hint="eastAsia"/>
              </w:rPr>
              <w:t>效益</w:t>
            </w:r>
          </w:p>
          <w:p>
            <w:pPr>
              <w:jc w:val="center"/>
            </w:pPr>
            <w:r>
              <w:rPr>
                <w:rFonts w:hint="eastAsia"/>
              </w:rPr>
              <w:t>指标</w:t>
            </w:r>
          </w:p>
        </w:tc>
        <w:tc>
          <w:tcPr>
            <w:tcW w:w="548" w:type="pct"/>
            <w:vAlign w:val="center"/>
          </w:tcPr>
          <w:p>
            <w:pPr>
              <w:jc w:val="center"/>
            </w:pPr>
            <w:r>
              <w:rPr>
                <w:rFonts w:hint="eastAsia"/>
              </w:rPr>
              <w:t>垃圾处理作业按时完成率</w:t>
            </w:r>
          </w:p>
        </w:tc>
        <w:tc>
          <w:tcPr>
            <w:tcW w:w="571" w:type="pct"/>
            <w:vAlign w:val="center"/>
          </w:tcPr>
          <w:p>
            <w:pPr>
              <w:jc w:val="center"/>
            </w:pPr>
            <w:r>
              <w:rPr>
                <w:rFonts w:hint="eastAsia"/>
              </w:rPr>
              <w:t>完成90%以上</w:t>
            </w:r>
          </w:p>
        </w:tc>
        <w:tc>
          <w:tcPr>
            <w:tcW w:w="647" w:type="pct"/>
            <w:vAlign w:val="center"/>
          </w:tcPr>
          <w:p>
            <w:pPr>
              <w:jc w:val="center"/>
            </w:pPr>
            <w:r>
              <w:rPr>
                <w:rFonts w:hint="eastAsia"/>
              </w:rPr>
              <w:t>完成100%</w:t>
            </w:r>
          </w:p>
        </w:tc>
        <w:tc>
          <w:tcPr>
            <w:tcW w:w="347" w:type="pct"/>
            <w:vAlign w:val="center"/>
          </w:tcPr>
          <w:p>
            <w:pPr>
              <w:jc w:val="center"/>
            </w:pPr>
            <w:r>
              <w:rPr>
                <w:rFonts w:hint="eastAsia"/>
              </w:rPr>
              <w:t>10</w:t>
            </w:r>
          </w:p>
        </w:tc>
        <w:tc>
          <w:tcPr>
            <w:tcW w:w="408" w:type="pct"/>
            <w:vAlign w:val="center"/>
          </w:tcPr>
          <w:p>
            <w:pPr>
              <w:jc w:val="center"/>
            </w:pPr>
            <w:r>
              <w:rPr>
                <w:rFonts w:hint="eastAsia"/>
              </w:rPr>
              <w:t>10</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bottom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4"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restart"/>
            <w:tcBorders>
              <w:left w:val="single" w:color="auto" w:sz="4" w:space="0"/>
              <w:bottom w:val="nil"/>
            </w:tcBorders>
            <w:vAlign w:val="center"/>
          </w:tcPr>
          <w:p>
            <w:pPr>
              <w:jc w:val="center"/>
            </w:pPr>
            <w:r>
              <w:rPr>
                <w:rFonts w:hint="eastAsia"/>
              </w:rPr>
              <w:t>生态</w:t>
            </w:r>
          </w:p>
          <w:p>
            <w:pPr>
              <w:jc w:val="center"/>
            </w:pPr>
            <w:r>
              <w:rPr>
                <w:rFonts w:hint="eastAsia"/>
              </w:rPr>
              <w:t>效益</w:t>
            </w:r>
          </w:p>
          <w:p>
            <w:pPr>
              <w:jc w:val="center"/>
            </w:pPr>
            <w:r>
              <w:rPr>
                <w:rFonts w:hint="eastAsia"/>
              </w:rPr>
              <w:t>指标</w:t>
            </w:r>
          </w:p>
        </w:tc>
        <w:tc>
          <w:tcPr>
            <w:tcW w:w="548" w:type="pct"/>
            <w:vAlign w:val="center"/>
          </w:tcPr>
          <w:p>
            <w:pPr>
              <w:jc w:val="center"/>
            </w:pPr>
            <w:r>
              <w:rPr>
                <w:rFonts w:hint="eastAsia"/>
              </w:rPr>
              <w:t>周边环境质量改善率</w:t>
            </w:r>
          </w:p>
        </w:tc>
        <w:tc>
          <w:tcPr>
            <w:tcW w:w="571" w:type="pct"/>
            <w:vAlign w:val="center"/>
          </w:tcPr>
          <w:p>
            <w:pPr>
              <w:jc w:val="center"/>
            </w:pPr>
            <w:r>
              <w:rPr>
                <w:rFonts w:hint="eastAsia"/>
              </w:rPr>
              <w:t>达到90%左右</w:t>
            </w:r>
          </w:p>
        </w:tc>
        <w:tc>
          <w:tcPr>
            <w:tcW w:w="647" w:type="pct"/>
            <w:vAlign w:val="center"/>
          </w:tcPr>
          <w:p>
            <w:pPr>
              <w:jc w:val="center"/>
            </w:pPr>
            <w:r>
              <w:rPr>
                <w:rFonts w:hint="eastAsia"/>
              </w:rPr>
              <w:t>达到88%</w:t>
            </w:r>
          </w:p>
        </w:tc>
        <w:tc>
          <w:tcPr>
            <w:tcW w:w="347" w:type="pct"/>
            <w:vAlign w:val="center"/>
          </w:tcPr>
          <w:p>
            <w:pPr>
              <w:jc w:val="center"/>
            </w:pPr>
            <w:r>
              <w:rPr>
                <w:rFonts w:hint="eastAsia"/>
              </w:rPr>
              <w:t>5</w:t>
            </w:r>
          </w:p>
        </w:tc>
        <w:tc>
          <w:tcPr>
            <w:tcW w:w="408" w:type="pct"/>
            <w:vAlign w:val="center"/>
          </w:tcPr>
          <w:p>
            <w:pPr>
              <w:jc w:val="center"/>
            </w:pPr>
            <w:r>
              <w:rPr>
                <w:rFonts w:hint="eastAsia"/>
              </w:rPr>
              <w:t>4</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bottom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3"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restart"/>
            <w:tcBorders>
              <w:left w:val="single" w:color="auto" w:sz="4" w:space="0"/>
              <w:bottom w:val="nil"/>
            </w:tcBorders>
            <w:vAlign w:val="center"/>
          </w:tcPr>
          <w:p>
            <w:pPr>
              <w:jc w:val="center"/>
            </w:pPr>
            <w:r>
              <w:rPr>
                <w:rFonts w:hint="eastAsia"/>
              </w:rPr>
              <w:t>可持续</w:t>
            </w:r>
          </w:p>
          <w:p>
            <w:pPr>
              <w:jc w:val="center"/>
            </w:pPr>
            <w:r>
              <w:rPr>
                <w:rFonts w:hint="eastAsia"/>
              </w:rPr>
              <w:t>影响</w:t>
            </w:r>
          </w:p>
          <w:p>
            <w:pPr>
              <w:jc w:val="center"/>
            </w:pPr>
            <w:r>
              <w:rPr>
                <w:rFonts w:hint="eastAsia"/>
              </w:rPr>
              <w:t>指标</w:t>
            </w:r>
          </w:p>
        </w:tc>
        <w:tc>
          <w:tcPr>
            <w:tcW w:w="548" w:type="pct"/>
            <w:vAlign w:val="center"/>
          </w:tcPr>
          <w:p>
            <w:pPr>
              <w:jc w:val="center"/>
            </w:pPr>
            <w:r>
              <w:rPr>
                <w:rFonts w:hint="eastAsia"/>
              </w:rPr>
              <w:t>空气质量提升率</w:t>
            </w:r>
          </w:p>
        </w:tc>
        <w:tc>
          <w:tcPr>
            <w:tcW w:w="571" w:type="pct"/>
            <w:vAlign w:val="center"/>
          </w:tcPr>
          <w:p>
            <w:pPr>
              <w:jc w:val="center"/>
            </w:pPr>
            <w:r>
              <w:rPr>
                <w:rFonts w:hint="eastAsia"/>
              </w:rPr>
              <w:t>提升95%左右</w:t>
            </w:r>
          </w:p>
        </w:tc>
        <w:tc>
          <w:tcPr>
            <w:tcW w:w="647" w:type="pct"/>
            <w:vAlign w:val="center"/>
          </w:tcPr>
          <w:p>
            <w:pPr>
              <w:jc w:val="center"/>
            </w:pPr>
            <w:r>
              <w:rPr>
                <w:rFonts w:hint="eastAsia"/>
              </w:rPr>
              <w:t>提升93左右</w:t>
            </w:r>
          </w:p>
        </w:tc>
        <w:tc>
          <w:tcPr>
            <w:tcW w:w="347" w:type="pct"/>
            <w:vAlign w:val="center"/>
          </w:tcPr>
          <w:p>
            <w:pPr>
              <w:jc w:val="center"/>
            </w:pPr>
            <w:r>
              <w:rPr>
                <w:rFonts w:hint="eastAsia"/>
              </w:rPr>
              <w:t>5</w:t>
            </w:r>
          </w:p>
        </w:tc>
        <w:tc>
          <w:tcPr>
            <w:tcW w:w="408" w:type="pct"/>
            <w:vAlign w:val="center"/>
          </w:tcPr>
          <w:p>
            <w:pPr>
              <w:jc w:val="center"/>
            </w:pPr>
            <w:r>
              <w:rPr>
                <w:rFonts w:hint="eastAsia"/>
              </w:rPr>
              <w:t>4</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bottom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3" w:hRule="atLeast"/>
        </w:trPr>
        <w:tc>
          <w:tcPr>
            <w:tcW w:w="526" w:type="pct"/>
            <w:vMerge w:val="continue"/>
            <w:textDirection w:val="tbRlV"/>
            <w:vAlign w:val="center"/>
          </w:tcPr>
          <w:p>
            <w:pPr>
              <w:jc w:val="center"/>
            </w:pPr>
          </w:p>
        </w:tc>
        <w:tc>
          <w:tcPr>
            <w:tcW w:w="524" w:type="pct"/>
            <w:vMerge w:val="restart"/>
            <w:tcBorders>
              <w:top w:val="single" w:color="auto" w:sz="4" w:space="0"/>
              <w:left w:val="single" w:color="auto" w:sz="4" w:space="0"/>
              <w:bottom w:val="single" w:color="auto" w:sz="4" w:space="0"/>
              <w:right w:val="single" w:color="auto" w:sz="4" w:space="0"/>
            </w:tcBorders>
            <w:vAlign w:val="center"/>
          </w:tcPr>
          <w:p>
            <w:pPr>
              <w:jc w:val="center"/>
            </w:pPr>
            <w:r>
              <w:rPr>
                <w:rFonts w:hint="eastAsia"/>
              </w:rPr>
              <w:t>满意度</w:t>
            </w:r>
          </w:p>
          <w:p>
            <w:pPr>
              <w:jc w:val="center"/>
            </w:pPr>
            <w:r>
              <w:rPr>
                <w:rFonts w:hint="eastAsia"/>
              </w:rPr>
              <w:t>指标</w:t>
            </w:r>
          </w:p>
          <w:p>
            <w:pPr>
              <w:jc w:val="center"/>
            </w:pPr>
            <w:r>
              <w:rPr>
                <w:rFonts w:hint="eastAsia"/>
              </w:rPr>
              <w:t>（10分）</w:t>
            </w:r>
          </w:p>
        </w:tc>
        <w:tc>
          <w:tcPr>
            <w:tcW w:w="649" w:type="pct"/>
            <w:vMerge w:val="restart"/>
            <w:tcBorders>
              <w:left w:val="single" w:color="auto" w:sz="4" w:space="0"/>
              <w:bottom w:val="nil"/>
            </w:tcBorders>
            <w:vAlign w:val="center"/>
          </w:tcPr>
          <w:p>
            <w:pPr>
              <w:jc w:val="center"/>
            </w:pPr>
            <w:r>
              <w:rPr>
                <w:rFonts w:hint="eastAsia"/>
              </w:rPr>
              <w:t>服务对象</w:t>
            </w:r>
          </w:p>
          <w:p>
            <w:pPr>
              <w:jc w:val="center"/>
            </w:pPr>
            <w:r>
              <w:rPr>
                <w:rFonts w:hint="eastAsia"/>
              </w:rPr>
              <w:t>满意度</w:t>
            </w:r>
          </w:p>
          <w:p>
            <w:pPr>
              <w:jc w:val="center"/>
            </w:pPr>
            <w:r>
              <w:rPr>
                <w:rFonts w:hint="eastAsia"/>
              </w:rPr>
              <w:t>指标</w:t>
            </w:r>
          </w:p>
        </w:tc>
        <w:tc>
          <w:tcPr>
            <w:tcW w:w="548" w:type="pct"/>
            <w:vAlign w:val="center"/>
          </w:tcPr>
          <w:p>
            <w:pPr>
              <w:jc w:val="center"/>
            </w:pPr>
            <w:r>
              <w:rPr>
                <w:rFonts w:hint="eastAsia"/>
              </w:rPr>
              <w:t>群众满意度</w:t>
            </w:r>
          </w:p>
        </w:tc>
        <w:tc>
          <w:tcPr>
            <w:tcW w:w="571" w:type="pct"/>
            <w:vAlign w:val="center"/>
          </w:tcPr>
          <w:p>
            <w:pPr>
              <w:jc w:val="center"/>
            </w:pPr>
            <w:r>
              <w:rPr>
                <w:rFonts w:hint="eastAsia"/>
              </w:rPr>
              <w:t>95%左右</w:t>
            </w:r>
          </w:p>
        </w:tc>
        <w:tc>
          <w:tcPr>
            <w:tcW w:w="647" w:type="pct"/>
            <w:vAlign w:val="center"/>
          </w:tcPr>
          <w:p>
            <w:pPr>
              <w:jc w:val="center"/>
            </w:pPr>
            <w:r>
              <w:rPr>
                <w:rFonts w:hint="eastAsia"/>
              </w:rPr>
              <w:t>90%</w:t>
            </w:r>
          </w:p>
        </w:tc>
        <w:tc>
          <w:tcPr>
            <w:tcW w:w="347" w:type="pct"/>
            <w:vAlign w:val="center"/>
          </w:tcPr>
          <w:p>
            <w:pPr>
              <w:jc w:val="center"/>
            </w:pPr>
            <w:r>
              <w:rPr>
                <w:rFonts w:hint="eastAsia"/>
              </w:rPr>
              <w:t>10</w:t>
            </w:r>
          </w:p>
        </w:tc>
        <w:tc>
          <w:tcPr>
            <w:tcW w:w="408" w:type="pct"/>
            <w:vAlign w:val="center"/>
          </w:tcPr>
          <w:p>
            <w:pPr>
              <w:jc w:val="center"/>
            </w:pPr>
            <w:r>
              <w:rPr>
                <w:rFonts w:hint="eastAsia"/>
              </w:rPr>
              <w:t>9</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bottom w:val="nil"/>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top w:val="nil"/>
              <w:left w:val="single" w:color="auto" w:sz="4" w:space="0"/>
              <w:bottom w:val="single" w:color="auto" w:sz="4" w:space="0"/>
            </w:tcBorders>
            <w:vAlign w:val="center"/>
          </w:tcPr>
          <w:p>
            <w:pPr>
              <w:jc w:val="center"/>
            </w:pPr>
          </w:p>
        </w:tc>
        <w:tc>
          <w:tcPr>
            <w:tcW w:w="548" w:type="pct"/>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4" w:hRule="atLeast"/>
        </w:trPr>
        <w:tc>
          <w:tcPr>
            <w:tcW w:w="526" w:type="pct"/>
            <w:vMerge w:val="continue"/>
            <w:textDirection w:val="tbRlV"/>
            <w:vAlign w:val="center"/>
          </w:tcPr>
          <w:p>
            <w:pPr>
              <w:jc w:val="center"/>
            </w:pPr>
          </w:p>
        </w:tc>
        <w:tc>
          <w:tcPr>
            <w:tcW w:w="524" w:type="pct"/>
            <w:vMerge w:val="restart"/>
            <w:tcBorders>
              <w:top w:val="single" w:color="auto" w:sz="4" w:space="0"/>
              <w:left w:val="single" w:color="auto" w:sz="4" w:space="0"/>
              <w:bottom w:val="single" w:color="auto" w:sz="4" w:space="0"/>
              <w:right w:val="single" w:color="auto" w:sz="4" w:space="0"/>
            </w:tcBorders>
            <w:vAlign w:val="center"/>
          </w:tcPr>
          <w:p>
            <w:pPr>
              <w:jc w:val="center"/>
            </w:pPr>
            <w:r>
              <w:rPr>
                <w:rFonts w:hint="eastAsia"/>
              </w:rPr>
              <w:t>成</w:t>
            </w:r>
          </w:p>
          <w:p>
            <w:pPr>
              <w:jc w:val="center"/>
            </w:pPr>
            <w:r>
              <w:rPr>
                <w:rFonts w:hint="eastAsia"/>
              </w:rPr>
              <w:t>本</w:t>
            </w:r>
          </w:p>
          <w:p>
            <w:pPr>
              <w:jc w:val="center"/>
            </w:pPr>
            <w:r>
              <w:rPr>
                <w:rFonts w:hint="eastAsia"/>
              </w:rPr>
              <w:t>指</w:t>
            </w:r>
          </w:p>
          <w:p>
            <w:pPr>
              <w:jc w:val="center"/>
            </w:pPr>
            <w:r>
              <w:rPr>
                <w:rFonts w:hint="eastAsia"/>
              </w:rPr>
              <w:t>标</w:t>
            </w:r>
          </w:p>
          <w:p>
            <w:pPr>
              <w:jc w:val="center"/>
            </w:pPr>
            <w:r>
              <w:rPr>
                <w:rFonts w:hint="eastAsia"/>
              </w:rPr>
              <w:t>（20分）</w:t>
            </w:r>
          </w:p>
        </w:tc>
        <w:tc>
          <w:tcPr>
            <w:tcW w:w="649" w:type="pct"/>
            <w:vMerge w:val="restart"/>
            <w:tcBorders>
              <w:top w:val="single" w:color="auto" w:sz="4" w:space="0"/>
              <w:left w:val="single" w:color="auto" w:sz="4" w:space="0"/>
              <w:right w:val="single" w:color="auto" w:sz="4" w:space="0"/>
            </w:tcBorders>
            <w:vAlign w:val="center"/>
          </w:tcPr>
          <w:p>
            <w:pPr>
              <w:jc w:val="center"/>
            </w:pPr>
            <w:r>
              <w:rPr>
                <w:rFonts w:hint="eastAsia"/>
              </w:rPr>
              <w:t>经济</w:t>
            </w:r>
          </w:p>
          <w:p>
            <w:pPr>
              <w:jc w:val="center"/>
            </w:pPr>
            <w:r>
              <w:rPr>
                <w:rFonts w:hint="eastAsia"/>
              </w:rPr>
              <w:t>成本</w:t>
            </w:r>
          </w:p>
          <w:p>
            <w:pPr>
              <w:jc w:val="center"/>
            </w:pPr>
            <w:r>
              <w:rPr>
                <w:rFonts w:hint="eastAsia"/>
              </w:rPr>
              <w:t>指标</w:t>
            </w:r>
          </w:p>
        </w:tc>
        <w:tc>
          <w:tcPr>
            <w:tcW w:w="548" w:type="pct"/>
            <w:tcBorders>
              <w:left w:val="single" w:color="auto" w:sz="4" w:space="0"/>
            </w:tcBorders>
            <w:vAlign w:val="center"/>
          </w:tcPr>
          <w:p>
            <w:pPr>
              <w:jc w:val="center"/>
              <w:rPr>
                <w:rFonts w:hint="eastAsia" w:ascii="Times New Roman" w:hAnsi="Times New Roman" w:eastAsia="宋体" w:cstheme="minorEastAsia"/>
                <w:color w:val="000000" w:themeColor="text1"/>
                <w:kern w:val="2"/>
                <w:sz w:val="21"/>
                <w:szCs w:val="24"/>
                <w:lang w:val="en-US" w:eastAsia="zh-CN" w:bidi="ar-SA"/>
                <w14:textFill>
                  <w14:solidFill>
                    <w14:schemeClr w14:val="tx1"/>
                  </w14:solidFill>
                </w14:textFill>
              </w:rPr>
            </w:pPr>
            <w:r>
              <w:rPr>
                <w:rFonts w:hint="eastAsia" w:cstheme="minorEastAsia"/>
                <w:color w:val="000000" w:themeColor="text1"/>
                <w:lang w:eastAsia="zh-CN"/>
                <w14:textFill>
                  <w14:solidFill>
                    <w14:schemeClr w14:val="tx1"/>
                  </w14:solidFill>
                </w14:textFill>
              </w:rPr>
              <w:t>财政预算执行控制差异率</w:t>
            </w:r>
          </w:p>
        </w:tc>
        <w:tc>
          <w:tcPr>
            <w:tcW w:w="571" w:type="pct"/>
            <w:vAlign w:val="center"/>
          </w:tcPr>
          <w:p>
            <w:pPr>
              <w:jc w:val="center"/>
              <w:rPr>
                <w:rFonts w:ascii="Times New Roman" w:hAnsi="Times New Roman" w:eastAsia="宋体" w:cstheme="minorEastAsia"/>
                <w:color w:val="000000" w:themeColor="text1"/>
                <w:kern w:val="2"/>
                <w:sz w:val="21"/>
                <w:szCs w:val="24"/>
                <w:lang w:val="en-US" w:eastAsia="zh-CN" w:bidi="ar-SA"/>
                <w14:textFill>
                  <w14:solidFill>
                    <w14:schemeClr w14:val="tx1"/>
                  </w14:solidFill>
                </w14:textFill>
              </w:rPr>
            </w:pPr>
            <w:r>
              <w:rPr>
                <w:rFonts w:hint="eastAsia"/>
                <w:lang w:eastAsia="zh-CN"/>
              </w:rPr>
              <w:t>≤</w:t>
            </w:r>
            <w:r>
              <w:rPr>
                <w:rFonts w:hint="eastAsia"/>
              </w:rPr>
              <w:t>1497.12万元</w:t>
            </w:r>
          </w:p>
        </w:tc>
        <w:tc>
          <w:tcPr>
            <w:tcW w:w="647" w:type="pct"/>
            <w:vAlign w:val="center"/>
          </w:tcPr>
          <w:p>
            <w:pPr>
              <w:jc w:val="center"/>
              <w:rPr>
                <w:rFonts w:ascii="Times New Roman" w:hAnsi="Times New Roman" w:eastAsia="宋体" w:cs="Times New Roman"/>
                <w:kern w:val="2"/>
                <w:sz w:val="21"/>
                <w:szCs w:val="24"/>
                <w:lang w:val="en-US" w:eastAsia="zh-CN" w:bidi="ar-SA"/>
              </w:rPr>
            </w:pPr>
            <w:r>
              <w:rPr>
                <w:rFonts w:hint="eastAsia"/>
                <w:lang w:eastAsia="zh-CN"/>
              </w:rPr>
              <w:t>≤</w:t>
            </w:r>
            <w:r>
              <w:rPr>
                <w:rFonts w:hint="eastAsia"/>
              </w:rPr>
              <w:t>1497.12</w:t>
            </w:r>
          </w:p>
        </w:tc>
        <w:tc>
          <w:tcPr>
            <w:tcW w:w="347" w:type="pct"/>
            <w:vAlign w:val="center"/>
          </w:tcPr>
          <w:p>
            <w:pPr>
              <w:jc w:val="center"/>
              <w:rPr>
                <w:rFonts w:ascii="Times New Roman" w:hAnsi="Times New Roman" w:eastAsia="宋体" w:cs="Times New Roman"/>
                <w:kern w:val="2"/>
                <w:sz w:val="21"/>
                <w:szCs w:val="24"/>
                <w:lang w:val="en-US" w:eastAsia="zh-CN" w:bidi="ar-SA"/>
              </w:rPr>
            </w:pPr>
            <w:r>
              <w:rPr>
                <w:rFonts w:hint="eastAsia"/>
              </w:rPr>
              <w:t>10</w:t>
            </w:r>
          </w:p>
        </w:tc>
        <w:tc>
          <w:tcPr>
            <w:tcW w:w="408" w:type="pct"/>
            <w:vAlign w:val="center"/>
          </w:tcPr>
          <w:p>
            <w:pPr>
              <w:jc w:val="center"/>
              <w:rPr>
                <w:rFonts w:ascii="Times New Roman" w:hAnsi="Times New Roman" w:eastAsia="宋体" w:cs="Times New Roman"/>
                <w:kern w:val="2"/>
                <w:sz w:val="21"/>
                <w:szCs w:val="24"/>
                <w:lang w:val="en-US" w:eastAsia="zh-CN" w:bidi="ar-SA"/>
              </w:rPr>
            </w:pPr>
            <w:r>
              <w:rPr>
                <w:rFonts w:hint="eastAsia"/>
              </w:rPr>
              <w:t>10</w:t>
            </w:r>
          </w:p>
        </w:tc>
        <w:tc>
          <w:tcPr>
            <w:tcW w:w="775" w:type="pct"/>
            <w:vAlign w:val="center"/>
          </w:tcPr>
          <w:p>
            <w:pPr>
              <w:jc w:val="center"/>
              <w:rPr>
                <w:rFonts w:ascii="Times New Roman" w:hAnsi="Times New Roman" w:eastAsia="宋体" w:cs="Times New Roman"/>
                <w:kern w:val="2"/>
                <w:sz w:val="21"/>
                <w:szCs w:val="24"/>
                <w:lang w:val="en-US" w:eastAsia="zh-CN"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left w:val="single" w:color="auto" w:sz="4" w:space="0"/>
              <w:bottom w:val="single" w:color="auto" w:sz="4" w:space="0"/>
              <w:right w:val="single" w:color="auto" w:sz="4" w:space="0"/>
            </w:tcBorders>
            <w:vAlign w:val="center"/>
          </w:tcPr>
          <w:p>
            <w:pPr>
              <w:jc w:val="center"/>
            </w:pPr>
          </w:p>
        </w:tc>
        <w:tc>
          <w:tcPr>
            <w:tcW w:w="548" w:type="pct"/>
            <w:tcBorders>
              <w:left w:val="single" w:color="auto" w:sz="4" w:space="0"/>
            </w:tcBorders>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4"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restart"/>
            <w:tcBorders>
              <w:top w:val="single" w:color="auto" w:sz="4" w:space="0"/>
              <w:left w:val="single" w:color="auto" w:sz="4" w:space="0"/>
              <w:right w:val="single" w:color="auto" w:sz="4" w:space="0"/>
            </w:tcBorders>
            <w:vAlign w:val="center"/>
          </w:tcPr>
          <w:p>
            <w:pPr>
              <w:jc w:val="center"/>
            </w:pPr>
            <w:r>
              <w:rPr>
                <w:rFonts w:hint="eastAsia"/>
              </w:rPr>
              <w:t>社会</w:t>
            </w:r>
          </w:p>
          <w:p>
            <w:pPr>
              <w:jc w:val="center"/>
            </w:pPr>
            <w:r>
              <w:rPr>
                <w:rFonts w:hint="eastAsia"/>
              </w:rPr>
              <w:t>成本</w:t>
            </w:r>
          </w:p>
          <w:p>
            <w:pPr>
              <w:jc w:val="center"/>
            </w:pPr>
            <w:r>
              <w:rPr>
                <w:rFonts w:hint="eastAsia"/>
              </w:rPr>
              <w:t>指标</w:t>
            </w:r>
          </w:p>
        </w:tc>
        <w:tc>
          <w:tcPr>
            <w:tcW w:w="548" w:type="pct"/>
            <w:tcBorders>
              <w:left w:val="single" w:color="auto" w:sz="4" w:space="0"/>
            </w:tcBorders>
            <w:vAlign w:val="center"/>
          </w:tcPr>
          <w:p>
            <w:pPr>
              <w:jc w:val="center"/>
            </w:pPr>
            <w:r>
              <w:rPr>
                <w:rFonts w:hint="eastAsia"/>
              </w:rPr>
              <w:t>垃圾处理设施设备完好率</w:t>
            </w:r>
          </w:p>
        </w:tc>
        <w:tc>
          <w:tcPr>
            <w:tcW w:w="571" w:type="pct"/>
            <w:vAlign w:val="center"/>
          </w:tcPr>
          <w:p>
            <w:pPr>
              <w:jc w:val="center"/>
            </w:pPr>
            <w:r>
              <w:rPr>
                <w:rFonts w:hint="eastAsia"/>
              </w:rPr>
              <w:t>达到80%-90%</w:t>
            </w:r>
          </w:p>
        </w:tc>
        <w:tc>
          <w:tcPr>
            <w:tcW w:w="647" w:type="pct"/>
            <w:vAlign w:val="center"/>
          </w:tcPr>
          <w:p>
            <w:pPr>
              <w:jc w:val="center"/>
            </w:pPr>
            <w:r>
              <w:rPr>
                <w:rFonts w:hint="eastAsia"/>
              </w:rPr>
              <w:t>达到85%</w:t>
            </w:r>
          </w:p>
        </w:tc>
        <w:tc>
          <w:tcPr>
            <w:tcW w:w="347" w:type="pct"/>
            <w:vAlign w:val="center"/>
          </w:tcPr>
          <w:p>
            <w:pPr>
              <w:jc w:val="center"/>
            </w:pPr>
            <w:r>
              <w:rPr>
                <w:rFonts w:hint="eastAsia"/>
              </w:rPr>
              <w:t>5</w:t>
            </w:r>
          </w:p>
        </w:tc>
        <w:tc>
          <w:tcPr>
            <w:tcW w:w="408" w:type="pct"/>
            <w:vAlign w:val="center"/>
          </w:tcPr>
          <w:p>
            <w:pPr>
              <w:jc w:val="center"/>
            </w:pPr>
            <w:r>
              <w:rPr>
                <w:rFonts w:hint="eastAsia"/>
              </w:rPr>
              <w:t>5</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left w:val="single" w:color="auto" w:sz="4" w:space="0"/>
              <w:bottom w:val="single" w:color="auto" w:sz="4" w:space="0"/>
              <w:right w:val="single" w:color="auto" w:sz="4" w:space="0"/>
            </w:tcBorders>
            <w:vAlign w:val="center"/>
          </w:tcPr>
          <w:p>
            <w:pPr>
              <w:jc w:val="center"/>
            </w:pPr>
          </w:p>
        </w:tc>
        <w:tc>
          <w:tcPr>
            <w:tcW w:w="548" w:type="pct"/>
            <w:tcBorders>
              <w:left w:val="single" w:color="auto" w:sz="4" w:space="0"/>
            </w:tcBorders>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3"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restart"/>
            <w:tcBorders>
              <w:top w:val="single" w:color="auto" w:sz="4" w:space="0"/>
              <w:left w:val="single" w:color="auto" w:sz="4" w:space="0"/>
              <w:right w:val="single" w:color="auto" w:sz="4" w:space="0"/>
            </w:tcBorders>
            <w:vAlign w:val="center"/>
          </w:tcPr>
          <w:p>
            <w:pPr>
              <w:jc w:val="center"/>
            </w:pPr>
            <w:r>
              <w:rPr>
                <w:rFonts w:hint="eastAsia"/>
              </w:rPr>
              <w:t>生态</w:t>
            </w:r>
          </w:p>
          <w:p>
            <w:pPr>
              <w:jc w:val="center"/>
            </w:pPr>
            <w:r>
              <w:rPr>
                <w:rFonts w:hint="eastAsia"/>
              </w:rPr>
              <w:t>环境</w:t>
            </w:r>
          </w:p>
          <w:p>
            <w:pPr>
              <w:jc w:val="center"/>
            </w:pPr>
            <w:r>
              <w:rPr>
                <w:rFonts w:hint="eastAsia"/>
              </w:rPr>
              <w:t>成本</w:t>
            </w:r>
          </w:p>
          <w:p>
            <w:pPr>
              <w:jc w:val="center"/>
            </w:pPr>
            <w:r>
              <w:rPr>
                <w:rFonts w:hint="eastAsia"/>
              </w:rPr>
              <w:t>指标</w:t>
            </w:r>
          </w:p>
        </w:tc>
        <w:tc>
          <w:tcPr>
            <w:tcW w:w="548" w:type="pct"/>
            <w:tcBorders>
              <w:left w:val="single" w:color="auto" w:sz="4" w:space="0"/>
            </w:tcBorders>
            <w:vAlign w:val="center"/>
          </w:tcPr>
          <w:p>
            <w:pPr>
              <w:jc w:val="center"/>
            </w:pPr>
            <w:r>
              <w:rPr>
                <w:rFonts w:hint="eastAsia"/>
              </w:rPr>
              <w:t>周边水质无污染率</w:t>
            </w:r>
          </w:p>
        </w:tc>
        <w:tc>
          <w:tcPr>
            <w:tcW w:w="571" w:type="pct"/>
            <w:vAlign w:val="center"/>
          </w:tcPr>
          <w:p>
            <w:pPr>
              <w:jc w:val="center"/>
            </w:pPr>
            <w:r>
              <w:rPr>
                <w:rFonts w:hint="eastAsia"/>
              </w:rPr>
              <w:t>达到100%</w:t>
            </w:r>
          </w:p>
        </w:tc>
        <w:tc>
          <w:tcPr>
            <w:tcW w:w="647" w:type="pct"/>
            <w:vAlign w:val="center"/>
          </w:tcPr>
          <w:p>
            <w:pPr>
              <w:jc w:val="center"/>
            </w:pPr>
            <w:r>
              <w:rPr>
                <w:rFonts w:hint="eastAsia"/>
              </w:rPr>
              <w:t>100%</w:t>
            </w:r>
          </w:p>
        </w:tc>
        <w:tc>
          <w:tcPr>
            <w:tcW w:w="347" w:type="pct"/>
            <w:vAlign w:val="center"/>
          </w:tcPr>
          <w:p>
            <w:pPr>
              <w:jc w:val="center"/>
            </w:pPr>
            <w:r>
              <w:rPr>
                <w:rFonts w:hint="eastAsia"/>
              </w:rPr>
              <w:t>5</w:t>
            </w:r>
          </w:p>
        </w:tc>
        <w:tc>
          <w:tcPr>
            <w:tcW w:w="408" w:type="pct"/>
            <w:vAlign w:val="center"/>
          </w:tcPr>
          <w:p>
            <w:pPr>
              <w:jc w:val="center"/>
            </w:pPr>
            <w:r>
              <w:rPr>
                <w:rFonts w:hint="eastAsia"/>
              </w:rPr>
              <w:t>5</w:t>
            </w: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2" w:hRule="atLeast"/>
        </w:trPr>
        <w:tc>
          <w:tcPr>
            <w:tcW w:w="526" w:type="pct"/>
            <w:vMerge w:val="continue"/>
            <w:textDirection w:val="tbRlV"/>
            <w:vAlign w:val="center"/>
          </w:tcPr>
          <w:p>
            <w:pPr>
              <w:jc w:val="cente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649" w:type="pct"/>
            <w:vMerge w:val="continue"/>
            <w:tcBorders>
              <w:left w:val="single" w:color="auto" w:sz="4" w:space="0"/>
              <w:bottom w:val="single" w:color="auto" w:sz="4" w:space="0"/>
              <w:right w:val="single" w:color="auto" w:sz="4" w:space="0"/>
            </w:tcBorders>
            <w:vAlign w:val="center"/>
          </w:tcPr>
          <w:p>
            <w:pPr>
              <w:jc w:val="center"/>
            </w:pPr>
          </w:p>
        </w:tc>
        <w:tc>
          <w:tcPr>
            <w:tcW w:w="548" w:type="pct"/>
            <w:tcBorders>
              <w:left w:val="single" w:color="auto" w:sz="4" w:space="0"/>
            </w:tcBorders>
            <w:vAlign w:val="center"/>
          </w:tcPr>
          <w:p>
            <w:pPr>
              <w:jc w:val="center"/>
            </w:pPr>
          </w:p>
        </w:tc>
        <w:tc>
          <w:tcPr>
            <w:tcW w:w="571" w:type="pct"/>
            <w:vAlign w:val="center"/>
          </w:tcPr>
          <w:p>
            <w:pPr>
              <w:jc w:val="center"/>
            </w:pPr>
          </w:p>
        </w:tc>
        <w:tc>
          <w:tcPr>
            <w:tcW w:w="647" w:type="pct"/>
            <w:vAlign w:val="center"/>
          </w:tcPr>
          <w:p>
            <w:pPr>
              <w:jc w:val="center"/>
            </w:pPr>
          </w:p>
        </w:tc>
        <w:tc>
          <w:tcPr>
            <w:tcW w:w="347" w:type="pct"/>
            <w:vAlign w:val="center"/>
          </w:tcPr>
          <w:p>
            <w:pPr>
              <w:jc w:val="center"/>
            </w:pPr>
          </w:p>
        </w:tc>
        <w:tc>
          <w:tcPr>
            <w:tcW w:w="408" w:type="pct"/>
            <w:vAlign w:val="center"/>
          </w:tcPr>
          <w:p>
            <w:pPr>
              <w:jc w:val="center"/>
            </w:pPr>
          </w:p>
        </w:tc>
        <w:tc>
          <w:tcPr>
            <w:tcW w:w="775" w:type="pct"/>
            <w:vAlign w:val="center"/>
          </w:tcPr>
          <w:p>
            <w:pPr>
              <w:jc w:val="cente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trPr>
        <w:tc>
          <w:tcPr>
            <w:tcW w:w="3468" w:type="pct"/>
            <w:gridSpan w:val="6"/>
            <w:vAlign w:val="center"/>
          </w:tcPr>
          <w:p>
            <w:pPr>
              <w:jc w:val="center"/>
            </w:pPr>
            <w:r>
              <w:rPr>
                <w:rFonts w:hint="eastAsia"/>
              </w:rPr>
              <w:t>总分</w:t>
            </w:r>
          </w:p>
        </w:tc>
        <w:tc>
          <w:tcPr>
            <w:tcW w:w="347" w:type="pct"/>
            <w:vAlign w:val="center"/>
          </w:tcPr>
          <w:p>
            <w:pPr>
              <w:jc w:val="center"/>
            </w:pPr>
            <w:r>
              <w:rPr>
                <w:rFonts w:hint="eastAsia"/>
              </w:rPr>
              <w:t>100</w:t>
            </w:r>
          </w:p>
        </w:tc>
        <w:tc>
          <w:tcPr>
            <w:tcW w:w="408" w:type="pct"/>
            <w:vAlign w:val="center"/>
          </w:tcPr>
          <w:p>
            <w:pPr>
              <w:jc w:val="center"/>
            </w:pPr>
            <w:r>
              <w:rPr>
                <w:rFonts w:hint="eastAsia"/>
              </w:rPr>
              <w:t>94</w:t>
            </w:r>
          </w:p>
        </w:tc>
        <w:tc>
          <w:tcPr>
            <w:tcW w:w="775" w:type="pct"/>
            <w:vAlign w:val="center"/>
          </w:tcPr>
          <w:p>
            <w:pPr>
              <w:jc w:val="center"/>
            </w:pPr>
          </w:p>
        </w:tc>
      </w:tr>
    </w:tbl>
    <w:p>
      <w:r>
        <w:rPr>
          <w:rFonts w:hint="eastAsia"/>
        </w:rPr>
        <w:t>备注：每个一级项目支出一张表。如，业务工作经费，运行维护经费，其他事业发展类资金各一张表。</w:t>
      </w:r>
    </w:p>
    <w:p/>
    <w:p>
      <w:r>
        <w:rPr>
          <w:rFonts w:hint="eastAsia"/>
        </w:rPr>
        <w:t>填表人：        填报日期：            联系电话：      单位负责人签字：</w:t>
      </w:r>
    </w:p>
    <w:p>
      <w:pPr>
        <w:rPr>
          <w:color w:val="000000" w:themeColor="text1"/>
          <w14:textFill>
            <w14:solidFill>
              <w14:schemeClr w14:val="tx1"/>
            </w14:solidFill>
          </w14:textFill>
        </w:rPr>
      </w:pPr>
    </w:p>
    <w:p>
      <w:pP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br w:type="page"/>
      </w:r>
    </w:p>
    <w:p>
      <w:pPr>
        <w:pStyle w:val="9"/>
        <w:rPr>
          <w:color w:val="000000" w:themeColor="text1"/>
          <w14:textFill>
            <w14:solidFill>
              <w14:schemeClr w14:val="tx1"/>
            </w14:solidFill>
          </w14:textFill>
        </w:rPr>
        <w:sectPr>
          <w:footerReference r:id="rId6" w:type="default"/>
          <w:pgSz w:w="11905" w:h="16838"/>
          <w:pgMar w:top="1984" w:right="1701" w:bottom="1984" w:left="1701" w:header="850" w:footer="1587" w:gutter="0"/>
          <w:pgNumType w:fmt="numberInDash"/>
          <w:cols w:space="0" w:num="1"/>
          <w:docGrid w:type="lines" w:linePitch="314" w:charSpace="0"/>
        </w:sectPr>
      </w:pPr>
    </w:p>
    <w:p>
      <w:pPr>
        <w:spacing w:before="181" w:line="171" w:lineRule="auto"/>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附表7</w:t>
      </w:r>
    </w:p>
    <w:p>
      <w:pPr>
        <w:spacing w:line="560" w:lineRule="exact"/>
        <w:jc w:val="center"/>
        <w:rPr>
          <w:rFonts w:eastAsia="方正小标宋_GBK"/>
          <w:color w:val="000000" w:themeColor="text1"/>
          <w:sz w:val="36"/>
          <w:szCs w:val="36"/>
          <w14:textFill>
            <w14:solidFill>
              <w14:schemeClr w14:val="tx1"/>
            </w14:solidFill>
          </w14:textFill>
        </w:rPr>
      </w:pPr>
      <w:r>
        <w:rPr>
          <w:rFonts w:eastAsia="方正小标宋_GBK"/>
          <w:color w:val="000000" w:themeColor="text1"/>
          <w:sz w:val="36"/>
          <w:szCs w:val="36"/>
          <w14:textFill>
            <w14:solidFill>
              <w14:schemeClr w14:val="tx1"/>
            </w14:solidFill>
          </w14:textFill>
        </w:rPr>
        <w:t>绩效评价结果征求意见的反馈函</w:t>
      </w:r>
    </w:p>
    <w:p>
      <w:pPr>
        <w:spacing w:line="560" w:lineRule="exact"/>
        <w:jc w:val="center"/>
        <w:rPr>
          <w:rFonts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（重点绩效评价项目用）</w:t>
      </w:r>
    </w:p>
    <w:p>
      <w:pPr>
        <w:spacing w:line="560" w:lineRule="exact"/>
        <w:rPr>
          <w:rFonts w:eastAsia="仿宋_GB2312"/>
          <w:color w:val="000000" w:themeColor="text1"/>
          <w:sz w:val="28"/>
          <w:szCs w:val="28"/>
          <w14:textFill>
            <w14:solidFill>
              <w14:schemeClr w14:val="tx1"/>
            </w14:solidFill>
          </w14:textFill>
        </w:rPr>
      </w:pPr>
      <w:r>
        <w:rPr>
          <w:rFonts w:eastAsia="仿宋_GB2312"/>
          <w:color w:val="000000" w:themeColor="text1"/>
          <w:sz w:val="28"/>
          <w:szCs w:val="28"/>
          <w:u w:val="single"/>
          <w14:textFill>
            <w14:solidFill>
              <w14:schemeClr w14:val="tx1"/>
            </w14:solidFill>
          </w14:textFill>
        </w:rPr>
        <w:t xml:space="preserve">    </w:t>
      </w:r>
      <w:r>
        <w:rPr>
          <w:rFonts w:hint="eastAsia" w:eastAsia="仿宋_GB2312"/>
          <w:color w:val="000000" w:themeColor="text1"/>
          <w:sz w:val="28"/>
          <w:szCs w:val="28"/>
          <w:u w:val="single"/>
          <w14:textFill>
            <w14:solidFill>
              <w14:schemeClr w14:val="tx1"/>
            </w14:solidFill>
          </w14:textFill>
        </w:rPr>
        <w:t xml:space="preserve">    </w:t>
      </w:r>
      <w:r>
        <w:rPr>
          <w:rFonts w:eastAsia="仿宋_GB2312"/>
          <w:color w:val="000000" w:themeColor="text1"/>
          <w:sz w:val="28"/>
          <w:szCs w:val="28"/>
          <w:u w:val="single"/>
          <w14:textFill>
            <w14:solidFill>
              <w14:schemeClr w14:val="tx1"/>
            </w14:solidFill>
          </w14:textFill>
        </w:rPr>
        <w:t xml:space="preserve">    </w:t>
      </w:r>
      <w:r>
        <w:rPr>
          <w:rFonts w:hint="eastAsia" w:eastAsia="仿宋_GB2312"/>
          <w:color w:val="000000" w:themeColor="text1"/>
          <w:sz w:val="28"/>
          <w:szCs w:val="28"/>
          <w:u w:val="single"/>
          <w14:textFill>
            <w14:solidFill>
              <w14:schemeClr w14:val="tx1"/>
            </w14:solidFill>
          </w14:textFill>
        </w:rPr>
        <w:t xml:space="preserve">   </w:t>
      </w:r>
      <w:r>
        <w:rPr>
          <w:rFonts w:eastAsia="仿宋_GB2312"/>
          <w:color w:val="000000" w:themeColor="text1"/>
          <w:sz w:val="28"/>
          <w:szCs w:val="28"/>
          <w:u w:val="single"/>
          <w14:textFill>
            <w14:solidFill>
              <w14:schemeClr w14:val="tx1"/>
            </w14:solidFill>
          </w14:textFill>
        </w:rPr>
        <w:t xml:space="preserve">   </w:t>
      </w:r>
      <w:r>
        <w:rPr>
          <w:rFonts w:eastAsia="仿宋_GB2312"/>
          <w:color w:val="000000" w:themeColor="text1"/>
          <w:sz w:val="28"/>
          <w:szCs w:val="28"/>
          <w14:textFill>
            <w14:solidFill>
              <w14:schemeClr w14:val="tx1"/>
            </w14:solidFill>
          </w14:textFill>
        </w:rPr>
        <w:t>：</w:t>
      </w:r>
    </w:p>
    <w:p>
      <w:pPr>
        <w:spacing w:line="560" w:lineRule="exact"/>
        <w:ind w:firstLine="640" w:firstLineChars="200"/>
        <w:rPr>
          <w:rFonts w:eastAsia="仿宋_GB2312"/>
          <w:color w:val="000000" w:themeColor="text1"/>
          <w:sz w:val="32"/>
          <w:szCs w:val="32"/>
          <w14:textFill>
            <w14:solidFill>
              <w14:schemeClr w14:val="tx1"/>
            </w14:solidFill>
          </w14:textFill>
        </w:rPr>
      </w:pPr>
      <w:r>
        <w:rPr>
          <w:rFonts w:eastAsia="仿宋_GB2312"/>
          <w:color w:val="000000" w:themeColor="text1"/>
          <w:sz w:val="32"/>
          <w:szCs w:val="32"/>
          <w14:textFill>
            <w14:solidFill>
              <w14:schemeClr w14:val="tx1"/>
            </w14:solidFill>
          </w14:textFill>
        </w:rPr>
        <w:t>按照相关规定和绩效评价要求，根据贵单位的绩效自评报告和绩效评价工作组的现场评价情况，形成绩效评价报告。现将《×××绩效评价报告》反馈贵单位，请于    年     月   日前提出书面意见或说明，逾期未复，视为无异议。</w:t>
      </w:r>
    </w:p>
    <w:tbl>
      <w:tblPr>
        <w:tblStyle w:val="12"/>
        <w:tblW w:w="89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8920" w:type="dxa"/>
            <w:vAlign w:val="center"/>
          </w:tcPr>
          <w:p>
            <w:pPr>
              <w:spacing w:line="560" w:lineRule="exact"/>
              <w:ind w:firstLine="560"/>
              <w:jc w:val="center"/>
              <w:rPr>
                <w:rFonts w:eastAsia="黑体"/>
                <w:color w:val="000000" w:themeColor="text1"/>
                <w:sz w:val="28"/>
                <w:szCs w:val="28"/>
                <w14:textFill>
                  <w14:solidFill>
                    <w14:schemeClr w14:val="tx1"/>
                  </w14:solidFill>
                </w14:textFill>
              </w:rPr>
            </w:pPr>
            <w:r>
              <w:rPr>
                <w:rFonts w:eastAsia="楷体_GB2312"/>
                <w:color w:val="000000" w:themeColor="text1"/>
                <w:sz w:val="28"/>
                <w:szCs w:val="28"/>
                <w14:textFill>
                  <w14:solidFill>
                    <w14:schemeClr w14:val="tx1"/>
                  </w14:solidFill>
                </w14:textFill>
              </w:rPr>
              <w:t>项目实施单位意见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3" w:hRule="atLeast"/>
          <w:jc w:val="center"/>
        </w:trPr>
        <w:tc>
          <w:tcPr>
            <w:tcW w:w="8920" w:type="dxa"/>
          </w:tcPr>
          <w:p>
            <w:pPr>
              <w:spacing w:line="560" w:lineRule="exact"/>
              <w:ind w:firstLine="140" w:firstLineChars="50"/>
              <w:rPr>
                <w:rFonts w:eastAsia="黑体"/>
                <w:color w:val="000000" w:themeColor="text1"/>
                <w:sz w:val="28"/>
                <w:szCs w:val="28"/>
                <w14:textFill>
                  <w14:solidFill>
                    <w14:schemeClr w14:val="tx1"/>
                  </w14:solidFill>
                </w14:textFill>
              </w:rPr>
            </w:pPr>
            <w:r>
              <w:rPr>
                <w:rFonts w:eastAsia="黑体"/>
                <w:color w:val="000000" w:themeColor="text1"/>
                <w:sz w:val="28"/>
                <w:szCs w:val="28"/>
                <w14:textFill>
                  <w14:solidFill>
                    <w14:schemeClr w14:val="tx1"/>
                  </w14:solidFill>
                </w14:textFill>
              </w:rPr>
              <w:t>一、对报告中“评价结论”的意见</w:t>
            </w:r>
          </w:p>
          <w:p>
            <w:pPr>
              <w:spacing w:line="560" w:lineRule="exact"/>
              <w:ind w:firstLine="560"/>
              <w:rPr>
                <w:color w:val="000000" w:themeColor="text1"/>
                <w:sz w:val="28"/>
                <w:szCs w:val="28"/>
                <w14:textFill>
                  <w14:solidFill>
                    <w14:schemeClr w14:val="tx1"/>
                  </w14:solidFill>
                </w14:textFill>
              </w:rPr>
            </w:pPr>
          </w:p>
          <w:p>
            <w:pPr>
              <w:spacing w:line="560" w:lineRule="exact"/>
              <w:ind w:firstLine="560"/>
              <w:rPr>
                <w:color w:val="000000" w:themeColor="text1"/>
                <w:sz w:val="28"/>
                <w:szCs w:val="28"/>
                <w14:textFill>
                  <w14:solidFill>
                    <w14:schemeClr w14:val="tx1"/>
                  </w14:solidFill>
                </w14:textFill>
              </w:rPr>
            </w:pPr>
          </w:p>
          <w:p>
            <w:pPr>
              <w:spacing w:line="560" w:lineRule="exact"/>
              <w:ind w:firstLine="140" w:firstLineChars="50"/>
              <w:rPr>
                <w:rFonts w:eastAsia="黑体"/>
                <w:color w:val="000000" w:themeColor="text1"/>
                <w:sz w:val="28"/>
                <w:szCs w:val="28"/>
                <w14:textFill>
                  <w14:solidFill>
                    <w14:schemeClr w14:val="tx1"/>
                  </w14:solidFill>
                </w14:textFill>
              </w:rPr>
            </w:pPr>
            <w:r>
              <w:rPr>
                <w:rFonts w:eastAsia="黑体"/>
                <w:color w:val="000000" w:themeColor="text1"/>
                <w:sz w:val="28"/>
                <w:szCs w:val="28"/>
                <w14:textFill>
                  <w14:solidFill>
                    <w14:schemeClr w14:val="tx1"/>
                  </w14:solidFill>
                </w14:textFill>
              </w:rPr>
              <w:t>二、对报告中“问题”和“建议”的意见</w:t>
            </w:r>
          </w:p>
          <w:p>
            <w:pPr>
              <w:spacing w:line="560" w:lineRule="exact"/>
              <w:ind w:firstLine="560"/>
              <w:rPr>
                <w:color w:val="000000" w:themeColor="text1"/>
                <w:sz w:val="28"/>
                <w:szCs w:val="28"/>
                <w14:textFill>
                  <w14:solidFill>
                    <w14:schemeClr w14:val="tx1"/>
                  </w14:solidFill>
                </w14:textFill>
              </w:rPr>
            </w:pPr>
          </w:p>
          <w:p>
            <w:pPr>
              <w:spacing w:line="560" w:lineRule="exact"/>
              <w:ind w:firstLine="560"/>
              <w:rPr>
                <w:color w:val="000000" w:themeColor="text1"/>
                <w:sz w:val="28"/>
                <w:szCs w:val="28"/>
                <w14:textFill>
                  <w14:solidFill>
                    <w14:schemeClr w14:val="tx1"/>
                  </w14:solidFill>
                </w14:textFill>
              </w:rPr>
            </w:pPr>
          </w:p>
          <w:p>
            <w:pPr>
              <w:spacing w:line="560" w:lineRule="exact"/>
              <w:ind w:firstLine="560"/>
              <w:rPr>
                <w:color w:val="000000" w:themeColor="text1"/>
                <w:sz w:val="28"/>
                <w:szCs w:val="28"/>
                <w14:textFill>
                  <w14:solidFill>
                    <w14:schemeClr w14:val="tx1"/>
                  </w14:solidFill>
                </w14:textFill>
              </w:rPr>
            </w:pPr>
          </w:p>
          <w:p>
            <w:pPr>
              <w:spacing w:line="560" w:lineRule="exact"/>
              <w:ind w:firstLine="140" w:firstLineChars="50"/>
              <w:rPr>
                <w:rFonts w:eastAsia="黑体"/>
                <w:color w:val="000000" w:themeColor="text1"/>
                <w:sz w:val="28"/>
                <w:szCs w:val="28"/>
                <w14:textFill>
                  <w14:solidFill>
                    <w14:schemeClr w14:val="tx1"/>
                  </w14:solidFill>
                </w14:textFill>
              </w:rPr>
            </w:pPr>
            <w:r>
              <w:rPr>
                <w:rFonts w:eastAsia="黑体"/>
                <w:color w:val="000000" w:themeColor="text1"/>
                <w:sz w:val="28"/>
                <w:szCs w:val="28"/>
                <w14:textFill>
                  <w14:solidFill>
                    <w14:schemeClr w14:val="tx1"/>
                  </w14:solidFill>
                </w14:textFill>
              </w:rPr>
              <w:t>三、</w:t>
            </w:r>
            <w:r>
              <w:rPr>
                <w:rFonts w:hint="eastAsia" w:eastAsia="黑体"/>
                <w:color w:val="000000" w:themeColor="text1"/>
                <w:sz w:val="28"/>
                <w:szCs w:val="28"/>
                <w14:textFill>
                  <w14:solidFill>
                    <w14:schemeClr w14:val="tx1"/>
                  </w14:solidFill>
                </w14:textFill>
              </w:rPr>
              <w:t>其他意见</w:t>
            </w:r>
            <w:r>
              <w:rPr>
                <w:rFonts w:eastAsia="黑体"/>
                <w:color w:val="000000" w:themeColor="text1"/>
                <w:sz w:val="28"/>
                <w:szCs w:val="28"/>
                <w14:textFill>
                  <w14:solidFill>
                    <w14:schemeClr w14:val="tx1"/>
                  </w14:solidFill>
                </w14:textFill>
              </w:rPr>
              <w:t>或建议</w:t>
            </w:r>
          </w:p>
          <w:p>
            <w:pPr>
              <w:wordWrap w:val="0"/>
              <w:spacing w:line="560" w:lineRule="exact"/>
              <w:ind w:right="1280"/>
              <w:jc w:val="right"/>
              <w:rPr>
                <w:rFonts w:eastAsia="仿宋_GB2312"/>
                <w:color w:val="000000" w:themeColor="text1"/>
                <w:sz w:val="28"/>
                <w:szCs w:val="28"/>
                <w14:textFill>
                  <w14:solidFill>
                    <w14:schemeClr w14:val="tx1"/>
                  </w14:solidFill>
                </w14:textFill>
              </w:rPr>
            </w:pPr>
          </w:p>
          <w:p>
            <w:pPr>
              <w:pStyle w:val="9"/>
              <w:rPr>
                <w:rFonts w:eastAsia="仿宋_GB2312"/>
                <w:color w:val="000000" w:themeColor="text1"/>
                <w:sz w:val="28"/>
                <w:szCs w:val="28"/>
                <w14:textFill>
                  <w14:solidFill>
                    <w14:schemeClr w14:val="tx1"/>
                  </w14:solidFill>
                </w14:textFill>
              </w:rPr>
            </w:pPr>
          </w:p>
          <w:p>
            <w:pPr>
              <w:rPr>
                <w:rFonts w:eastAsia="仿宋_GB2312"/>
                <w:color w:val="000000" w:themeColor="text1"/>
                <w:sz w:val="28"/>
                <w:szCs w:val="28"/>
                <w14:textFill>
                  <w14:solidFill>
                    <w14:schemeClr w14:val="tx1"/>
                  </w14:solidFill>
                </w14:textFill>
              </w:rPr>
            </w:pPr>
          </w:p>
          <w:p>
            <w:pPr>
              <w:pStyle w:val="9"/>
              <w:rPr>
                <w:color w:val="000000" w:themeColor="text1"/>
                <w14:textFill>
                  <w14:solidFill>
                    <w14:schemeClr w14:val="tx1"/>
                  </w14:solidFill>
                </w14:textFill>
              </w:rPr>
            </w:pPr>
          </w:p>
          <w:p>
            <w:pPr>
              <w:wordWrap w:val="0"/>
              <w:spacing w:line="560" w:lineRule="exact"/>
              <w:ind w:right="1280"/>
              <w:jc w:val="right"/>
              <w:rPr>
                <w:rFonts w:eastAsia="仿宋_GB2312"/>
                <w:color w:val="000000" w:themeColor="text1"/>
                <w:sz w:val="28"/>
                <w:szCs w:val="28"/>
                <w14:textFill>
                  <w14:solidFill>
                    <w14:schemeClr w14:val="tx1"/>
                  </w14:solidFill>
                </w14:textFill>
              </w:rPr>
            </w:pPr>
            <w:r>
              <w:rPr>
                <w:rFonts w:hint="eastAsia" w:eastAsia="仿宋_GB2312"/>
                <w:color w:val="000000" w:themeColor="text1"/>
                <w:sz w:val="28"/>
                <w:szCs w:val="28"/>
                <w14:textFill>
                  <w14:solidFill>
                    <w14:schemeClr w14:val="tx1"/>
                  </w14:solidFill>
                </w14:textFill>
              </w:rPr>
              <w:t>单</w:t>
            </w:r>
            <w:r>
              <w:rPr>
                <w:rFonts w:eastAsia="仿宋_GB2312"/>
                <w:color w:val="000000" w:themeColor="text1"/>
                <w:sz w:val="28"/>
                <w:szCs w:val="28"/>
                <w14:textFill>
                  <w14:solidFill>
                    <w14:schemeClr w14:val="tx1"/>
                  </w14:solidFill>
                </w14:textFill>
              </w:rPr>
              <w:t>位（盖章）</w:t>
            </w:r>
          </w:p>
          <w:p>
            <w:pPr>
              <w:wordWrap w:val="0"/>
              <w:spacing w:line="560" w:lineRule="exact"/>
              <w:ind w:right="1280"/>
              <w:jc w:val="right"/>
              <w:rPr>
                <w:color w:val="000000" w:themeColor="text1"/>
                <w:sz w:val="28"/>
                <w:szCs w:val="28"/>
                <w14:textFill>
                  <w14:solidFill>
                    <w14:schemeClr w14:val="tx1"/>
                  </w14:solidFill>
                </w14:textFill>
              </w:rPr>
            </w:pPr>
            <w:r>
              <w:rPr>
                <w:rFonts w:eastAsia="仿宋_GB2312"/>
                <w:color w:val="000000" w:themeColor="text1"/>
                <w:sz w:val="28"/>
                <w:szCs w:val="28"/>
                <w14:textFill>
                  <w14:solidFill>
                    <w14:schemeClr w14:val="tx1"/>
                  </w14:solidFill>
                </w14:textFill>
              </w:rPr>
              <w:t>年   月   日</w:t>
            </w:r>
          </w:p>
        </w:tc>
      </w:tr>
    </w:tbl>
    <w:p>
      <w:pPr>
        <w:spacing w:line="20" w:lineRule="exact"/>
        <w:rPr>
          <w:rFonts w:ascii="黑体" w:hAnsi="宋体" w:eastAsia="黑体" w:cs="黑体"/>
          <w:color w:val="000000" w:themeColor="text1"/>
          <w:kern w:val="0"/>
          <w:sz w:val="32"/>
          <w:szCs w:val="32"/>
          <w14:textFill>
            <w14:solidFill>
              <w14:schemeClr w14:val="tx1"/>
            </w14:solidFill>
          </w14:textFill>
        </w:rPr>
      </w:pPr>
      <w:r>
        <w:rPr>
          <w:rFonts w:hint="eastAsia" w:ascii="黑体" w:hAnsi="宋体" w:eastAsia="黑体" w:cs="黑体"/>
          <w:color w:val="000000" w:themeColor="text1"/>
          <w:kern w:val="0"/>
          <w:sz w:val="32"/>
          <w:szCs w:val="32"/>
          <w14:textFill>
            <w14:solidFill>
              <w14:schemeClr w14:val="tx1"/>
            </w14:solidFill>
          </w14:textFill>
        </w:rPr>
        <w:br w:type="page"/>
      </w:r>
    </w:p>
    <w:p>
      <w:pPr>
        <w:spacing w:before="181" w:line="171" w:lineRule="auto"/>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附表8</w:t>
      </w:r>
    </w:p>
    <w:p>
      <w:pPr>
        <w:spacing w:line="560" w:lineRule="exact"/>
        <w:jc w:val="center"/>
        <w:rPr>
          <w:rFonts w:eastAsia="方正小标宋_GBK"/>
          <w:color w:val="000000" w:themeColor="text1"/>
          <w:sz w:val="36"/>
          <w:szCs w:val="36"/>
          <w14:textFill>
            <w14:solidFill>
              <w14:schemeClr w14:val="tx1"/>
            </w14:solidFill>
          </w14:textFill>
        </w:rPr>
      </w:pPr>
      <w:r>
        <w:rPr>
          <w:rFonts w:eastAsia="方正小标宋_GBK"/>
          <w:color w:val="000000" w:themeColor="text1"/>
          <w:sz w:val="36"/>
          <w:szCs w:val="36"/>
          <w14:textFill>
            <w14:solidFill>
              <w14:schemeClr w14:val="tx1"/>
            </w14:solidFill>
          </w14:textFill>
        </w:rPr>
        <w:t>绩效评价结果整改报告书</w:t>
      </w:r>
    </w:p>
    <w:p>
      <w:pPr>
        <w:spacing w:line="560" w:lineRule="exact"/>
        <w:jc w:val="center"/>
        <w:rPr>
          <w:color w:val="000000" w:themeColor="text1"/>
          <w:sz w:val="28"/>
          <w:szCs w:val="28"/>
          <w14:textFill>
            <w14:solidFill>
              <w14:schemeClr w14:val="tx1"/>
            </w14:solidFill>
          </w14:textFill>
        </w:rPr>
      </w:pPr>
      <w:r>
        <w:rPr>
          <w:rFonts w:eastAsia="楷体_GB2312"/>
          <w:color w:val="000000" w:themeColor="text1"/>
          <w:sz w:val="32"/>
          <w:szCs w:val="32"/>
          <w14:textFill>
            <w14:solidFill>
              <w14:schemeClr w14:val="tx1"/>
            </w14:solidFill>
          </w14:textFill>
        </w:rPr>
        <w:t>（参考格式）</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6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color w:val="000000" w:themeColor="text1"/>
                <w:sz w:val="24"/>
                <w14:textFill>
                  <w14:solidFill>
                    <w14:schemeClr w14:val="tx1"/>
                  </w14:solidFill>
                </w14:textFill>
              </w:rPr>
            </w:pPr>
            <w:r>
              <w:rPr>
                <w:rFonts w:ascii="黑体" w:hAnsi="黑体" w:eastAsia="黑体"/>
                <w:color w:val="000000" w:themeColor="text1"/>
                <w:sz w:val="24"/>
                <w14:textFill>
                  <w14:solidFill>
                    <w14:schemeClr w14:val="tx1"/>
                  </w14:solidFill>
                </w14:textFill>
              </w:rPr>
              <w:t>预算支出名称</w:t>
            </w:r>
          </w:p>
        </w:tc>
        <w:tc>
          <w:tcPr>
            <w:tcW w:w="6773" w:type="dxa"/>
          </w:tcPr>
          <w:p>
            <w:pPr>
              <w:spacing w:line="560" w:lineRule="exact"/>
              <w:ind w:firstLine="560"/>
              <w:rPr>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color w:val="000000" w:themeColor="text1"/>
                <w:sz w:val="24"/>
                <w14:textFill>
                  <w14:solidFill>
                    <w14:schemeClr w14:val="tx1"/>
                  </w14:solidFill>
                </w14:textFill>
              </w:rPr>
            </w:pPr>
            <w:r>
              <w:rPr>
                <w:rFonts w:ascii="黑体" w:hAnsi="黑体" w:eastAsia="黑体"/>
                <w:color w:val="000000" w:themeColor="text1"/>
                <w:sz w:val="24"/>
                <w14:textFill>
                  <w14:solidFill>
                    <w14:schemeClr w14:val="tx1"/>
                  </w14:solidFill>
                </w14:textFill>
              </w:rPr>
              <w:t>评价内容</w:t>
            </w:r>
          </w:p>
        </w:tc>
        <w:tc>
          <w:tcPr>
            <w:tcW w:w="6773" w:type="dxa"/>
          </w:tcPr>
          <w:p>
            <w:pPr>
              <w:spacing w:line="560" w:lineRule="exact"/>
              <w:ind w:firstLine="560"/>
              <w:rPr>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color w:val="000000" w:themeColor="text1"/>
                <w:sz w:val="24"/>
                <w14:textFill>
                  <w14:solidFill>
                    <w14:schemeClr w14:val="tx1"/>
                  </w14:solidFill>
                </w14:textFill>
              </w:rPr>
            </w:pPr>
            <w:r>
              <w:rPr>
                <w:rFonts w:ascii="黑体" w:hAnsi="黑体" w:eastAsia="黑体"/>
                <w:color w:val="000000" w:themeColor="text1"/>
                <w:sz w:val="24"/>
                <w14:textFill>
                  <w14:solidFill>
                    <w14:schemeClr w14:val="tx1"/>
                  </w14:solidFill>
                </w14:textFill>
              </w:rPr>
              <w:t>联系人及电话</w:t>
            </w:r>
          </w:p>
        </w:tc>
        <w:tc>
          <w:tcPr>
            <w:tcW w:w="6773" w:type="dxa"/>
          </w:tcPr>
          <w:p>
            <w:pPr>
              <w:spacing w:line="560" w:lineRule="exact"/>
              <w:ind w:firstLine="560"/>
              <w:rPr>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9" w:hRule="atLeast"/>
          <w:jc w:val="center"/>
        </w:trPr>
        <w:tc>
          <w:tcPr>
            <w:tcW w:w="8600" w:type="dxa"/>
            <w:gridSpan w:val="2"/>
          </w:tcPr>
          <w:p>
            <w:pPr>
              <w:spacing w:line="560" w:lineRule="exact"/>
              <w:ind w:right="-27" w:rightChars="-13"/>
              <w:jc w:val="center"/>
              <w:rPr>
                <w:color w:val="000000" w:themeColor="text1"/>
                <w:sz w:val="24"/>
                <w14:textFill>
                  <w14:solidFill>
                    <w14:schemeClr w14:val="tx1"/>
                  </w14:solidFill>
                </w14:textFill>
              </w:rPr>
            </w:pPr>
            <w:r>
              <w:rPr>
                <w:color w:val="000000" w:themeColor="text1"/>
                <w:sz w:val="32"/>
                <w:szCs w:val="32"/>
                <w14:textFill>
                  <w14:solidFill>
                    <w14:schemeClr w14:val="tx1"/>
                  </w14:solidFill>
                </w14:textFill>
              </w:rPr>
              <w:t>整改情况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0" w:hRule="atLeast"/>
          <w:jc w:val="center"/>
        </w:trPr>
        <w:tc>
          <w:tcPr>
            <w:tcW w:w="1827" w:type="dxa"/>
            <w:vAlign w:val="center"/>
          </w:tcPr>
          <w:p>
            <w:pPr>
              <w:spacing w:line="560" w:lineRule="exact"/>
              <w:ind w:right="-27" w:rightChars="-13"/>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单位意见</w:t>
            </w:r>
          </w:p>
        </w:tc>
        <w:tc>
          <w:tcPr>
            <w:tcW w:w="6773" w:type="dxa"/>
            <w:vAlign w:val="bottom"/>
          </w:tcPr>
          <w:p>
            <w:pPr>
              <w:spacing w:line="560" w:lineRule="exact"/>
              <w:ind w:right="-27" w:rightChars="-13"/>
              <w:jc w:val="center"/>
              <w:rPr>
                <w:color w:val="000000" w:themeColor="text1"/>
                <w:sz w:val="24"/>
                <w14:textFill>
                  <w14:solidFill>
                    <w14:schemeClr w14:val="tx1"/>
                  </w14:solidFill>
                </w14:textFill>
              </w:rPr>
            </w:pPr>
          </w:p>
          <w:p>
            <w:pPr>
              <w:spacing w:line="560" w:lineRule="exact"/>
              <w:ind w:right="-27" w:rightChars="-13"/>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单位负责人签名：     单位（盖章）：      年    月    日</w:t>
            </w:r>
          </w:p>
        </w:tc>
      </w:tr>
    </w:tbl>
    <w:p>
      <w:pPr>
        <w:widowControl/>
        <w:spacing w:line="400" w:lineRule="exact"/>
        <w:rPr>
          <w:rFonts w:ascii="宋体" w:hAnsi="宋体" w:cs="宋体"/>
          <w:bCs/>
          <w:color w:val="000000" w:themeColor="text1"/>
          <w:szCs w:val="21"/>
          <w14:textFill>
            <w14:solidFill>
              <w14:schemeClr w14:val="tx1"/>
            </w14:solidFill>
          </w14:textFill>
        </w:rPr>
      </w:pPr>
      <w:r>
        <w:rPr>
          <w:rFonts w:hint="eastAsia" w:ascii="宋体" w:hAnsi="宋体" w:cs="宋体"/>
          <w:b/>
          <w:color w:val="000000" w:themeColor="text1"/>
          <w:szCs w:val="21"/>
          <w14:textFill>
            <w14:solidFill>
              <w14:schemeClr w14:val="tx1"/>
            </w14:solidFill>
          </w14:textFill>
        </w:rPr>
        <w:t>注</w:t>
      </w:r>
      <w:r>
        <w:rPr>
          <w:rFonts w:hint="eastAsia" w:ascii="宋体" w:hAnsi="宋体" w:cs="宋体"/>
          <w:bCs/>
          <w:color w:val="000000" w:themeColor="text1"/>
          <w:szCs w:val="21"/>
          <w14:textFill>
            <w14:solidFill>
              <w14:schemeClr w14:val="tx1"/>
            </w14:solidFill>
          </w14:textFill>
        </w:rPr>
        <w:t>：绩效评价结果整改报告书应在收到绩效评价结果反馈意见后30天内交县财政局绩效管理股。</w:t>
      </w:r>
    </w:p>
    <w:sectPr>
      <w:footerReference r:id="rId7" w:type="default"/>
      <w:pgSz w:w="11905" w:h="16838"/>
      <w:pgMar w:top="1984" w:right="1701" w:bottom="1984" w:left="1701" w:header="850" w:footer="1587" w:gutter="0"/>
      <w:pgNumType w:fmt="numberInDash"/>
      <w:cols w:space="0" w:num="1"/>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0D4B755-634B-4015-944E-8CCF46EB10A6}"/>
  </w:font>
  <w:font w:name="Arial">
    <w:panose1 w:val="020B0604020202020204"/>
    <w:charset w:val="01"/>
    <w:family w:val="swiss"/>
    <w:pitch w:val="default"/>
    <w:sig w:usb0="E0002AFF" w:usb1="C0007843" w:usb2="00000009" w:usb3="00000000" w:csb0="400001FF" w:csb1="FFFF0000"/>
    <w:embedRegular r:id="rId2" w:fontKey="{F7D4EC6D-938D-49E8-9C3F-8BE594845829}"/>
  </w:font>
  <w:font w:name="黑体">
    <w:panose1 w:val="02010609060101010101"/>
    <w:charset w:val="86"/>
    <w:family w:val="auto"/>
    <w:pitch w:val="default"/>
    <w:sig w:usb0="800002BF" w:usb1="38CF7CFA" w:usb2="00000016" w:usb3="00000000" w:csb0="00040001" w:csb1="00000000"/>
    <w:embedRegular r:id="rId3" w:fontKey="{03C3B899-4B88-4E72-95D4-77CB378F243C}"/>
  </w:font>
  <w:font w:name="Courier New">
    <w:panose1 w:val="02070309020205020404"/>
    <w:charset w:val="01"/>
    <w:family w:val="modern"/>
    <w:pitch w:val="default"/>
    <w:sig w:usb0="E0002AFF" w:usb1="C0007843" w:usb2="00000009" w:usb3="00000000" w:csb0="400001FF" w:csb1="FFFF0000"/>
    <w:embedRegular r:id="rId4" w:fontKey="{16504841-E30C-4002-B130-2E62ED7D964F}"/>
  </w:font>
  <w:font w:name="Symbol">
    <w:panose1 w:val="05050102010706020507"/>
    <w:charset w:val="02"/>
    <w:family w:val="roman"/>
    <w:pitch w:val="default"/>
    <w:sig w:usb0="00000000" w:usb1="00000000" w:usb2="00000000" w:usb3="00000000" w:csb0="80000000" w:csb1="00000000"/>
    <w:embedRegular r:id="rId5" w:fontKey="{A6AE9917-8C03-4EC0-B462-A96D1E33F51B}"/>
  </w:font>
  <w:font w:name="Calibri">
    <w:panose1 w:val="020F0502020204030204"/>
    <w:charset w:val="00"/>
    <w:family w:val="swiss"/>
    <w:pitch w:val="default"/>
    <w:sig w:usb0="E00002FF" w:usb1="4000ACFF" w:usb2="00000001" w:usb3="00000000" w:csb0="2000019F" w:csb1="00000000"/>
    <w:embedRegular r:id="rId6" w:fontKey="{B215D63D-080B-46B4-95E3-288D01BF6654}"/>
  </w:font>
  <w:font w:name="Cambria">
    <w:panose1 w:val="02040503050406030204"/>
    <w:charset w:val="00"/>
    <w:family w:val="roman"/>
    <w:pitch w:val="default"/>
    <w:sig w:usb0="E00002FF" w:usb1="400004FF" w:usb2="00000000" w:usb3="00000000" w:csb0="2000019F" w:csb1="00000000"/>
    <w:embedRegular r:id="rId7" w:fontKey="{9A2C7308-F3C5-4E7C-9181-91610BA7944D}"/>
  </w:font>
  <w:font w:name="仿宋">
    <w:panose1 w:val="02010609060101010101"/>
    <w:charset w:val="86"/>
    <w:family w:val="modern"/>
    <w:pitch w:val="default"/>
    <w:sig w:usb0="800002BF" w:usb1="38CF7CFA" w:usb2="00000016" w:usb3="00000000" w:csb0="00040001" w:csb1="00000000"/>
    <w:embedRegular r:id="rId8" w:fontKey="{29B36B5B-9B23-4F4C-8AF0-AA61F4E500E9}"/>
  </w:font>
  <w:font w:name="仿宋_GB2312">
    <w:panose1 w:val="02010609030101010101"/>
    <w:charset w:val="86"/>
    <w:family w:val="auto"/>
    <w:pitch w:val="default"/>
    <w:sig w:usb0="00000001" w:usb1="080E0000" w:usb2="00000000" w:usb3="00000000" w:csb0="00040000" w:csb1="00000000"/>
    <w:embedRegular r:id="rId9" w:fontKey="{91675370-788C-4E10-A6F5-1279ABA964DF}"/>
  </w:font>
  <w:font w:name="方正小标宋简体">
    <w:panose1 w:val="03000509000000000000"/>
    <w:charset w:val="86"/>
    <w:family w:val="auto"/>
    <w:pitch w:val="default"/>
    <w:sig w:usb0="00000001" w:usb1="080E0000" w:usb2="00000000" w:usb3="00000000" w:csb0="00040000" w:csb1="00000000"/>
    <w:embedRegular r:id="rId10" w:fontKey="{4615BD13-2D2E-4D67-B4BD-77A40F769BF2}"/>
  </w:font>
  <w:font w:name="华文仿宋">
    <w:panose1 w:val="02010600040101010101"/>
    <w:charset w:val="86"/>
    <w:family w:val="auto"/>
    <w:pitch w:val="default"/>
    <w:sig w:usb0="00000287" w:usb1="080F0000" w:usb2="00000000" w:usb3="00000000" w:csb0="0004009F" w:csb1="DFD70000"/>
    <w:embedRegular r:id="rId11" w:fontKey="{EDE26A29-3D9C-43E4-A3FD-BC86C133D026}"/>
  </w:font>
  <w:font w:name="楷体_GB2312">
    <w:panose1 w:val="02010609030101010101"/>
    <w:charset w:val="86"/>
    <w:family w:val="auto"/>
    <w:pitch w:val="default"/>
    <w:sig w:usb0="00000001" w:usb1="080E0000" w:usb2="00000000" w:usb3="00000000" w:csb0="00040000" w:csb1="00000000"/>
    <w:embedRegular r:id="rId12" w:fontKey="{108CB3BE-55CC-4008-8708-8C0481A509EC}"/>
  </w:font>
  <w:font w:name="楷体">
    <w:panose1 w:val="02010609060101010101"/>
    <w:charset w:val="86"/>
    <w:family w:val="modern"/>
    <w:pitch w:val="default"/>
    <w:sig w:usb0="800002BF" w:usb1="38CF7CFA" w:usb2="00000016" w:usb3="00000000" w:csb0="00040001" w:csb1="00000000"/>
    <w:embedRegular r:id="rId13" w:fontKey="{39736D19-CDD5-490B-95ED-52F0081A7C51}"/>
  </w:font>
  <w:font w:name="方正小标宋_GBK">
    <w:panose1 w:val="02000000000000000000"/>
    <w:charset w:val="86"/>
    <w:family w:val="script"/>
    <w:pitch w:val="default"/>
    <w:sig w:usb0="A00002BF" w:usb1="38CF7CFA" w:usb2="00082016" w:usb3="00000000" w:csb0="00040001" w:csb1="00000000"/>
    <w:embedRegular r:id="rId14" w:fontKey="{EC6889CA-7A61-4D71-889A-3FE68EC8CC0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jc w:val="center"/>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- 47 -</w:t>
                          </w:r>
                          <w:r>
                            <w:rPr>
                              <w:rFonts w:eastAsia="华文仿宋"/>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rBCXA3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BawQlwNwIAAHEEAAAOAAAAAAAAAAEAIAAAAB8BAABkcnMvZTJvRG9jLnht&#10;bFBLBQYAAAAABgAGAFkBAADIBQAAAAA=&#10;">
              <v:fill on="f" focussize="0,0"/>
              <v:stroke on="f" weight="0.5pt"/>
              <v:imagedata o:title=""/>
              <o:lock v:ext="edit" aspectratio="f"/>
              <v:textbox inset="0mm,0mm,0mm,0mm" style="mso-fit-shape-to-text:t;">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- 47 -</w:t>
                    </w:r>
                    <w:r>
                      <w:rPr>
                        <w:rFonts w:eastAsia="华文仿宋"/>
                        <w:sz w:val="32"/>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8576"/>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posOffset>4783455</wp:posOffset>
              </wp:positionH>
              <wp:positionV relativeFrom="paragraph">
                <wp:posOffset>-492125</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- 24 -</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376.65pt;margin-top:-38.75pt;height:144pt;width:144pt;mso-position-horizontal-relative:margin;mso-wrap-style:none;z-index:251660288;mso-width-relative:page;mso-height-relative:page;" filled="f" stroked="f" coordsize="21600,21600" o:gfxdata="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K9+gbZAAAADAEAAA8AAAAAAAAAAQAgAAAAIgAAAGRycy9kb3du&#10;cmV2LnhtbFBLAQIUABQAAAAIAIdO4kB7c0M1NwIAAHEEAAAOAAAAAAAAAAEAIAAAACgBAABkcnMv&#10;ZTJvRG9jLnhtbFBLBQYAAAAABgAGAFkBAADRBQAAAAA=&#10;">
              <v:fill on="f" focussize="0,0"/>
              <v:stroke on="f" weight="0.5pt"/>
              <v:imagedata o:title=""/>
              <o:lock v:ext="edit" aspectratio="f"/>
              <v:textbox inset="0mm,0mm,0mm,0mm" style="mso-fit-shape-to-text:t;">
                <w:txbxContent>
                  <w:p>
                    <w:pPr>
                      <w:pStyle w:val="7"/>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- 24 -</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- 43 -</w:t>
                          </w:r>
                          <w:r>
                            <w:rPr>
                              <w:rFonts w:eastAsia="华文仿宋"/>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kX1r85AgAAc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6/ejtODiwfgUsdYkaahh4mUutKjFdpd&#10;2/PcmeIEms50k+It39QoZct8uGcOo4HysTzhDp9SGqQ0vUVJZdzXf93HeHQMXkoajFpONTaLEvlB&#10;o5MADIPhBmM3GPqgbg1md4KltDyZeOCCHMzSGfUFG7WKOeBimiNTTsNg3oZu3LGRXKxWKehgXb2v&#10;ugeYQ8vCVj9YHtNEqbxdHQKkTYpHgTpV0Kl4wCSmnvVbE0f9z3OKevqnWD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DkX1r85AgAAcQQAAA4AAAAAAAAAAQAgAAAAHwEAAGRycy9lMm9Eb2Mu&#10;eG1sUEsFBgAAAAAGAAYAWQEAAMoFAAAAAA==&#10;">
              <v:fill on="f" focussize="0,0"/>
              <v:stroke on="f" weight="0.5pt"/>
              <v:imagedata o:title=""/>
              <o:lock v:ext="edit" aspectratio="f"/>
              <v:textbox inset="0mm,0mm,0mm,0mm" style="mso-fit-shape-to-text:t;">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- 43 -</w:t>
                    </w:r>
                    <w:r>
                      <w:rPr>
                        <w:rFonts w:eastAsia="华文仿宋"/>
                        <w:sz w:val="32"/>
                        <w:szCs w:val="32"/>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- 52 -</w:t>
                          </w:r>
                          <w:r>
                            <w:rPr>
                              <w:rFonts w:eastAsia="华文仿宋"/>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v:fill on="f" focussize="0,0"/>
              <v:stroke on="f" weight="0.5pt"/>
              <v:imagedata o:title=""/>
              <o:lock v:ext="edit" aspectratio="f"/>
              <v:textbox inset="0mm,0mm,0mm,0mm" style="mso-fit-shape-to-text:t;">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- 52 -</w:t>
                    </w:r>
                    <w:r>
                      <w:rPr>
                        <w:rFonts w:eastAsia="华文仿宋"/>
                        <w:sz w:val="32"/>
                        <w:szCs w:val="32"/>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ind w:left="525" w:leftChars="250" w:right="525" w:rightChars="250"/>
                            <w:rPr>
                              <w:rFonts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ascii="华文仿宋" w:hAnsi="华文仿宋" w:eastAsia="华文仿宋" w:cs="华文仿宋"/>
                              <w:sz w:val="28"/>
                              <w:szCs w:val="28"/>
                            </w:rPr>
                            <w:t>- 54 -</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8PUr4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J8PUr45AgAAcQQAAA4AAAAAAAAAAQAgAAAAHwEAAGRycy9lMm9Eb2Mu&#10;eG1sUEsFBgAAAAAGAAYAWQEAAMoFAAAAAA==&#10;">
              <v:fill on="f" focussize="0,0"/>
              <v:stroke on="f" weight="0.5pt"/>
              <v:imagedata o:title=""/>
              <o:lock v:ext="edit" aspectratio="f"/>
              <v:textbox inset="0mm,0mm,0mm,0mm" style="mso-fit-shape-to-text:t;">
                <w:txbxContent>
                  <w:p>
                    <w:pPr>
                      <w:pStyle w:val="7"/>
                      <w:ind w:left="525" w:leftChars="250" w:right="525" w:rightChars="250"/>
                      <w:rPr>
                        <w:rFonts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ascii="华文仿宋" w:hAnsi="华文仿宋" w:eastAsia="华文仿宋" w:cs="华文仿宋"/>
                        <w:sz w:val="28"/>
                        <w:szCs w:val="28"/>
                      </w:rPr>
                      <w:t>- 54 -</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609633"/>
    <w:multiLevelType w:val="multilevel"/>
    <w:tmpl w:val="87609633"/>
    <w:lvl w:ilvl="0" w:tentative="0">
      <w:start w:val="1"/>
      <w:numFmt w:val="decimal"/>
      <w:lvlText w:val="%1．"/>
      <w:legacy w:legacy="1" w:legacySpace="0" w:legacyIndent="480"/>
      <w:lvlJc w:val="left"/>
      <w:pPr>
        <w:ind w:left="1120" w:hanging="480"/>
      </w:pPr>
    </w:lvl>
    <w:lvl w:ilvl="1" w:tentative="0">
      <w:start w:val="1"/>
      <w:numFmt w:val="lowerLetter"/>
      <w:lvlText w:val="%2)"/>
      <w:legacy w:legacy="1" w:legacySpace="0" w:legacyIndent="420"/>
      <w:lvlJc w:val="left"/>
      <w:pPr>
        <w:ind w:left="1480" w:hanging="420"/>
      </w:pPr>
    </w:lvl>
    <w:lvl w:ilvl="2" w:tentative="0">
      <w:start w:val="1"/>
      <w:numFmt w:val="lowerRoman"/>
      <w:lvlText w:val="%3."/>
      <w:legacy w:legacy="1" w:legacySpace="0" w:legacyIndent="420"/>
      <w:lvlJc w:val="right"/>
      <w:pPr>
        <w:ind w:left="1900" w:hanging="420"/>
      </w:pPr>
    </w:lvl>
    <w:lvl w:ilvl="3" w:tentative="0">
      <w:start w:val="1"/>
      <w:numFmt w:val="decimal"/>
      <w:lvlText w:val="%4."/>
      <w:legacy w:legacy="1" w:legacySpace="0" w:legacyIndent="420"/>
      <w:lvlJc w:val="left"/>
      <w:pPr>
        <w:ind w:left="2320" w:hanging="420"/>
      </w:pPr>
    </w:lvl>
    <w:lvl w:ilvl="4" w:tentative="0">
      <w:start w:val="1"/>
      <w:numFmt w:val="lowerLetter"/>
      <w:lvlText w:val="%5)"/>
      <w:legacy w:legacy="1" w:legacySpace="0" w:legacyIndent="420"/>
      <w:lvlJc w:val="left"/>
      <w:pPr>
        <w:ind w:left="2740" w:hanging="420"/>
      </w:pPr>
    </w:lvl>
    <w:lvl w:ilvl="5" w:tentative="0">
      <w:start w:val="1"/>
      <w:numFmt w:val="lowerRoman"/>
      <w:lvlText w:val="%6."/>
      <w:legacy w:legacy="1" w:legacySpace="0" w:legacyIndent="420"/>
      <w:lvlJc w:val="right"/>
      <w:pPr>
        <w:ind w:left="3160" w:hanging="420"/>
      </w:pPr>
    </w:lvl>
    <w:lvl w:ilvl="6" w:tentative="0">
      <w:start w:val="1"/>
      <w:numFmt w:val="decimal"/>
      <w:lvlText w:val="%7."/>
      <w:legacy w:legacy="1" w:legacySpace="0" w:legacyIndent="420"/>
      <w:lvlJc w:val="left"/>
      <w:pPr>
        <w:ind w:left="3580" w:hanging="420"/>
      </w:pPr>
    </w:lvl>
    <w:lvl w:ilvl="7" w:tentative="0">
      <w:start w:val="1"/>
      <w:numFmt w:val="lowerLetter"/>
      <w:lvlText w:val="%8)"/>
      <w:legacy w:legacy="1" w:legacySpace="0" w:legacyIndent="420"/>
      <w:lvlJc w:val="left"/>
      <w:pPr>
        <w:ind w:left="4000" w:hanging="420"/>
      </w:pPr>
    </w:lvl>
    <w:lvl w:ilvl="8" w:tentative="0">
      <w:start w:val="1"/>
      <w:numFmt w:val="lowerRoman"/>
      <w:lvlText w:val="%9."/>
      <w:legacy w:legacy="1" w:legacySpace="0" w:legacyIndent="420"/>
      <w:lvlJc w:val="right"/>
      <w:pPr>
        <w:ind w:left="4420" w:hanging="420"/>
      </w:pPr>
    </w:lvl>
  </w:abstractNum>
  <w:abstractNum w:abstractNumId="1">
    <w:nsid w:val="4C0C5980"/>
    <w:multiLevelType w:val="singleLevel"/>
    <w:tmpl w:val="4C0C5980"/>
    <w:lvl w:ilvl="0" w:tentative="0">
      <w:start w:val="2"/>
      <w:numFmt w:val="chineseCounting"/>
      <w:suff w:val="nothing"/>
      <w:lvlText w:val="（%1）"/>
      <w:lvlJc w:val="left"/>
      <w:rPr>
        <w:rFonts w:hint="eastAsia"/>
      </w:rPr>
    </w:lvl>
  </w:abstractNum>
  <w:abstractNum w:abstractNumId="2">
    <w:nsid w:val="5B7D9A6B"/>
    <w:multiLevelType w:val="singleLevel"/>
    <w:tmpl w:val="5B7D9A6B"/>
    <w:lvl w:ilvl="0" w:tentative="0">
      <w:start w:val="2"/>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bordersDoNotSurroundHeader w:val="1"/>
  <w:bordersDoNotSurroundFooter w:val="1"/>
  <w:documentProtection w:enforcement="0"/>
  <w:defaultTabStop w:val="420"/>
  <w:drawingGridHorizontalSpacing w:val="210"/>
  <w:drawingGridVerticalSpacing w:val="157"/>
  <w:displayVerticalDrawingGridEvery w:val="2"/>
  <w:noPunctuationKerning w:val="1"/>
  <w:characterSpacingControl w:val="compressPunctuation"/>
  <w:noLineBreaksAfter w:lang="zh-CN" w:val="$([{£¥·‘“〈《「『【〔〖〝﹙﹛﹝＄（．［｛￡￥"/>
  <w:noLineBreaksBefore w:lang="zh-CN" w:val="!%),.:;&gt;?]}¢¨°·ˇˉ―‖’”…‰′″›℃∶、。〃〉》」』】〕〗〞︶︺︾﹀﹄﹚﹜﹞！＂％＇），．：；？］｀｜｝～￠"/>
  <w:hdrShapeDefaults>
    <o:shapelayout v:ext="edit">
      <o:idmap v:ext="edit" data="1,3"/>
    </o:shapelayout>
  </w:hdrShapeDefaults>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IyNDczNGViNGJlMWU1ODQwNjNkMzAwNmYwNWMyYmUifQ=="/>
  </w:docVars>
  <w:rsids>
    <w:rsidRoot w:val="0CCB7736"/>
    <w:rsid w:val="00047FEF"/>
    <w:rsid w:val="0009452E"/>
    <w:rsid w:val="000A3906"/>
    <w:rsid w:val="000A7602"/>
    <w:rsid w:val="00122904"/>
    <w:rsid w:val="00125F99"/>
    <w:rsid w:val="001461F8"/>
    <w:rsid w:val="001776F1"/>
    <w:rsid w:val="00367735"/>
    <w:rsid w:val="003811E8"/>
    <w:rsid w:val="00400B33"/>
    <w:rsid w:val="004837E2"/>
    <w:rsid w:val="004A38CD"/>
    <w:rsid w:val="00510C52"/>
    <w:rsid w:val="005B7D64"/>
    <w:rsid w:val="00612793"/>
    <w:rsid w:val="006938A6"/>
    <w:rsid w:val="006C44F4"/>
    <w:rsid w:val="006F0A16"/>
    <w:rsid w:val="00733B1D"/>
    <w:rsid w:val="00744E39"/>
    <w:rsid w:val="00773328"/>
    <w:rsid w:val="007C0884"/>
    <w:rsid w:val="00821883"/>
    <w:rsid w:val="008E6BD6"/>
    <w:rsid w:val="00917857"/>
    <w:rsid w:val="00921EFA"/>
    <w:rsid w:val="00951882"/>
    <w:rsid w:val="00A10343"/>
    <w:rsid w:val="00A51A20"/>
    <w:rsid w:val="00A755C2"/>
    <w:rsid w:val="00A93305"/>
    <w:rsid w:val="00AB254B"/>
    <w:rsid w:val="00B24CC7"/>
    <w:rsid w:val="00C30AD2"/>
    <w:rsid w:val="00CC22D9"/>
    <w:rsid w:val="00CD68B0"/>
    <w:rsid w:val="00D06DD6"/>
    <w:rsid w:val="00D37E6E"/>
    <w:rsid w:val="00DA0536"/>
    <w:rsid w:val="00DB53D6"/>
    <w:rsid w:val="00E158B0"/>
    <w:rsid w:val="00E16A57"/>
    <w:rsid w:val="00E26FEF"/>
    <w:rsid w:val="00E76292"/>
    <w:rsid w:val="00EA5450"/>
    <w:rsid w:val="00EE7258"/>
    <w:rsid w:val="00FB3E72"/>
    <w:rsid w:val="00FE23E4"/>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DDF797F"/>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602793"/>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646CBC"/>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9"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qFormat="1" w:unhideWhenUsed="0" w:uiPriority="0" w:semiHidden="0"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qFormat="1" w:unhideWhenUsed="0"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locked/>
    <w:uiPriority w:val="0"/>
    <w:pPr>
      <w:keepNext/>
      <w:keepLines/>
      <w:outlineLvl w:val="0"/>
    </w:pPr>
    <w:rPr>
      <w:rFonts w:eastAsia="黑体"/>
      <w:bCs/>
      <w:kern w:val="44"/>
      <w:szCs w:val="44"/>
    </w:rPr>
  </w:style>
  <w:style w:type="paragraph" w:styleId="3">
    <w:name w:val="heading 2"/>
    <w:basedOn w:val="1"/>
    <w:next w:val="1"/>
    <w:unhideWhenUsed/>
    <w:qFormat/>
    <w:locked/>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4">
    <w:name w:val="Body Text"/>
    <w:basedOn w:val="1"/>
    <w:next w:val="5"/>
    <w:autoRedefine/>
    <w:semiHidden/>
    <w:qFormat/>
    <w:uiPriority w:val="0"/>
    <w:rPr>
      <w:rFonts w:ascii="仿宋" w:hAnsi="仿宋" w:eastAsia="仿宋" w:cs="仿宋"/>
      <w:sz w:val="31"/>
      <w:szCs w:val="31"/>
      <w:lang w:eastAsia="en-US"/>
    </w:rPr>
  </w:style>
  <w:style w:type="paragraph" w:customStyle="1" w:styleId="5">
    <w:name w:val="正文首行缩进1"/>
    <w:qFormat/>
    <w:uiPriority w:val="0"/>
    <w:pPr>
      <w:widowControl w:val="0"/>
      <w:spacing w:after="120"/>
      <w:ind w:firstLine="100" w:firstLineChars="100"/>
      <w:jc w:val="both"/>
    </w:pPr>
    <w:rPr>
      <w:rFonts w:ascii="Times New Roman" w:hAnsi="Times New Roman" w:eastAsia="宋体" w:cs="Times New Roman"/>
      <w:kern w:val="2"/>
      <w:sz w:val="21"/>
      <w:szCs w:val="24"/>
      <w:lang w:val="en-US" w:eastAsia="zh-CN" w:bidi="ar-SA"/>
    </w:rPr>
  </w:style>
  <w:style w:type="paragraph" w:styleId="6">
    <w:name w:val="toc 5"/>
    <w:next w:val="1"/>
    <w:qFormat/>
    <w:uiPriority w:val="0"/>
    <w:pPr>
      <w:widowControl w:val="0"/>
      <w:spacing w:before="100" w:beforeAutospacing="1" w:after="100" w:afterAutospacing="1"/>
      <w:ind w:left="800" w:leftChars="800"/>
      <w:jc w:val="both"/>
    </w:pPr>
    <w:rPr>
      <w:rFonts w:ascii="Times New Roman" w:hAnsi="Times New Roman" w:eastAsia="宋体" w:cs="Times New Roman"/>
      <w:kern w:val="2"/>
      <w:sz w:val="24"/>
      <w:szCs w:val="24"/>
      <w:lang w:val="en-US" w:eastAsia="zh-CN" w:bidi="ar-SA"/>
    </w:rPr>
  </w:style>
  <w:style w:type="paragraph" w:styleId="7">
    <w:name w:val="footer"/>
    <w:basedOn w:val="1"/>
    <w:link w:val="16"/>
    <w:autoRedefine/>
    <w:qFormat/>
    <w:uiPriority w:val="99"/>
    <w:pPr>
      <w:tabs>
        <w:tab w:val="center" w:pos="4153"/>
        <w:tab w:val="right" w:pos="8306"/>
      </w:tabs>
      <w:snapToGrid w:val="0"/>
      <w:jc w:val="left"/>
    </w:pPr>
    <w:rPr>
      <w:sz w:val="18"/>
      <w:szCs w:val="18"/>
    </w:rPr>
  </w:style>
  <w:style w:type="paragraph" w:styleId="8">
    <w:name w:val="header"/>
    <w:basedOn w:val="1"/>
    <w:link w:val="17"/>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footnote text"/>
    <w:basedOn w:val="1"/>
    <w:next w:val="1"/>
    <w:autoRedefine/>
    <w:qFormat/>
    <w:uiPriority w:val="0"/>
    <w:pPr>
      <w:snapToGrid w:val="0"/>
      <w:jc w:val="left"/>
    </w:pPr>
    <w:rPr>
      <w:sz w:val="18"/>
      <w:szCs w:val="18"/>
    </w:rPr>
  </w:style>
  <w:style w:type="paragraph" w:styleId="10">
    <w:name w:val="Normal (Web)"/>
    <w:unhideWhenUsed/>
    <w:qFormat/>
    <w:uiPriority w:val="0"/>
    <w:pPr>
      <w:widowControl w:val="0"/>
      <w:spacing w:before="100" w:beforeAutospacing="1" w:after="100" w:afterAutospacing="1"/>
    </w:pPr>
    <w:rPr>
      <w:rFonts w:cs="Times New Roman" w:asciiTheme="minorHAnsi" w:hAnsiTheme="minorHAnsi" w:eastAsiaTheme="minorEastAsia"/>
      <w:sz w:val="24"/>
      <w:szCs w:val="24"/>
      <w:lang w:val="en-US" w:eastAsia="zh-CN" w:bidi="ar-SA"/>
    </w:rPr>
  </w:style>
  <w:style w:type="paragraph" w:styleId="11">
    <w:name w:val="Body Text First Indent"/>
    <w:next w:val="1"/>
    <w:qFormat/>
    <w:uiPriority w:val="99"/>
    <w:pPr>
      <w:spacing w:before="100" w:beforeAutospacing="1" w:after="100" w:afterAutospacing="1" w:line="500" w:lineRule="exact"/>
      <w:ind w:firstLine="420"/>
    </w:pPr>
    <w:rPr>
      <w:rFonts w:ascii="宋体" w:hAnsi="Times New Roman" w:eastAsia="宋体" w:cs="宋体"/>
      <w:sz w:val="28"/>
      <w:lang w:val="en-US" w:eastAsia="zh-CN" w:bidi="ar-SA"/>
    </w:rPr>
  </w:style>
  <w:style w:type="table" w:styleId="13">
    <w:name w:val="Table Grid"/>
    <w:basedOn w:val="12"/>
    <w:autoRedefine/>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page number"/>
    <w:basedOn w:val="14"/>
    <w:autoRedefine/>
    <w:qFormat/>
    <w:uiPriority w:val="99"/>
    <w:rPr>
      <w:rFonts w:cs="Times New Roman"/>
    </w:rPr>
  </w:style>
  <w:style w:type="character" w:customStyle="1" w:styleId="16">
    <w:name w:val="页脚 Char"/>
    <w:basedOn w:val="14"/>
    <w:link w:val="7"/>
    <w:autoRedefine/>
    <w:semiHidden/>
    <w:qFormat/>
    <w:uiPriority w:val="99"/>
    <w:rPr>
      <w:sz w:val="18"/>
      <w:szCs w:val="18"/>
    </w:rPr>
  </w:style>
  <w:style w:type="character" w:customStyle="1" w:styleId="17">
    <w:name w:val="页眉 Char"/>
    <w:basedOn w:val="14"/>
    <w:link w:val="8"/>
    <w:autoRedefine/>
    <w:semiHidden/>
    <w:qFormat/>
    <w:uiPriority w:val="99"/>
    <w:rPr>
      <w:sz w:val="18"/>
      <w:szCs w:val="18"/>
    </w:rPr>
  </w:style>
  <w:style w:type="paragraph" w:styleId="18">
    <w:name w:val="List Paragraph"/>
    <w:basedOn w:val="1"/>
    <w:autoRedefine/>
    <w:qFormat/>
    <w:uiPriority w:val="99"/>
    <w:pPr>
      <w:ind w:firstLine="420" w:firstLineChars="200"/>
    </w:pPr>
    <w:rPr>
      <w:rFonts w:ascii="Calibri" w:hAnsi="Calibri"/>
      <w:szCs w:val="22"/>
    </w:rPr>
  </w:style>
  <w:style w:type="table" w:customStyle="1" w:styleId="19">
    <w:name w:val="Table Normal"/>
    <w:autoRedefine/>
    <w:semiHidden/>
    <w:unhideWhenUsed/>
    <w:qFormat/>
    <w:uiPriority w:val="0"/>
    <w:tblPr>
      <w:tblCellMar>
        <w:top w:w="0" w:type="dxa"/>
        <w:left w:w="0" w:type="dxa"/>
        <w:bottom w:w="0" w:type="dxa"/>
        <w:right w:w="0" w:type="dxa"/>
      </w:tblCellMar>
    </w:tblPr>
  </w:style>
  <w:style w:type="paragraph" w:customStyle="1" w:styleId="20">
    <w:name w:val="Table Text"/>
    <w:basedOn w:val="1"/>
    <w:autoRedefine/>
    <w:semiHidden/>
    <w:qFormat/>
    <w:uiPriority w:val="0"/>
    <w:rPr>
      <w:rFonts w:ascii="Arial" w:hAnsi="Arial" w:eastAsia="Arial" w:cs="Arial"/>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692AC81-A16B-4AB2-8B15-335DFD67FF8C}">
  <ds:schemaRefs/>
</ds:datastoreItem>
</file>

<file path=docProps/app.xml><?xml version="1.0" encoding="utf-8"?>
<Properties xmlns="http://schemas.openxmlformats.org/officeDocument/2006/extended-properties" xmlns:vt="http://schemas.openxmlformats.org/officeDocument/2006/docPropsVTypes">
  <Template>Normal</Template>
  <Pages>44</Pages>
  <Words>15977</Words>
  <Characters>17095</Characters>
  <Lines>138</Lines>
  <Paragraphs>38</Paragraphs>
  <TotalTime>1</TotalTime>
  <ScaleCrop>false</ScaleCrop>
  <LinksUpToDate>false</LinksUpToDate>
  <CharactersWithSpaces>17368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开汽车的鱼</cp:lastModifiedBy>
  <cp:lastPrinted>2024-05-20T07:59:00Z</cp:lastPrinted>
  <dcterms:modified xsi:type="dcterms:W3CDTF">2024-05-29T01:42:18Z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1A8011F003F04181A57099B666EBEAD1_13</vt:lpwstr>
  </property>
</Properties>
</file>