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spacing w:val="-4"/>
          <w:sz w:val="31"/>
          <w:szCs w:val="31"/>
          <w:lang w:val="en-US" w:eastAsia="zh-CN"/>
        </w:rPr>
      </w:pPr>
      <w:bookmarkStart w:id="0" w:name="_GoBack"/>
      <w:bookmarkEnd w:id="0"/>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2</w:t>
      </w:r>
    </w:p>
    <w:p>
      <w:pPr>
        <w:keepNext w:val="0"/>
        <w:keepLines w:val="0"/>
        <w:pageBreakBefore w:val="0"/>
        <w:widowControl w:val="0"/>
        <w:kinsoku/>
        <w:wordWrap/>
        <w:overflowPunct/>
        <w:topLinePunct w:val="0"/>
        <w:autoSpaceDE/>
        <w:autoSpaceDN/>
        <w:bidi w:val="0"/>
        <w:adjustRightInd/>
        <w:snapToGrid/>
        <w:spacing w:line="300" w:lineRule="exact"/>
        <w:ind w:left="0"/>
        <w:textAlignment w:val="auto"/>
        <w:rPr>
          <w:rFonts w:hint="eastAsia" w:ascii="黑体" w:hAnsi="黑体" w:eastAsia="黑体" w:cs="黑体"/>
          <w:spacing w:val="-4"/>
          <w:sz w:val="31"/>
          <w:szCs w:val="31"/>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黑体" w:hAnsi="黑体" w:eastAsia="黑体" w:cs="黑体"/>
          <w:spacing w:val="0"/>
          <w:sz w:val="44"/>
          <w:szCs w:val="44"/>
        </w:rPr>
      </w:pPr>
      <w:r>
        <w:rPr>
          <w:rFonts w:hint="eastAsia" w:ascii="黑体" w:hAnsi="黑体" w:eastAsia="黑体" w:cs="黑体"/>
          <w:b/>
          <w:bCs/>
          <w:spacing w:val="0"/>
          <w:sz w:val="44"/>
          <w:szCs w:val="44"/>
        </w:rPr>
        <w:t>2023年度部门整体支出绩效评价基础数据表</w:t>
      </w:r>
    </w:p>
    <w:p>
      <w:pPr>
        <w:keepNext w:val="0"/>
        <w:keepLines w:val="0"/>
        <w:pageBreakBefore w:val="0"/>
        <w:widowControl w:val="0"/>
        <w:kinsoku/>
        <w:wordWrap/>
        <w:overflowPunct/>
        <w:topLinePunct w:val="0"/>
        <w:autoSpaceDE/>
        <w:autoSpaceDN/>
        <w:bidi w:val="0"/>
        <w:adjustRightInd/>
        <w:snapToGrid/>
        <w:spacing w:line="300" w:lineRule="exact"/>
        <w:textAlignment w:val="auto"/>
      </w:pPr>
    </w:p>
    <w:tbl>
      <w:tblPr>
        <w:tblStyle w:val="15"/>
        <w:tblW w:w="9277"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419"/>
        <w:gridCol w:w="964"/>
        <w:gridCol w:w="965"/>
        <w:gridCol w:w="1"/>
        <w:gridCol w:w="985"/>
        <w:gridCol w:w="986"/>
        <w:gridCol w:w="978"/>
        <w:gridCol w:w="9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9"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财政供养人员情况（人）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编制数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2023年实际</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在职人数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54</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63</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89"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经费控制情况（万元）</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2022年决算数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2023年预算数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2023年决算数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三公经费</w:t>
            </w:r>
            <w:r>
              <w:rPr>
                <w:rFonts w:hint="eastAsia" w:asciiTheme="minorEastAsia" w:hAnsiTheme="minorEastAsia" w:eastAsiaTheme="minorEastAsia" w:cstheme="minorEastAsia"/>
                <w:sz w:val="21"/>
                <w:szCs w:val="21"/>
                <w:lang w:eastAsia="zh-CN"/>
              </w:rPr>
              <w:t>：</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860.23</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953.5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890.12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1、公务用车购置和维护经费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2"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其中：公车购置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4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59" w:firstLineChars="695"/>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公车运行维护</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2、出国经费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3、公务接待</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0.2</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66"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78"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XX项目</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、专项资金（每个专项一行）</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166.5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市场维修维护费专项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市场保洁员工资专项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40</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市场常态化管理专项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征收成本专项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办公设备购置专项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事业发展资金</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lang w:val="en-US" w:eastAsia="zh-CN"/>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31.5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公用经费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115.58</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105</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175.99</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其中：办公经费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7.66</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水费、电费、差旅费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5.51</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5.6</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5.04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会议费、培训费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1.8</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8.4</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政府采购金额</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195.17</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147.58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9"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部门基本支出预算调整</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08"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楼堂馆所控制情况</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（2023年完工项目）</w:t>
            </w: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批复规模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实际规模（㎡）</w:t>
            </w: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控制率</w:t>
            </w: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预算投资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投资概算控制率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37"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70"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厉行节约保障措施</w:t>
            </w:r>
          </w:p>
        </w:tc>
        <w:tc>
          <w:tcPr>
            <w:tcW w:w="5858" w:type="dxa"/>
            <w:gridSpan w:val="7"/>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eastAsia="宋体"/>
                <w:sz w:val="21"/>
                <w:lang w:val="en-US" w:eastAsia="zh-CN"/>
              </w:rPr>
              <w:t>1、加强节能制度建设，建立能耗统计和报告制度和定额管理制度。2、广泛开展节能宣传教育，加强节能监督检查。</w:t>
            </w:r>
          </w:p>
        </w:tc>
      </w:tr>
    </w:tbl>
    <w:p>
      <w:pPr>
        <w:keepNext w:val="0"/>
        <w:keepLines w:val="0"/>
        <w:pageBreakBefore w:val="0"/>
        <w:widowControl w:val="0"/>
        <w:kinsoku/>
        <w:wordWrap/>
        <w:overflowPunct/>
        <w:topLinePunct w:val="0"/>
        <w:autoSpaceDE/>
        <w:autoSpaceDN/>
        <w:bidi w:val="0"/>
        <w:adjustRightInd/>
        <w:snapToGrid/>
        <w:spacing w:line="280" w:lineRule="exact"/>
        <w:textAlignment w:val="auto"/>
        <w:rPr>
          <w:rFonts w:hint="eastAsia"/>
          <w:lang w:eastAsia="zh-CN"/>
        </w:rPr>
      </w:pPr>
      <w:r>
        <w:rPr>
          <w:rFonts w:hint="eastAsia"/>
        </w:rPr>
        <w:t>说明：“项目支出” 需要填报基本支出以外的所有项目支出情况，“公用经费”填报基本支出</w:t>
      </w:r>
      <w:r>
        <w:rPr>
          <w:rFonts w:hint="eastAsia"/>
          <w:lang w:eastAsia="zh-CN"/>
        </w:rPr>
        <w:t>中的一般商品和服务支出。</w:t>
      </w:r>
    </w:p>
    <w:p>
      <w:pPr>
        <w:keepNext w:val="0"/>
        <w:keepLines w:val="0"/>
        <w:pageBreakBefore w:val="0"/>
        <w:widowControl w:val="0"/>
        <w:kinsoku/>
        <w:wordWrap/>
        <w:overflowPunct/>
        <w:topLinePunct w:val="0"/>
        <w:autoSpaceDE/>
        <w:autoSpaceDN/>
        <w:bidi w:val="0"/>
        <w:adjustRightInd/>
        <w:snapToGrid/>
        <w:spacing w:line="280" w:lineRule="exact"/>
        <w:textAlignment w:val="auto"/>
      </w:pPr>
      <w:r>
        <w:rPr>
          <w:rFonts w:hint="eastAsia"/>
        </w:rPr>
        <w:t>填表人：</w:t>
      </w:r>
      <w:r>
        <w:rPr>
          <w:rFonts w:hint="eastAsia"/>
          <w:lang w:eastAsia="zh-CN"/>
        </w:rPr>
        <w:t>黎芳</w:t>
      </w:r>
      <w:r>
        <w:rPr>
          <w:rFonts w:hint="eastAsia"/>
        </w:rPr>
        <w:t xml:space="preserve"> 填报日期：</w:t>
      </w:r>
      <w:r>
        <w:rPr>
          <w:rFonts w:hint="eastAsia"/>
          <w:lang w:val="en-US" w:eastAsia="zh-CN"/>
        </w:rPr>
        <w:t>2024年5月23日</w:t>
      </w:r>
      <w:r>
        <w:rPr>
          <w:rFonts w:hint="eastAsia"/>
        </w:rPr>
        <w:t xml:space="preserve"> 联系电话：</w:t>
      </w:r>
      <w:r>
        <w:rPr>
          <w:rFonts w:hint="eastAsia"/>
          <w:lang w:val="en-US" w:eastAsia="zh-CN"/>
        </w:rPr>
        <w:t>13874092702</w:t>
      </w:r>
      <w:r>
        <w:rPr>
          <w:rFonts w:hint="eastAsia"/>
        </w:rPr>
        <w:t xml:space="preserve"> 单位负责人签字：</w:t>
      </w:r>
    </w:p>
    <w:p>
      <w:pPr>
        <w:keepNext w:val="0"/>
        <w:keepLines w:val="0"/>
        <w:pageBreakBefore w:val="0"/>
        <w:widowControl w:val="0"/>
        <w:kinsoku/>
        <w:wordWrap/>
        <w:overflowPunct/>
        <w:topLinePunct w:val="0"/>
        <w:autoSpaceDE/>
        <w:autoSpaceDN/>
        <w:bidi w:val="0"/>
        <w:adjustRightInd/>
        <w:snapToGrid/>
        <w:spacing w:line="280" w:lineRule="exact"/>
        <w:textAlignment w:val="auto"/>
        <w:rPr>
          <w:spacing w:val="-13"/>
          <w:sz w:val="22"/>
          <w:szCs w:val="22"/>
        </w:rPr>
      </w:pPr>
      <w:r>
        <w:rPr>
          <w:spacing w:val="-13"/>
          <w:sz w:val="22"/>
          <w:szCs w:val="22"/>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3</w:t>
      </w:r>
    </w:p>
    <w:p>
      <w:pPr>
        <w:spacing w:line="251" w:lineRule="auto"/>
        <w:rPr>
          <w:rFonts w:ascii="Arial"/>
          <w:sz w:val="21"/>
        </w:rPr>
      </w:pPr>
    </w:p>
    <w:p>
      <w:pPr>
        <w:spacing w:line="251" w:lineRule="auto"/>
        <w:rPr>
          <w:rFonts w:ascii="Arial"/>
          <w:sz w:val="21"/>
        </w:rPr>
      </w:pPr>
    </w:p>
    <w:p>
      <w:pPr>
        <w:rPr>
          <w:rFonts w:ascii="Arial"/>
          <w:sz w:val="21"/>
        </w:rPr>
      </w:pPr>
    </w:p>
    <w:p>
      <w:pPr>
        <w:pStyle w:val="7"/>
      </w:pPr>
    </w:p>
    <w:p/>
    <w:p>
      <w:pPr>
        <w:spacing w:before="223" w:line="218" w:lineRule="auto"/>
        <w:ind w:left="1384"/>
        <w:jc w:val="center"/>
        <w:rPr>
          <w:rFonts w:hint="eastAsia" w:ascii="黑体" w:hAnsi="黑体" w:eastAsia="黑体" w:cs="黑体"/>
          <w:b/>
          <w:bCs/>
          <w:sz w:val="52"/>
          <w:szCs w:val="52"/>
        </w:rPr>
      </w:pPr>
      <w:r>
        <w:rPr>
          <w:rFonts w:hint="eastAsia" w:ascii="黑体" w:hAnsi="黑体" w:eastAsia="黑体" w:cs="黑体"/>
          <w:b/>
          <w:bCs/>
          <w:spacing w:val="-1"/>
          <w:sz w:val="52"/>
          <w:szCs w:val="52"/>
        </w:rPr>
        <w:t>2023年度</w:t>
      </w:r>
      <w:r>
        <w:rPr>
          <w:rFonts w:hint="eastAsia" w:ascii="黑体" w:hAnsi="黑体" w:eastAsia="黑体" w:cs="黑体"/>
          <w:b/>
          <w:bCs/>
          <w:spacing w:val="-1"/>
          <w:sz w:val="52"/>
          <w:szCs w:val="52"/>
          <w:lang w:eastAsia="zh-CN"/>
        </w:rPr>
        <w:t>华容县市场建设</w:t>
      </w:r>
      <w:r>
        <w:rPr>
          <w:rFonts w:hint="eastAsia" w:ascii="黑体" w:hAnsi="黑体" w:eastAsia="黑体" w:cs="黑体"/>
          <w:b/>
          <w:bCs/>
          <w:spacing w:val="-1"/>
          <w:sz w:val="52"/>
          <w:szCs w:val="52"/>
          <w:lang w:val="en-US" w:eastAsia="zh-CN"/>
        </w:rPr>
        <w:t xml:space="preserve">     </w:t>
      </w:r>
      <w:r>
        <w:rPr>
          <w:rFonts w:hint="eastAsia" w:ascii="黑体" w:hAnsi="黑体" w:eastAsia="黑体" w:cs="黑体"/>
          <w:b/>
          <w:bCs/>
          <w:spacing w:val="-1"/>
          <w:sz w:val="52"/>
          <w:szCs w:val="52"/>
          <w:lang w:eastAsia="zh-CN"/>
        </w:rPr>
        <w:t>服务中心</w:t>
      </w:r>
      <w:r>
        <w:rPr>
          <w:rFonts w:hint="eastAsia" w:ascii="黑体" w:hAnsi="黑体" w:eastAsia="黑体" w:cs="黑体"/>
          <w:b/>
          <w:bCs/>
          <w:spacing w:val="-1"/>
          <w:sz w:val="52"/>
          <w:szCs w:val="52"/>
        </w:rPr>
        <w:t>整体支出</w:t>
      </w:r>
      <w:r>
        <w:rPr>
          <w:rFonts w:hint="eastAsia" w:ascii="黑体" w:hAnsi="黑体" w:eastAsia="黑体" w:cs="黑体"/>
          <w:b/>
          <w:bCs/>
          <w:spacing w:val="-1"/>
          <w:sz w:val="52"/>
          <w:szCs w:val="52"/>
          <w:lang w:val="en-US" w:eastAsia="zh-CN"/>
        </w:rPr>
        <w:t xml:space="preserve">          </w:t>
      </w:r>
      <w:r>
        <w:rPr>
          <w:rFonts w:hint="eastAsia" w:ascii="黑体" w:hAnsi="黑体" w:eastAsia="黑体" w:cs="黑体"/>
          <w:b/>
          <w:bCs/>
          <w:spacing w:val="-3"/>
          <w:sz w:val="52"/>
          <w:szCs w:val="52"/>
        </w:rPr>
        <w:t>绩效自评报告</w:t>
      </w: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7"/>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4"/>
        <w:keepNext w:val="0"/>
        <w:keepLines w:val="0"/>
        <w:pageBreakBefore w:val="0"/>
        <w:widowControl w:val="0"/>
        <w:kinsoku/>
        <w:wordWrap/>
        <w:overflowPunct/>
        <w:topLinePunct w:val="0"/>
        <w:autoSpaceDE/>
        <w:autoSpaceDN/>
        <w:bidi w:val="0"/>
        <w:adjustRightInd/>
        <w:snapToGrid/>
        <w:spacing w:before="100" w:line="221" w:lineRule="auto"/>
        <w:ind w:firstLine="1500" w:firstLineChars="500"/>
        <w:textAlignment w:val="auto"/>
        <w:rPr>
          <w:rFonts w:hint="eastAsia" w:ascii="黑体" w:hAnsi="黑体" w:eastAsia="黑体" w:cs="黑体"/>
          <w:sz w:val="32"/>
          <w:szCs w:val="32"/>
        </w:rPr>
      </w:pPr>
      <w:r>
        <w:rPr>
          <w:rFonts w:hint="eastAsia" w:ascii="黑体" w:hAnsi="黑体" w:eastAsia="黑体" w:cs="黑体"/>
          <w:spacing w:val="-10"/>
          <w:sz w:val="32"/>
          <w:szCs w:val="32"/>
        </w:rPr>
        <w:t>部门（单位）名称</w:t>
      </w:r>
      <w:r>
        <w:rPr>
          <w:rFonts w:hint="eastAsia" w:ascii="黑体" w:hAnsi="黑体" w:eastAsia="黑体" w:cs="黑体"/>
          <w:spacing w:val="4"/>
          <w:sz w:val="32"/>
          <w:szCs w:val="32"/>
        </w:rPr>
        <w:t>：</w:t>
      </w:r>
      <w:r>
        <w:rPr>
          <w:rFonts w:hint="eastAsia" w:ascii="黑体" w:hAnsi="黑体" w:eastAsia="黑体" w:cs="黑体"/>
          <w:spacing w:val="4"/>
          <w:sz w:val="32"/>
          <w:szCs w:val="32"/>
          <w:lang w:eastAsia="zh-CN"/>
        </w:rPr>
        <w:t>华容县市场建设服务中心</w:t>
      </w:r>
    </w:p>
    <w:p>
      <w:pPr>
        <w:spacing w:before="228" w:line="222" w:lineRule="auto"/>
        <w:ind w:firstLine="4560" w:firstLineChars="1500"/>
        <w:rPr>
          <w:rFonts w:hint="eastAsia" w:ascii="黑体" w:hAnsi="黑体" w:eastAsia="黑体" w:cs="黑体"/>
          <w:sz w:val="32"/>
          <w:szCs w:val="32"/>
        </w:rPr>
      </w:pPr>
      <w:r>
        <w:rPr>
          <w:rFonts w:hint="eastAsia" w:ascii="黑体" w:hAnsi="黑体" w:eastAsia="黑体" w:cs="黑体"/>
          <w:spacing w:val="-8"/>
          <w:sz w:val="32"/>
          <w:szCs w:val="32"/>
          <w:lang w:val="en-US" w:eastAsia="zh-CN"/>
        </w:rPr>
        <w:t>2024</w:t>
      </w:r>
      <w:r>
        <w:rPr>
          <w:rFonts w:hint="eastAsia" w:ascii="黑体" w:hAnsi="黑体" w:eastAsia="黑体" w:cs="黑体"/>
          <w:spacing w:val="-8"/>
          <w:sz w:val="32"/>
          <w:szCs w:val="32"/>
        </w:rPr>
        <w:t>年</w:t>
      </w:r>
      <w:r>
        <w:rPr>
          <w:rFonts w:hint="eastAsia" w:ascii="黑体" w:hAnsi="黑体" w:eastAsia="黑体" w:cs="黑体"/>
          <w:spacing w:val="21"/>
          <w:sz w:val="32"/>
          <w:szCs w:val="32"/>
        </w:rPr>
        <w:t xml:space="preserve"> </w:t>
      </w:r>
      <w:r>
        <w:rPr>
          <w:rFonts w:hint="eastAsia" w:ascii="黑体" w:hAnsi="黑体" w:eastAsia="黑体" w:cs="黑体"/>
          <w:spacing w:val="21"/>
          <w:sz w:val="32"/>
          <w:szCs w:val="32"/>
          <w:lang w:val="en-US" w:eastAsia="zh-CN"/>
        </w:rPr>
        <w:t>5</w:t>
      </w:r>
      <w:r>
        <w:rPr>
          <w:rFonts w:hint="eastAsia" w:ascii="黑体" w:hAnsi="黑体" w:eastAsia="黑体" w:cs="黑体"/>
          <w:spacing w:val="21"/>
          <w:sz w:val="32"/>
          <w:szCs w:val="32"/>
        </w:rPr>
        <w:t xml:space="preserve"> </w:t>
      </w:r>
      <w:r>
        <w:rPr>
          <w:rFonts w:hint="eastAsia" w:ascii="黑体" w:hAnsi="黑体" w:eastAsia="黑体" w:cs="黑体"/>
          <w:spacing w:val="-8"/>
          <w:sz w:val="32"/>
          <w:szCs w:val="32"/>
        </w:rPr>
        <w:t>月</w:t>
      </w:r>
      <w:r>
        <w:rPr>
          <w:rFonts w:hint="eastAsia" w:ascii="黑体" w:hAnsi="黑体" w:eastAsia="黑体" w:cs="黑体"/>
          <w:spacing w:val="43"/>
          <w:sz w:val="32"/>
          <w:szCs w:val="32"/>
        </w:rPr>
        <w:t xml:space="preserve"> </w:t>
      </w:r>
      <w:r>
        <w:rPr>
          <w:rFonts w:hint="eastAsia" w:ascii="黑体" w:hAnsi="黑体" w:eastAsia="黑体" w:cs="黑体"/>
          <w:spacing w:val="43"/>
          <w:sz w:val="32"/>
          <w:szCs w:val="32"/>
          <w:lang w:val="en-US" w:eastAsia="zh-CN"/>
        </w:rPr>
        <w:t>22</w:t>
      </w:r>
      <w:r>
        <w:rPr>
          <w:rFonts w:hint="eastAsia" w:ascii="黑体" w:hAnsi="黑体" w:eastAsia="黑体" w:cs="黑体"/>
          <w:spacing w:val="43"/>
          <w:sz w:val="32"/>
          <w:szCs w:val="32"/>
        </w:rPr>
        <w:t xml:space="preserve"> </w:t>
      </w:r>
      <w:r>
        <w:rPr>
          <w:rFonts w:hint="eastAsia" w:ascii="黑体" w:hAnsi="黑体" w:eastAsia="黑体" w:cs="黑体"/>
          <w:spacing w:val="-8"/>
          <w:sz w:val="32"/>
          <w:szCs w:val="32"/>
        </w:rPr>
        <w:t>日</w:t>
      </w:r>
    </w:p>
    <w:p>
      <w:pPr>
        <w:spacing w:line="335" w:lineRule="auto"/>
        <w:rPr>
          <w:rFonts w:hint="eastAsia" w:ascii="黑体" w:hAnsi="黑体" w:eastAsia="黑体" w:cs="黑体"/>
          <w:sz w:val="32"/>
          <w:szCs w:val="32"/>
        </w:rPr>
      </w:pPr>
    </w:p>
    <w:p>
      <w:pPr>
        <w:pStyle w:val="4"/>
        <w:spacing w:before="102" w:line="224" w:lineRule="auto"/>
        <w:ind w:left="3216"/>
        <w:rPr>
          <w:rFonts w:hint="eastAsia" w:ascii="仿宋_GB2312" w:hAnsi="仿宋_GB2312" w:eastAsia="仿宋_GB2312" w:cs="仿宋_GB2312"/>
          <w:sz w:val="32"/>
          <w:szCs w:val="32"/>
        </w:rPr>
      </w:pPr>
    </w:p>
    <w:p>
      <w:r>
        <w:br w:type="page"/>
      </w:r>
    </w:p>
    <w:p>
      <w:pPr>
        <w:pStyle w:val="7"/>
        <w:sectPr>
          <w:footerReference r:id="rId3"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start="1"/>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p>
    <w:p>
      <w:pPr>
        <w:pStyle w:val="7"/>
        <w:rPr>
          <w:rFonts w:hint="eastAsia"/>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黑体" w:hAnsi="黑体" w:eastAsia="黑体" w:cs="黑体"/>
          <w:b/>
          <w:bCs/>
          <w:sz w:val="44"/>
          <w:szCs w:val="44"/>
        </w:rPr>
      </w:pPr>
      <w:r>
        <w:rPr>
          <w:rFonts w:hint="eastAsia" w:ascii="黑体" w:hAnsi="黑体" w:eastAsia="黑体" w:cs="黑体"/>
          <w:b/>
          <w:bCs/>
          <w:spacing w:val="6"/>
          <w:sz w:val="44"/>
          <w:szCs w:val="44"/>
        </w:rPr>
        <w:t>2023年度</w:t>
      </w:r>
      <w:r>
        <w:rPr>
          <w:rFonts w:hint="eastAsia" w:ascii="黑体" w:hAnsi="黑体" w:eastAsia="黑体" w:cs="黑体"/>
          <w:b/>
          <w:bCs/>
          <w:spacing w:val="6"/>
          <w:sz w:val="44"/>
          <w:szCs w:val="44"/>
          <w:lang w:eastAsia="zh-CN"/>
        </w:rPr>
        <w:t>华容县市场建设</w:t>
      </w:r>
      <w:r>
        <w:rPr>
          <w:rFonts w:hint="eastAsia" w:ascii="黑体" w:hAnsi="黑体" w:eastAsia="黑体" w:cs="黑体"/>
          <w:b/>
          <w:bCs/>
          <w:spacing w:val="6"/>
          <w:sz w:val="44"/>
          <w:szCs w:val="44"/>
          <w:lang w:val="en-US" w:eastAsia="zh-CN"/>
        </w:rPr>
        <w:t xml:space="preserve">               </w:t>
      </w:r>
      <w:r>
        <w:rPr>
          <w:rFonts w:hint="eastAsia" w:ascii="黑体" w:hAnsi="黑体" w:eastAsia="黑体" w:cs="黑体"/>
          <w:b/>
          <w:bCs/>
          <w:spacing w:val="6"/>
          <w:sz w:val="44"/>
          <w:szCs w:val="44"/>
          <w:lang w:eastAsia="zh-CN"/>
        </w:rPr>
        <w:t>服务中心</w:t>
      </w:r>
      <w:r>
        <w:rPr>
          <w:rFonts w:hint="eastAsia" w:ascii="黑体" w:hAnsi="黑体" w:eastAsia="黑体" w:cs="黑体"/>
          <w:b/>
          <w:bCs/>
          <w:spacing w:val="6"/>
          <w:sz w:val="44"/>
          <w:szCs w:val="44"/>
        </w:rPr>
        <w:t>整体支出</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黑体" w:hAnsi="黑体" w:eastAsia="黑体" w:cs="黑体"/>
          <w:b/>
          <w:bCs/>
          <w:sz w:val="44"/>
          <w:szCs w:val="44"/>
        </w:rPr>
      </w:pPr>
      <w:r>
        <w:rPr>
          <w:rFonts w:hint="eastAsia" w:ascii="黑体" w:hAnsi="黑体" w:eastAsia="黑体" w:cs="黑体"/>
          <w:b/>
          <w:bCs/>
          <w:spacing w:val="7"/>
          <w:sz w:val="44"/>
          <w:szCs w:val="44"/>
        </w:rPr>
        <w:t>绩效自评报告</w:t>
      </w:r>
    </w:p>
    <w:p>
      <w:pPr>
        <w:spacing w:line="283" w:lineRule="auto"/>
        <w:rPr>
          <w:rFonts w:ascii="Arial"/>
          <w:sz w:val="21"/>
        </w:rPr>
      </w:pPr>
    </w:p>
    <w:p>
      <w:pPr>
        <w:spacing w:line="284" w:lineRule="auto"/>
        <w:rPr>
          <w:rFonts w:ascii="Arial"/>
          <w:sz w:val="21"/>
        </w:rPr>
      </w:pPr>
    </w:p>
    <w:p>
      <w:pPr>
        <w:pStyle w:val="7"/>
      </w:pPr>
    </w:p>
    <w:p>
      <w:pPr>
        <w:keepNext w:val="0"/>
        <w:keepLines w:val="0"/>
        <w:pageBreakBefore w:val="0"/>
        <w:widowControl w:val="0"/>
        <w:numPr>
          <w:ilvl w:val="0"/>
          <w:numId w:val="0"/>
        </w:numPr>
        <w:kinsoku/>
        <w:wordWrap/>
        <w:overflowPunct/>
        <w:topLinePunct w:val="0"/>
        <w:autoSpaceDE/>
        <w:autoSpaceDN/>
        <w:bidi w:val="0"/>
        <w:adjustRightInd/>
        <w:snapToGrid/>
        <w:spacing w:before="101" w:line="560" w:lineRule="exact"/>
        <w:ind w:left="630" w:leftChars="0" w:firstLine="0" w:firstLineChars="0"/>
        <w:textAlignment w:val="auto"/>
        <w:rPr>
          <w:rFonts w:hint="eastAsia" w:ascii="黑体" w:hAnsi="黑体" w:eastAsia="黑体" w:cs="黑体"/>
          <w:b/>
          <w:bCs/>
          <w:spacing w:val="5"/>
          <w:sz w:val="32"/>
          <w:szCs w:val="32"/>
          <w:u w:val="none"/>
        </w:rPr>
      </w:pPr>
      <w:r>
        <w:rPr>
          <w:rFonts w:hint="eastAsia" w:ascii="黑体" w:hAnsi="黑体" w:eastAsia="黑体" w:cs="黑体"/>
          <w:b/>
          <w:bCs/>
          <w:spacing w:val="5"/>
          <w:kern w:val="2"/>
          <w:sz w:val="32"/>
          <w:szCs w:val="32"/>
          <w:lang w:val="en-US" w:eastAsia="zh-CN" w:bidi="ar-SA"/>
        </w:rPr>
        <w:t>一、</w:t>
      </w:r>
      <w:r>
        <w:rPr>
          <w:rFonts w:hint="eastAsia" w:ascii="黑体" w:hAnsi="黑体" w:eastAsia="黑体" w:cs="黑体"/>
          <w:b/>
          <w:bCs/>
          <w:spacing w:val="5"/>
          <w:sz w:val="32"/>
          <w:szCs w:val="32"/>
          <w:u w:val="none"/>
        </w:rPr>
        <w:t>部门基本情况</w:t>
      </w:r>
    </w:p>
    <w:p>
      <w:pPr>
        <w:keepNext w:val="0"/>
        <w:keepLines w:val="0"/>
        <w:pageBreakBefore w:val="0"/>
        <w:widowControl w:val="0"/>
        <w:numPr>
          <w:ilvl w:val="0"/>
          <w:numId w:val="0"/>
        </w:numPr>
        <w:kinsoku/>
        <w:wordWrap/>
        <w:overflowPunct/>
        <w:topLinePunct w:val="0"/>
        <w:autoSpaceDE/>
        <w:autoSpaceDN/>
        <w:bidi w:val="0"/>
        <w:adjustRightInd/>
        <w:snapToGrid/>
        <w:spacing w:before="101" w:line="560" w:lineRule="exact"/>
        <w:ind w:firstLine="660" w:firstLineChars="200"/>
        <w:textAlignment w:val="auto"/>
        <w:rPr>
          <w:rFonts w:hint="eastAsia" w:asciiTheme="minorEastAsia" w:hAnsiTheme="minorEastAsia" w:eastAsiaTheme="minorEastAsia" w:cstheme="minorEastAsia"/>
          <w:b w:val="0"/>
          <w:bCs w:val="0"/>
          <w:spacing w:val="22"/>
          <w:sz w:val="32"/>
          <w:szCs w:val="32"/>
          <w:lang w:val="en-US" w:eastAsia="zh-CN"/>
        </w:rPr>
      </w:pPr>
      <w:r>
        <w:rPr>
          <w:rFonts w:hint="eastAsia" w:asciiTheme="minorEastAsia" w:hAnsiTheme="minorEastAsia" w:eastAsiaTheme="minorEastAsia" w:cstheme="minorEastAsia"/>
          <w:spacing w:val="5"/>
          <w:sz w:val="32"/>
          <w:szCs w:val="32"/>
          <w:lang w:val="en-US" w:eastAsia="zh-CN"/>
        </w:rPr>
        <w:t>1、人员编制情况：华容县市场建设服务中心2023年编制人数54人、实有人数63人，内设办公室、人事股、财务室、安全股、建管股、征稽股6个股室。</w:t>
      </w:r>
    </w:p>
    <w:p>
      <w:pPr>
        <w:keepNext w:val="0"/>
        <w:keepLines w:val="0"/>
        <w:pageBreakBefore w:val="0"/>
        <w:widowControl w:val="0"/>
        <w:numPr>
          <w:ilvl w:val="0"/>
          <w:numId w:val="0"/>
        </w:numPr>
        <w:kinsoku/>
        <w:wordWrap/>
        <w:overflowPunct/>
        <w:topLinePunct w:val="0"/>
        <w:autoSpaceDE/>
        <w:autoSpaceDN/>
        <w:bidi w:val="0"/>
        <w:adjustRightInd/>
        <w:snapToGrid/>
        <w:spacing w:before="104" w:line="560" w:lineRule="exact"/>
        <w:textAlignment w:val="auto"/>
        <w:outlineLvl w:val="1"/>
        <w:rPr>
          <w:rFonts w:hint="eastAsia" w:asciiTheme="minorEastAsia" w:hAnsiTheme="minorEastAsia" w:eastAsiaTheme="minorEastAsia" w:cstheme="minorEastAsia"/>
          <w:b w:val="0"/>
          <w:bCs w:val="0"/>
          <w:spacing w:val="22"/>
          <w:sz w:val="32"/>
          <w:szCs w:val="32"/>
          <w:lang w:val="en-US" w:eastAsia="zh-CN"/>
        </w:rPr>
      </w:pPr>
      <w:r>
        <w:rPr>
          <w:rFonts w:hint="eastAsia" w:asciiTheme="minorEastAsia" w:hAnsiTheme="minorEastAsia" w:eastAsiaTheme="minorEastAsia" w:cstheme="minorEastAsia"/>
          <w:b w:val="0"/>
          <w:bCs w:val="0"/>
          <w:spacing w:val="22"/>
          <w:sz w:val="32"/>
          <w:szCs w:val="32"/>
          <w:lang w:val="en-US" w:eastAsia="zh-CN"/>
        </w:rPr>
        <w:t xml:space="preserve">   2、职能职责概述：</w:t>
      </w:r>
      <w:r>
        <w:rPr>
          <w:rFonts w:hint="eastAsia" w:asciiTheme="minorEastAsia" w:hAnsiTheme="minorEastAsia" w:eastAsiaTheme="minorEastAsia" w:cstheme="minorEastAsia"/>
          <w:kern w:val="0"/>
          <w:sz w:val="32"/>
          <w:szCs w:val="32"/>
        </w:rPr>
        <w:t>参与编制全县农贸市场发展规划，市场建设和日常经营行为监督管理，以及周边市容与环境卫生的监督管理，负责所辖农贸市场基本设施的维护维修工作。承担所辖市场物业管理费、有偿服务费及相关税费收缴的事务性工作。</w:t>
      </w:r>
    </w:p>
    <w:p>
      <w:pPr>
        <w:keepNext w:val="0"/>
        <w:keepLines w:val="0"/>
        <w:pageBreakBefore w:val="0"/>
        <w:widowControl w:val="0"/>
        <w:kinsoku/>
        <w:wordWrap/>
        <w:overflowPunct/>
        <w:topLinePunct w:val="0"/>
        <w:autoSpaceDE/>
        <w:autoSpaceDN w:val="0"/>
        <w:bidi w:val="0"/>
        <w:adjustRightInd/>
        <w:snapToGrid/>
        <w:spacing w:line="560" w:lineRule="exact"/>
        <w:ind w:firstLine="728" w:firstLineChars="200"/>
        <w:jc w:val="left"/>
        <w:textAlignment w:val="center"/>
        <w:rPr>
          <w:rFonts w:hint="eastAsia" w:asciiTheme="minorEastAsia" w:hAnsiTheme="minorEastAsia" w:eastAsiaTheme="minorEastAsia" w:cstheme="minorEastAsia"/>
          <w:color w:val="000000"/>
          <w:sz w:val="32"/>
          <w:szCs w:val="32"/>
        </w:rPr>
      </w:pPr>
      <w:r>
        <w:rPr>
          <w:rFonts w:hint="eastAsia" w:asciiTheme="minorEastAsia" w:hAnsiTheme="minorEastAsia" w:eastAsiaTheme="minorEastAsia" w:cstheme="minorEastAsia"/>
          <w:b w:val="0"/>
          <w:bCs w:val="0"/>
          <w:spacing w:val="22"/>
          <w:sz w:val="32"/>
          <w:szCs w:val="32"/>
          <w:lang w:val="en-US" w:eastAsia="zh-CN"/>
        </w:rPr>
        <w:t>3、年度主要工作内容：</w:t>
      </w:r>
      <w:r>
        <w:rPr>
          <w:rFonts w:hint="eastAsia" w:asciiTheme="minorEastAsia" w:hAnsiTheme="minorEastAsia" w:eastAsiaTheme="minorEastAsia" w:cstheme="minorEastAsia"/>
          <w:color w:val="000000"/>
          <w:sz w:val="32"/>
          <w:szCs w:val="32"/>
        </w:rPr>
        <w:t>对全县农贸市场的建设和日常经营行为进行监督管理。负责所辖市场各物业管理费、有偿服务费及相关税费收缴的事务性工作。负现所辖市场公用设施维修维护 ，及周边市常态化管理工作。</w:t>
      </w:r>
    </w:p>
    <w:p>
      <w:pPr>
        <w:keepNext w:val="0"/>
        <w:keepLines w:val="0"/>
        <w:pageBreakBefore w:val="0"/>
        <w:widowControl w:val="0"/>
        <w:kinsoku/>
        <w:wordWrap/>
        <w:overflowPunct/>
        <w:topLinePunct w:val="0"/>
        <w:autoSpaceDE/>
        <w:autoSpaceDN w:val="0"/>
        <w:bidi w:val="0"/>
        <w:adjustRightInd/>
        <w:snapToGrid/>
        <w:spacing w:line="560" w:lineRule="exact"/>
        <w:ind w:firstLine="632" w:firstLineChars="200"/>
        <w:jc w:val="left"/>
        <w:textAlignment w:val="center"/>
        <w:rPr>
          <w:rFonts w:hint="eastAsia" w:ascii="黑体" w:hAnsi="黑体" w:eastAsia="黑体" w:cs="黑体"/>
          <w:b/>
          <w:bCs/>
          <w:sz w:val="32"/>
          <w:szCs w:val="32"/>
        </w:rPr>
      </w:pPr>
      <w:r>
        <w:rPr>
          <w:rFonts w:hint="eastAsia" w:ascii="黑体" w:hAnsi="黑体" w:eastAsia="黑体" w:cs="黑体"/>
          <w:spacing w:val="-2"/>
          <w:sz w:val="32"/>
          <w:szCs w:val="32"/>
        </w:rPr>
        <w:t>二、</w:t>
      </w:r>
      <w:r>
        <w:rPr>
          <w:rFonts w:hint="eastAsia" w:ascii="黑体" w:hAnsi="黑体" w:eastAsia="黑体" w:cs="黑体"/>
          <w:b/>
          <w:bCs/>
          <w:spacing w:val="-2"/>
          <w:sz w:val="32"/>
          <w:szCs w:val="32"/>
        </w:rPr>
        <w:t>一般公共预算支出情况</w:t>
      </w:r>
    </w:p>
    <w:p>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（一）基本支出情况</w:t>
      </w:r>
    </w:p>
    <w:p>
      <w:pPr>
        <w:keepNext w:val="0"/>
        <w:keepLines w:val="0"/>
        <w:pageBreakBefore w:val="0"/>
        <w:widowControl w:val="0"/>
        <w:numPr>
          <w:ilvl w:val="0"/>
          <w:numId w:val="0"/>
        </w:numPr>
        <w:kinsoku w:val="0"/>
        <w:wordWrap/>
        <w:overflowPunct/>
        <w:topLinePunct w:val="0"/>
        <w:autoSpaceDE w:val="0"/>
        <w:autoSpaceDN w:val="0"/>
        <w:bidi w:val="0"/>
        <w:adjustRightInd w:val="0"/>
        <w:snapToGrid w:val="0"/>
        <w:spacing w:before="215" w:line="560" w:lineRule="exact"/>
        <w:ind w:firstLine="584" w:firstLineChars="200"/>
        <w:jc w:val="left"/>
        <w:textAlignment w:val="baseline"/>
        <w:outlineLvl w:val="1"/>
        <w:rPr>
          <w:rFonts w:hint="eastAsia" w:ascii="楷体" w:hAnsi="楷体" w:eastAsia="楷体" w:cs="楷体"/>
          <w:b/>
          <w:bCs/>
          <w:sz w:val="32"/>
          <w:szCs w:val="32"/>
        </w:rPr>
      </w:pPr>
      <w:r>
        <w:rPr>
          <w:rFonts w:hint="eastAsia" w:asciiTheme="minorEastAsia" w:hAnsiTheme="minorEastAsia" w:eastAsiaTheme="minorEastAsia" w:cstheme="minorEastAsia"/>
          <w:b w:val="0"/>
          <w:bCs w:val="0"/>
          <w:spacing w:val="-14"/>
          <w:sz w:val="32"/>
          <w:szCs w:val="32"/>
          <w:lang w:val="en-US" w:eastAsia="zh-CN"/>
        </w:rPr>
        <w:t xml:space="preserve">2023年度单位全年总支出890.12万元，其中人员经费714.13万元，公用经费支出175.99万元 。 </w:t>
      </w:r>
    </w:p>
    <w:p>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项目支出情况</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textAlignment w:val="auto"/>
        <w:rPr>
          <w:rFonts w:hint="eastAsia" w:asciiTheme="minorEastAsia" w:hAnsiTheme="minorEastAsia" w:eastAsiaTheme="minorEastAsia" w:cstheme="minorEastAsia"/>
          <w:b w:val="0"/>
          <w:bCs w:val="0"/>
          <w:sz w:val="32"/>
          <w:szCs w:val="32"/>
          <w:lang w:val="en-US" w:eastAsia="zh-CN"/>
        </w:rPr>
      </w:pPr>
      <w:r>
        <w:rPr>
          <w:rFonts w:hint="eastAsia" w:asciiTheme="minorEastAsia" w:hAnsiTheme="minorEastAsia" w:eastAsiaTheme="minorEastAsia" w:cstheme="minorEastAsia"/>
          <w:b w:val="0"/>
          <w:bCs w:val="0"/>
          <w:sz w:val="32"/>
          <w:szCs w:val="32"/>
          <w:lang w:val="en-US" w:eastAsia="zh-CN"/>
        </w:rPr>
        <w:t>2023年本单位没有项目支出</w:t>
      </w:r>
    </w:p>
    <w:p>
      <w:pPr>
        <w:keepNext w:val="0"/>
        <w:keepLines w:val="0"/>
        <w:pageBreakBefore w:val="0"/>
        <w:widowControl w:val="0"/>
        <w:numPr>
          <w:ilvl w:val="0"/>
          <w:numId w:val="0"/>
        </w:numPr>
        <w:wordWrap/>
        <w:overflowPunct/>
        <w:topLinePunct w:val="0"/>
        <w:bidi w:val="0"/>
        <w:spacing w:before="224" w:line="560" w:lineRule="exact"/>
        <w:ind w:left="630" w:leftChars="0" w:firstLine="0" w:firstLineChars="0"/>
        <w:rPr>
          <w:rFonts w:hint="eastAsia" w:ascii="黑体" w:hAnsi="黑体" w:eastAsia="黑体" w:cs="黑体"/>
          <w:b/>
          <w:bCs/>
          <w:spacing w:val="8"/>
          <w:sz w:val="32"/>
          <w:szCs w:val="32"/>
        </w:rPr>
      </w:pPr>
      <w:r>
        <w:rPr>
          <w:rFonts w:hint="eastAsia" w:ascii="黑体" w:hAnsi="黑体" w:eastAsia="黑体" w:cs="黑体"/>
          <w:b/>
          <w:bCs/>
          <w:spacing w:val="8"/>
          <w:kern w:val="2"/>
          <w:sz w:val="32"/>
          <w:szCs w:val="32"/>
          <w:lang w:val="en-US" w:eastAsia="zh-CN" w:bidi="ar-SA"/>
        </w:rPr>
        <w:t>三、</w:t>
      </w:r>
      <w:r>
        <w:rPr>
          <w:rFonts w:hint="eastAsia" w:ascii="黑体" w:hAnsi="黑体" w:eastAsia="黑体" w:cs="黑体"/>
          <w:b/>
          <w:bCs/>
          <w:spacing w:val="8"/>
          <w:sz w:val="32"/>
          <w:szCs w:val="32"/>
        </w:rPr>
        <w:t>政府性基金预算支出情况</w:t>
      </w:r>
    </w:p>
    <w:p>
      <w:pPr>
        <w:keepNext w:val="0"/>
        <w:keepLines w:val="0"/>
        <w:pageBreakBefore w:val="0"/>
        <w:widowControl w:val="0"/>
        <w:numPr>
          <w:ilvl w:val="0"/>
          <w:numId w:val="0"/>
        </w:numPr>
        <w:wordWrap/>
        <w:overflowPunct/>
        <w:topLinePunct w:val="0"/>
        <w:bidi w:val="0"/>
        <w:spacing w:before="224" w:line="560" w:lineRule="exact"/>
        <w:ind w:left="648" w:leftChars="0"/>
        <w:rPr>
          <w:rFonts w:hint="eastAsia" w:asciiTheme="minorEastAsia" w:hAnsiTheme="minorEastAsia" w:eastAsiaTheme="minorEastAsia" w:cstheme="minorEastAsia"/>
          <w:spacing w:val="8"/>
          <w:sz w:val="32"/>
          <w:szCs w:val="32"/>
          <w:lang w:val="en-US" w:eastAsia="zh-CN"/>
        </w:rPr>
      </w:pPr>
      <w:r>
        <w:rPr>
          <w:rFonts w:hint="eastAsia" w:asciiTheme="minorEastAsia" w:hAnsiTheme="minorEastAsia" w:eastAsiaTheme="minorEastAsia" w:cstheme="minorEastAsia"/>
          <w:spacing w:val="8"/>
          <w:sz w:val="32"/>
          <w:szCs w:val="32"/>
          <w:lang w:val="en-US" w:eastAsia="zh-CN"/>
        </w:rPr>
        <w:t>2023年度本单位没有政府性基金预算支出。</w:t>
      </w:r>
    </w:p>
    <w:p>
      <w:pPr>
        <w:keepNext w:val="0"/>
        <w:keepLines w:val="0"/>
        <w:pageBreakBefore w:val="0"/>
        <w:widowControl w:val="0"/>
        <w:numPr>
          <w:ilvl w:val="0"/>
          <w:numId w:val="0"/>
        </w:numPr>
        <w:wordWrap/>
        <w:overflowPunct/>
        <w:topLinePunct w:val="0"/>
        <w:bidi w:val="0"/>
        <w:spacing w:before="219" w:line="560" w:lineRule="exact"/>
        <w:ind w:left="630" w:leftChars="0" w:firstLine="0" w:firstLineChars="0"/>
        <w:rPr>
          <w:rFonts w:hint="eastAsia" w:ascii="黑体" w:hAnsi="黑体" w:eastAsia="黑体" w:cs="黑体"/>
          <w:b/>
          <w:bCs/>
          <w:spacing w:val="7"/>
          <w:position w:val="21"/>
          <w:sz w:val="32"/>
          <w:szCs w:val="32"/>
        </w:rPr>
      </w:pPr>
      <w:r>
        <w:rPr>
          <w:rFonts w:hint="eastAsia" w:ascii="黑体" w:hAnsi="黑体" w:eastAsia="黑体" w:cs="黑体"/>
          <w:b/>
          <w:bCs/>
          <w:spacing w:val="7"/>
          <w:kern w:val="2"/>
          <w:position w:val="21"/>
          <w:sz w:val="32"/>
          <w:szCs w:val="32"/>
          <w:lang w:val="en-US" w:eastAsia="zh-CN" w:bidi="ar-SA"/>
        </w:rPr>
        <w:t>四、</w:t>
      </w:r>
      <w:r>
        <w:rPr>
          <w:rFonts w:hint="eastAsia" w:ascii="黑体" w:hAnsi="黑体" w:eastAsia="黑体" w:cs="黑体"/>
          <w:b/>
          <w:bCs/>
          <w:spacing w:val="7"/>
          <w:position w:val="21"/>
          <w:sz w:val="32"/>
          <w:szCs w:val="32"/>
        </w:rPr>
        <w:t>国有资本经营预算支出情况</w:t>
      </w:r>
    </w:p>
    <w:p>
      <w:pPr>
        <w:keepNext w:val="0"/>
        <w:keepLines w:val="0"/>
        <w:pageBreakBefore w:val="0"/>
        <w:widowControl w:val="0"/>
        <w:numPr>
          <w:ilvl w:val="0"/>
          <w:numId w:val="0"/>
        </w:numPr>
        <w:wordWrap/>
        <w:overflowPunct/>
        <w:topLinePunct w:val="0"/>
        <w:bidi w:val="0"/>
        <w:spacing w:before="219" w:line="560" w:lineRule="exact"/>
        <w:ind w:left="648" w:leftChars="0"/>
        <w:rPr>
          <w:rFonts w:hint="eastAsia" w:asciiTheme="minorEastAsia" w:hAnsiTheme="minorEastAsia" w:eastAsiaTheme="minorEastAsia" w:cstheme="minorEastAsia"/>
          <w:spacing w:val="7"/>
          <w:position w:val="21"/>
          <w:sz w:val="32"/>
          <w:szCs w:val="32"/>
          <w:lang w:eastAsia="zh-CN"/>
        </w:rPr>
      </w:pPr>
      <w:r>
        <w:rPr>
          <w:rFonts w:hint="eastAsia" w:asciiTheme="minorEastAsia" w:hAnsiTheme="minorEastAsia" w:eastAsiaTheme="minorEastAsia" w:cstheme="minorEastAsia"/>
          <w:spacing w:val="7"/>
          <w:position w:val="21"/>
          <w:sz w:val="32"/>
          <w:szCs w:val="32"/>
          <w:lang w:eastAsia="zh-CN"/>
        </w:rPr>
        <w:t>无</w:t>
      </w:r>
    </w:p>
    <w:p>
      <w:pPr>
        <w:keepNext w:val="0"/>
        <w:keepLines w:val="0"/>
        <w:pageBreakBefore w:val="0"/>
        <w:widowControl w:val="0"/>
        <w:numPr>
          <w:ilvl w:val="0"/>
          <w:numId w:val="0"/>
        </w:numPr>
        <w:wordWrap/>
        <w:overflowPunct/>
        <w:topLinePunct w:val="0"/>
        <w:bidi w:val="0"/>
        <w:spacing w:line="560" w:lineRule="exact"/>
        <w:ind w:left="630" w:leftChars="0" w:firstLine="0" w:firstLineChars="0"/>
        <w:rPr>
          <w:rFonts w:hint="eastAsia" w:ascii="黑体" w:hAnsi="黑体" w:eastAsia="黑体" w:cs="黑体"/>
          <w:b/>
          <w:bCs/>
          <w:spacing w:val="8"/>
          <w:sz w:val="32"/>
          <w:szCs w:val="32"/>
        </w:rPr>
      </w:pPr>
      <w:r>
        <w:rPr>
          <w:rFonts w:hint="eastAsia" w:ascii="黑体" w:hAnsi="黑体" w:eastAsia="黑体" w:cs="黑体"/>
          <w:b/>
          <w:bCs/>
          <w:spacing w:val="8"/>
          <w:kern w:val="2"/>
          <w:sz w:val="32"/>
          <w:szCs w:val="32"/>
          <w:lang w:val="en-US" w:eastAsia="zh-CN" w:bidi="ar-SA"/>
        </w:rPr>
        <w:t>五、</w:t>
      </w:r>
      <w:r>
        <w:rPr>
          <w:rFonts w:hint="eastAsia" w:ascii="黑体" w:hAnsi="黑体" w:eastAsia="黑体" w:cs="黑体"/>
          <w:b/>
          <w:bCs/>
          <w:spacing w:val="8"/>
          <w:sz w:val="32"/>
          <w:szCs w:val="32"/>
        </w:rPr>
        <w:t>社会保险基金预算支出情况</w:t>
      </w:r>
    </w:p>
    <w:p>
      <w:pPr>
        <w:keepNext w:val="0"/>
        <w:keepLines w:val="0"/>
        <w:pageBreakBefore w:val="0"/>
        <w:widowControl w:val="0"/>
        <w:numPr>
          <w:ilvl w:val="0"/>
          <w:numId w:val="0"/>
        </w:numPr>
        <w:wordWrap/>
        <w:overflowPunct/>
        <w:topLinePunct w:val="0"/>
        <w:bidi w:val="0"/>
        <w:spacing w:line="560" w:lineRule="exact"/>
        <w:ind w:left="648" w:leftChars="0"/>
        <w:rPr>
          <w:rFonts w:hint="eastAsia" w:ascii="黑体" w:hAnsi="黑体" w:eastAsia="黑体" w:cs="黑体"/>
          <w:spacing w:val="8"/>
          <w:sz w:val="32"/>
          <w:szCs w:val="32"/>
          <w:lang w:eastAsia="zh-CN"/>
        </w:rPr>
      </w:pPr>
      <w:r>
        <w:rPr>
          <w:rFonts w:hint="eastAsia" w:ascii="黑体" w:hAnsi="黑体" w:eastAsia="黑体" w:cs="黑体"/>
          <w:spacing w:val="8"/>
          <w:sz w:val="32"/>
          <w:szCs w:val="32"/>
          <w:lang w:eastAsia="zh-CN"/>
        </w:rPr>
        <w:t>无</w:t>
      </w:r>
    </w:p>
    <w:p>
      <w:pPr>
        <w:keepNext w:val="0"/>
        <w:keepLines w:val="0"/>
        <w:pageBreakBefore w:val="0"/>
        <w:widowControl w:val="0"/>
        <w:numPr>
          <w:ilvl w:val="0"/>
          <w:numId w:val="0"/>
        </w:numPr>
        <w:wordWrap/>
        <w:overflowPunct/>
        <w:topLinePunct w:val="0"/>
        <w:bidi w:val="0"/>
        <w:spacing w:before="219" w:line="560" w:lineRule="exact"/>
        <w:ind w:left="630" w:leftChars="0" w:firstLine="0" w:firstLineChars="0"/>
        <w:rPr>
          <w:rFonts w:hint="eastAsia" w:ascii="黑体" w:hAnsi="黑体" w:eastAsia="黑体" w:cs="黑体"/>
          <w:b/>
          <w:bCs/>
          <w:spacing w:val="8"/>
          <w:sz w:val="32"/>
          <w:szCs w:val="32"/>
        </w:rPr>
      </w:pPr>
      <w:r>
        <w:rPr>
          <w:rFonts w:hint="eastAsia" w:ascii="黑体" w:hAnsi="黑体" w:eastAsia="黑体" w:cs="黑体"/>
          <w:b/>
          <w:bCs/>
          <w:spacing w:val="8"/>
          <w:kern w:val="2"/>
          <w:sz w:val="32"/>
          <w:szCs w:val="32"/>
          <w:lang w:val="en-US" w:eastAsia="zh-CN" w:bidi="ar-SA"/>
        </w:rPr>
        <w:t>六、</w:t>
      </w:r>
      <w:r>
        <w:rPr>
          <w:rFonts w:hint="eastAsia" w:ascii="黑体" w:hAnsi="黑体" w:eastAsia="黑体" w:cs="黑体"/>
          <w:b/>
          <w:bCs/>
          <w:spacing w:val="8"/>
          <w:sz w:val="32"/>
          <w:szCs w:val="32"/>
        </w:rPr>
        <w:t>部门整体支出绩效情况</w:t>
      </w:r>
    </w:p>
    <w:p>
      <w:pPr>
        <w:keepNext w:val="0"/>
        <w:keepLines w:val="0"/>
        <w:pageBreakBefore w:val="0"/>
        <w:widowControl w:val="0"/>
        <w:wordWrap/>
        <w:overflowPunct/>
        <w:topLinePunct w:val="0"/>
        <w:bidi w:val="0"/>
        <w:spacing w:line="560" w:lineRule="exact"/>
        <w:ind w:firstLine="640" w:firstLineChars="200"/>
        <w:rPr>
          <w:rFonts w:hint="eastAsia" w:asciiTheme="minorEastAsia" w:hAnsiTheme="minorEastAsia" w:eastAsiaTheme="minorEastAsia" w:cstheme="minorEastAsia"/>
          <w:bCs/>
          <w:sz w:val="32"/>
          <w:szCs w:val="32"/>
        </w:rPr>
      </w:pPr>
      <w:r>
        <w:rPr>
          <w:rFonts w:hint="eastAsia" w:asciiTheme="minorEastAsia" w:hAnsiTheme="minorEastAsia" w:eastAsiaTheme="minorEastAsia" w:cstheme="minorEastAsia"/>
          <w:bCs/>
          <w:sz w:val="32"/>
          <w:szCs w:val="32"/>
        </w:rPr>
        <w:t>整体绩效情况：</w:t>
      </w:r>
      <w:r>
        <w:rPr>
          <w:rFonts w:hint="eastAsia" w:asciiTheme="minorEastAsia" w:hAnsiTheme="minorEastAsia" w:eastAsiaTheme="minorEastAsia" w:cstheme="minorEastAsia"/>
          <w:bCs/>
          <w:sz w:val="32"/>
          <w:szCs w:val="32"/>
          <w:lang w:val="en-US" w:eastAsia="zh-CN"/>
        </w:rPr>
        <w:t>1、</w:t>
      </w:r>
      <w:r>
        <w:rPr>
          <w:rFonts w:hint="eastAsia" w:asciiTheme="minorEastAsia" w:hAnsiTheme="minorEastAsia" w:eastAsiaTheme="minorEastAsia" w:cstheme="minorEastAsia"/>
          <w:bCs/>
          <w:sz w:val="32"/>
          <w:szCs w:val="32"/>
        </w:rPr>
        <w:t>本单位</w:t>
      </w:r>
      <w:r>
        <w:rPr>
          <w:rFonts w:hint="eastAsia" w:asciiTheme="minorEastAsia" w:hAnsiTheme="minorEastAsia" w:eastAsiaTheme="minorEastAsia" w:cstheme="minorEastAsia"/>
          <w:bCs/>
          <w:sz w:val="32"/>
          <w:szCs w:val="32"/>
          <w:lang w:eastAsia="zh-CN"/>
        </w:rPr>
        <w:t>建立健全《财务管理制度》，以保证日常工作的正常开展，确保责任制各项规定落到实处，在“三重一大”等工作上做到及时报告，及时请示，自觉接受监督和指导，</w:t>
      </w:r>
      <w:r>
        <w:rPr>
          <w:rFonts w:hint="eastAsia" w:asciiTheme="minorEastAsia" w:hAnsiTheme="minorEastAsia" w:eastAsiaTheme="minorEastAsia" w:cstheme="minorEastAsia"/>
          <w:bCs/>
          <w:sz w:val="32"/>
          <w:szCs w:val="32"/>
        </w:rPr>
        <w:t>严格按相关财务制度执行</w:t>
      </w:r>
      <w:r>
        <w:rPr>
          <w:rFonts w:hint="eastAsia" w:asciiTheme="minorEastAsia" w:hAnsiTheme="minorEastAsia" w:eastAsiaTheme="minorEastAsia" w:cstheme="minorEastAsia"/>
          <w:bCs/>
          <w:sz w:val="32"/>
          <w:szCs w:val="32"/>
          <w:lang w:eastAsia="zh-CN"/>
        </w:rPr>
        <w:t>。</w:t>
      </w:r>
      <w:r>
        <w:rPr>
          <w:rFonts w:hint="eastAsia" w:asciiTheme="minorEastAsia" w:hAnsiTheme="minorEastAsia" w:eastAsiaTheme="minorEastAsia" w:cstheme="minorEastAsia"/>
          <w:bCs/>
          <w:sz w:val="32"/>
          <w:szCs w:val="32"/>
          <w:lang w:val="en-US" w:eastAsia="zh-CN"/>
        </w:rPr>
        <w:t>2、预算资金的管理。认真做好年度财政资金的预算编制工作，按照政府采购目录及采购限额标准编制政府采购预算，做到应编尽编。严格控制预算资金的管理和使用，做到专款专用，将财政资金效用发挥至最大。3、资产管理情况。严格按照本单位制定的固定资产管理办法，做好固定资产的购置、验收、领用、变更、处置等工作，建立资产管理卡片，及时更新资产管理信息系统数据，做到账实相符、账卡相符。维护了国有资产的安全和完整，提高国有资产的使用效益，资产利用率达到100%。4、</w:t>
      </w:r>
      <w:r>
        <w:rPr>
          <w:rFonts w:hint="eastAsia" w:asciiTheme="minorEastAsia" w:hAnsiTheme="minorEastAsia" w:eastAsiaTheme="minorEastAsia" w:cstheme="minorEastAsia"/>
          <w:bCs/>
          <w:sz w:val="32"/>
          <w:szCs w:val="32"/>
        </w:rPr>
        <w:t>加强绩效管理，精心组织预决算编报、审核等工作。市场中心全体干部职工在县委县政府的正确领导下，聚焦“六稳”“六保”，在坚持疫情防控</w:t>
      </w:r>
      <w:r>
        <w:rPr>
          <w:rFonts w:hint="eastAsia" w:asciiTheme="minorEastAsia" w:hAnsiTheme="minorEastAsia" w:eastAsiaTheme="minorEastAsia" w:cstheme="minorEastAsia"/>
          <w:bCs/>
          <w:sz w:val="32"/>
          <w:szCs w:val="32"/>
          <w:lang w:eastAsia="zh-CN"/>
        </w:rPr>
        <w:t>、文明创建、</w:t>
      </w:r>
      <w:r>
        <w:rPr>
          <w:rFonts w:hint="eastAsia" w:asciiTheme="minorEastAsia" w:hAnsiTheme="minorEastAsia" w:eastAsiaTheme="minorEastAsia" w:cstheme="minorEastAsia"/>
          <w:bCs/>
          <w:sz w:val="32"/>
          <w:szCs w:val="32"/>
        </w:rPr>
        <w:t>和市场管理工作</w:t>
      </w:r>
      <w:r>
        <w:rPr>
          <w:rFonts w:hint="eastAsia" w:asciiTheme="minorEastAsia" w:hAnsiTheme="minorEastAsia" w:eastAsiaTheme="minorEastAsia" w:cstheme="minorEastAsia"/>
          <w:bCs/>
          <w:sz w:val="32"/>
          <w:szCs w:val="32"/>
          <w:lang w:eastAsia="zh-CN"/>
        </w:rPr>
        <w:t>三管齐下</w:t>
      </w:r>
      <w:r>
        <w:rPr>
          <w:rFonts w:hint="eastAsia" w:asciiTheme="minorEastAsia" w:hAnsiTheme="minorEastAsia" w:eastAsiaTheme="minorEastAsia" w:cstheme="minorEastAsia"/>
          <w:bCs/>
          <w:sz w:val="32"/>
          <w:szCs w:val="32"/>
        </w:rPr>
        <w:t>作战的情况下，团洁一心，敢打敢拼，在逆境中艰难前行，破解了一系列难题，较好地完成了市场建设管理服务各项工作和县委县政府及城管局交办的各项中心工作任务。</w:t>
      </w:r>
    </w:p>
    <w:p>
      <w:pPr>
        <w:keepNext w:val="0"/>
        <w:keepLines w:val="0"/>
        <w:pageBreakBefore w:val="0"/>
        <w:widowControl w:val="0"/>
        <w:wordWrap/>
        <w:overflowPunct/>
        <w:topLinePunct w:val="0"/>
        <w:bidi w:val="0"/>
        <w:spacing w:line="560" w:lineRule="exact"/>
        <w:ind w:firstLine="643" w:firstLineChars="200"/>
        <w:rPr>
          <w:rFonts w:hint="eastAsia" w:ascii="黑体" w:hAnsi="黑体" w:eastAsia="黑体" w:cs="黑体"/>
          <w:b/>
          <w:bCs w:val="0"/>
          <w:sz w:val="32"/>
          <w:szCs w:val="32"/>
          <w:lang w:eastAsia="zh-CN"/>
        </w:rPr>
      </w:pPr>
      <w:r>
        <w:rPr>
          <w:rFonts w:hint="eastAsia" w:ascii="黑体" w:hAnsi="黑体" w:eastAsia="黑体" w:cs="黑体"/>
          <w:b/>
          <w:bCs w:val="0"/>
          <w:sz w:val="32"/>
          <w:szCs w:val="32"/>
          <w:lang w:eastAsia="zh-CN"/>
        </w:rPr>
        <w:t>七、存在的问题及原因分析</w:t>
      </w:r>
    </w:p>
    <w:p>
      <w:pPr>
        <w:keepNext w:val="0"/>
        <w:keepLines w:val="0"/>
        <w:pageBreakBefore w:val="0"/>
        <w:widowControl w:val="0"/>
        <w:wordWrap/>
        <w:overflowPunct/>
        <w:topLinePunct w:val="0"/>
        <w:bidi w:val="0"/>
        <w:spacing w:line="560" w:lineRule="exact"/>
        <w:ind w:firstLine="640" w:firstLineChars="200"/>
        <w:rPr>
          <w:rFonts w:hint="eastAsia" w:ascii="宋体" w:hAnsi="宋体" w:eastAsia="宋体" w:cs="宋体"/>
          <w:spacing w:val="9"/>
          <w:position w:val="21"/>
          <w:sz w:val="32"/>
          <w:szCs w:val="32"/>
        </w:rPr>
      </w:pPr>
      <w:r>
        <w:rPr>
          <w:rFonts w:hint="eastAsia" w:ascii="宋体" w:hAnsi="宋体" w:eastAsia="宋体" w:cs="宋体"/>
          <w:bCs/>
          <w:sz w:val="32"/>
          <w:szCs w:val="32"/>
        </w:rPr>
        <w:t>存在的问题：资金不能及时到位，日常维护不能及时到位，工作难度大，市场公用设施维护属于日常化动态管理，致使无法编制设施计划。</w:t>
      </w:r>
    </w:p>
    <w:p>
      <w:pPr>
        <w:keepNext w:val="0"/>
        <w:keepLines w:val="0"/>
        <w:pageBreakBefore w:val="0"/>
        <w:widowControl w:val="0"/>
        <w:numPr>
          <w:ilvl w:val="0"/>
          <w:numId w:val="0"/>
        </w:numPr>
        <w:wordWrap/>
        <w:overflowPunct/>
        <w:topLinePunct w:val="0"/>
        <w:bidi w:val="0"/>
        <w:spacing w:line="560" w:lineRule="exact"/>
        <w:ind w:firstLine="675" w:firstLineChars="200"/>
        <w:rPr>
          <w:rFonts w:hint="eastAsia" w:ascii="黑体" w:hAnsi="黑体" w:eastAsia="黑体" w:cs="黑体"/>
          <w:b/>
          <w:bCs/>
          <w:spacing w:val="8"/>
          <w:sz w:val="32"/>
          <w:szCs w:val="32"/>
        </w:rPr>
      </w:pPr>
      <w:r>
        <w:rPr>
          <w:rFonts w:hint="eastAsia" w:ascii="黑体" w:hAnsi="黑体" w:eastAsia="黑体" w:cs="黑体"/>
          <w:b/>
          <w:bCs/>
          <w:spacing w:val="8"/>
          <w:kern w:val="2"/>
          <w:sz w:val="32"/>
          <w:szCs w:val="32"/>
          <w:lang w:val="en-US" w:eastAsia="zh-CN" w:bidi="ar-SA"/>
        </w:rPr>
        <w:t>八、</w:t>
      </w:r>
      <w:r>
        <w:rPr>
          <w:rFonts w:hint="eastAsia" w:ascii="黑体" w:hAnsi="黑体" w:eastAsia="黑体" w:cs="黑体"/>
          <w:b/>
          <w:bCs/>
          <w:spacing w:val="8"/>
          <w:sz w:val="32"/>
          <w:szCs w:val="32"/>
        </w:rPr>
        <w:t>下一步改进措施</w:t>
      </w:r>
    </w:p>
    <w:p>
      <w:pPr>
        <w:keepNext w:val="0"/>
        <w:keepLines w:val="0"/>
        <w:pageBreakBefore w:val="0"/>
        <w:widowControl w:val="0"/>
        <w:wordWrap/>
        <w:overflowPunct/>
        <w:topLinePunct w:val="0"/>
        <w:bidi w:val="0"/>
        <w:spacing w:line="560" w:lineRule="exact"/>
        <w:ind w:firstLine="640" w:firstLineChars="200"/>
        <w:rPr>
          <w:rFonts w:hint="eastAsia" w:ascii="黑体" w:hAnsi="黑体" w:eastAsia="黑体" w:cs="黑体"/>
          <w:spacing w:val="8"/>
          <w:sz w:val="32"/>
          <w:szCs w:val="32"/>
        </w:rPr>
      </w:pPr>
      <w:r>
        <w:rPr>
          <w:rFonts w:hint="eastAsia" w:ascii="宋体" w:hAnsi="宋体" w:eastAsia="宋体" w:cs="宋体"/>
          <w:bCs/>
          <w:sz w:val="32"/>
          <w:szCs w:val="32"/>
        </w:rPr>
        <w:t>改进措施和建议：加大财政投入，多加宣传集贸市场卫生、秩序等管理工作，进一步同章华镇和各社区沟通协调，尽可能编制与实际工作相符的市场公用设施维修维护实施计划。</w:t>
      </w:r>
    </w:p>
    <w:p>
      <w:pPr>
        <w:keepNext w:val="0"/>
        <w:keepLines w:val="0"/>
        <w:pageBreakBefore w:val="0"/>
        <w:widowControl w:val="0"/>
        <w:numPr>
          <w:ilvl w:val="0"/>
          <w:numId w:val="2"/>
        </w:numPr>
        <w:wordWrap/>
        <w:overflowPunct/>
        <w:topLinePunct w:val="0"/>
        <w:bidi w:val="0"/>
        <w:spacing w:before="219" w:line="560" w:lineRule="exact"/>
        <w:ind w:left="650"/>
        <w:rPr>
          <w:rFonts w:hint="eastAsia" w:ascii="黑体" w:hAnsi="黑体" w:eastAsia="黑体" w:cs="黑体"/>
          <w:b/>
          <w:bCs/>
          <w:spacing w:val="8"/>
          <w:position w:val="21"/>
          <w:sz w:val="32"/>
          <w:szCs w:val="32"/>
        </w:rPr>
      </w:pPr>
      <w:r>
        <w:rPr>
          <w:rFonts w:hint="eastAsia" w:ascii="黑体" w:hAnsi="黑体" w:eastAsia="黑体" w:cs="黑体"/>
          <w:b/>
          <w:bCs/>
          <w:spacing w:val="9"/>
          <w:position w:val="21"/>
          <w:sz w:val="32"/>
          <w:szCs w:val="32"/>
        </w:rPr>
        <w:t>部门整体支出绩效自评结果拟应用和公开</w:t>
      </w:r>
      <w:r>
        <w:rPr>
          <w:rFonts w:hint="eastAsia" w:ascii="黑体" w:hAnsi="黑体" w:eastAsia="黑体" w:cs="黑体"/>
          <w:b/>
          <w:bCs/>
          <w:spacing w:val="8"/>
          <w:position w:val="21"/>
          <w:sz w:val="32"/>
          <w:szCs w:val="32"/>
        </w:rPr>
        <w:t>情况</w:t>
      </w:r>
    </w:p>
    <w:p>
      <w:pPr>
        <w:keepNext w:val="0"/>
        <w:keepLines w:val="0"/>
        <w:pageBreakBefore w:val="0"/>
        <w:widowControl w:val="0"/>
        <w:numPr>
          <w:ilvl w:val="0"/>
          <w:numId w:val="0"/>
        </w:numPr>
        <w:wordWrap/>
        <w:overflowPunct/>
        <w:topLinePunct w:val="0"/>
        <w:bidi w:val="0"/>
        <w:spacing w:before="219" w:line="560" w:lineRule="exact"/>
        <w:ind w:firstLine="672" w:firstLineChars="200"/>
        <w:rPr>
          <w:rFonts w:hint="default" w:asciiTheme="minorEastAsia" w:hAnsiTheme="minorEastAsia" w:eastAsiaTheme="minorEastAsia" w:cstheme="minorEastAsia"/>
          <w:b w:val="0"/>
          <w:bCs w:val="0"/>
          <w:spacing w:val="8"/>
          <w:position w:val="21"/>
          <w:sz w:val="32"/>
          <w:szCs w:val="32"/>
          <w:lang w:val="en-US" w:eastAsia="zh-CN"/>
        </w:rPr>
      </w:pPr>
      <w:r>
        <w:rPr>
          <w:rFonts w:hint="eastAsia" w:asciiTheme="minorEastAsia" w:hAnsiTheme="minorEastAsia" w:eastAsiaTheme="minorEastAsia" w:cstheme="minorEastAsia"/>
          <w:b w:val="0"/>
          <w:bCs w:val="0"/>
          <w:spacing w:val="8"/>
          <w:position w:val="21"/>
          <w:sz w:val="32"/>
          <w:szCs w:val="32"/>
          <w:lang w:eastAsia="zh-CN"/>
        </w:rPr>
        <w:t>本单位严格遵照财政对绩效自评各项要求，对单位</w:t>
      </w:r>
      <w:r>
        <w:rPr>
          <w:rFonts w:hint="eastAsia" w:asciiTheme="minorEastAsia" w:hAnsiTheme="minorEastAsia" w:eastAsiaTheme="minorEastAsia" w:cstheme="minorEastAsia"/>
          <w:b w:val="0"/>
          <w:bCs w:val="0"/>
          <w:spacing w:val="8"/>
          <w:position w:val="21"/>
          <w:sz w:val="32"/>
          <w:szCs w:val="32"/>
          <w:lang w:val="en-US" w:eastAsia="zh-CN"/>
        </w:rPr>
        <w:t>2023年度部门整体支出、专项支出进行了绩效自评，自评结果92分。自评过程中总结出今后单位还需不断改进和完善绩效自评制度，多收集意见和建议，制定改进方案和措施，优化绩效自评制度，提高科学性和公正性。</w:t>
      </w:r>
    </w:p>
    <w:p>
      <w:pPr>
        <w:keepNext w:val="0"/>
        <w:keepLines w:val="0"/>
        <w:pageBreakBefore w:val="0"/>
        <w:widowControl w:val="0"/>
        <w:wordWrap/>
        <w:overflowPunct/>
        <w:topLinePunct w:val="0"/>
        <w:bidi w:val="0"/>
        <w:spacing w:line="560" w:lineRule="exact"/>
        <w:ind w:left="647"/>
        <w:rPr>
          <w:rFonts w:hint="eastAsia" w:ascii="黑体" w:hAnsi="黑体" w:eastAsia="黑体" w:cs="黑体"/>
          <w:b/>
          <w:bCs/>
          <w:spacing w:val="-3"/>
          <w:sz w:val="32"/>
          <w:szCs w:val="32"/>
        </w:rPr>
      </w:pPr>
      <w:r>
        <w:rPr>
          <w:rFonts w:hint="eastAsia" w:ascii="黑体" w:hAnsi="黑体" w:eastAsia="黑体" w:cs="黑体"/>
          <w:b/>
          <w:bCs/>
          <w:spacing w:val="-3"/>
          <w:sz w:val="32"/>
          <w:szCs w:val="32"/>
        </w:rPr>
        <w:t>十、其他需要说明的情况</w:t>
      </w:r>
    </w:p>
    <w:p>
      <w:pPr>
        <w:keepNext w:val="0"/>
        <w:keepLines w:val="0"/>
        <w:pageBreakBefore w:val="0"/>
        <w:widowControl w:val="0"/>
        <w:wordWrap/>
        <w:overflowPunct/>
        <w:topLinePunct w:val="0"/>
        <w:bidi w:val="0"/>
        <w:spacing w:line="560" w:lineRule="exact"/>
        <w:ind w:left="647"/>
        <w:rPr>
          <w:rFonts w:hint="eastAsia" w:ascii="黑体" w:hAnsi="黑体" w:eastAsia="黑体" w:cs="黑体"/>
          <w:spacing w:val="-3"/>
          <w:sz w:val="32"/>
          <w:szCs w:val="32"/>
          <w:lang w:val="en-US" w:eastAsia="zh-CN"/>
        </w:rPr>
      </w:pPr>
      <w:r>
        <w:rPr>
          <w:rFonts w:hint="eastAsia" w:ascii="黑体" w:hAnsi="黑体" w:eastAsia="黑体" w:cs="黑体"/>
          <w:spacing w:val="-3"/>
          <w:sz w:val="32"/>
          <w:szCs w:val="32"/>
          <w:lang w:val="en-US" w:eastAsia="zh-CN"/>
        </w:rPr>
        <w:t>无</w:t>
      </w:r>
    </w:p>
    <w:p>
      <w:pPr>
        <w:rPr>
          <w:rFonts w:ascii="黑体" w:hAnsi="黑体" w:eastAsia="黑体" w:cs="黑体"/>
          <w:spacing w:val="-3"/>
          <w:sz w:val="31"/>
          <w:szCs w:val="31"/>
        </w:rPr>
      </w:pPr>
      <w:r>
        <w:rPr>
          <w:rFonts w:ascii="黑体" w:hAnsi="黑体" w:eastAsia="黑体" w:cs="黑体"/>
          <w:spacing w:val="-3"/>
          <w:sz w:val="31"/>
          <w:szCs w:val="31"/>
        </w:rPr>
        <w:br w:type="page"/>
      </w:r>
    </w:p>
    <w:p>
      <w:pPr>
        <w:jc w:val="both"/>
        <w:rPr>
          <w:rFonts w:hint="default" w:ascii="Times New Roman" w:hAnsi="Times New Roman" w:eastAsia="方正小标宋_GBK" w:cs="Times New Roman"/>
          <w:sz w:val="52"/>
          <w:szCs w:val="52"/>
        </w:rPr>
        <w:sectPr>
          <w:footerReference r:id="rId4" w:type="default"/>
          <w:pgSz w:w="11905" w:h="16838"/>
          <w:pgMar w:top="1984" w:right="1701" w:bottom="1984" w:left="1701" w:header="850" w:footer="992" w:gutter="0"/>
          <w:pgBorders>
            <w:top w:val="none" w:sz="0" w:space="0"/>
            <w:left w:val="none" w:sz="0" w:space="0"/>
            <w:bottom w:val="none" w:sz="0" w:space="0"/>
            <w:right w:val="none" w:sz="0" w:space="0"/>
          </w:pgBorders>
          <w:pgNumType w:fmt="numberInDash"/>
          <w:cols w:space="0" w:num="1"/>
          <w:rtlGutter w:val="0"/>
          <w:docGrid w:type="lines" w:linePitch="314" w:charSpace="0"/>
        </w:sectPr>
      </w:pP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4</w:t>
      </w:r>
    </w:p>
    <w:p>
      <w:pPr>
        <w:pStyle w:val="7"/>
        <w:keepNext w:val="0"/>
        <w:keepLines w:val="0"/>
        <w:pageBreakBefore w:val="0"/>
        <w:widowControl w:val="0"/>
        <w:kinsoku/>
        <w:wordWrap/>
        <w:overflowPunct/>
        <w:topLinePunct w:val="0"/>
        <w:autoSpaceDE/>
        <w:autoSpaceDN/>
        <w:bidi w:val="0"/>
        <w:adjustRightInd/>
        <w:snapToGrid w:val="0"/>
        <w:spacing w:line="580" w:lineRule="exact"/>
        <w:textAlignment w:val="auto"/>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楷体_GBK" w:hAnsi="方正楷体_GBK" w:eastAsia="方正楷体_GBK" w:cs="方正楷体_GBK"/>
          <w:b/>
          <w:bCs/>
          <w:spacing w:val="6"/>
          <w:sz w:val="44"/>
          <w:szCs w:val="44"/>
        </w:rPr>
      </w:pPr>
      <w:r>
        <w:rPr>
          <w:rFonts w:hint="eastAsia" w:ascii="方正楷体_GBK" w:hAnsi="方正楷体_GBK" w:eastAsia="方正楷体_GBK" w:cs="方正楷体_GBK"/>
          <w:b/>
          <w:bCs/>
          <w:spacing w:val="6"/>
          <w:sz w:val="44"/>
          <w:szCs w:val="44"/>
        </w:rPr>
        <w:t>2023年度部门整体支出绩效自评表</w:t>
      </w:r>
    </w:p>
    <w:p>
      <w:pPr>
        <w:spacing w:line="132" w:lineRule="exact"/>
      </w:pPr>
    </w:p>
    <w:tbl>
      <w:tblPr>
        <w:tblStyle w:val="15"/>
        <w:tblW w:w="5026" w:type="pct"/>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828"/>
        <w:gridCol w:w="992"/>
        <w:gridCol w:w="946"/>
        <w:gridCol w:w="50"/>
        <w:gridCol w:w="973"/>
        <w:gridCol w:w="22"/>
        <w:gridCol w:w="1021"/>
        <w:gridCol w:w="973"/>
        <w:gridCol w:w="698"/>
        <w:gridCol w:w="722"/>
        <w:gridCol w:w="132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1" w:hRule="atLeast"/>
          <w:jc w:val="center"/>
        </w:trPr>
        <w:tc>
          <w:tcPr>
            <w:tcW w:w="1617" w:type="pct"/>
            <w:gridSpan w:val="3"/>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省级预算部门、单位名称</w:t>
            </w:r>
          </w:p>
        </w:tc>
        <w:tc>
          <w:tcPr>
            <w:tcW w:w="3382" w:type="pct"/>
            <w:gridSpan w:val="8"/>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华容县市场建设服务中心</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20" w:hRule="atLeast"/>
          <w:jc w:val="center"/>
        </w:trPr>
        <w:tc>
          <w:tcPr>
            <w:tcW w:w="48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年度预算申请（万元）</w:t>
            </w:r>
          </w:p>
        </w:tc>
        <w:tc>
          <w:tcPr>
            <w:tcW w:w="113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8"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年初</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610"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执行数</w:t>
            </w: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执行率</w:t>
            </w: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8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113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年度资金总额</w:t>
            </w:r>
          </w:p>
        </w:tc>
        <w:tc>
          <w:tcPr>
            <w:tcW w:w="598"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953.5</w:t>
            </w:r>
          </w:p>
        </w:tc>
        <w:tc>
          <w:tcPr>
            <w:tcW w:w="610"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890.12</w:t>
            </w: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890.12</w:t>
            </w: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w:t>
            </w: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8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41" w:type="pct"/>
            <w:gridSpan w:val="6"/>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58" w:firstLineChars="28"/>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按收入性质分：</w:t>
            </w:r>
          </w:p>
        </w:tc>
        <w:tc>
          <w:tcPr>
            <w:tcW w:w="2173" w:type="pct"/>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按支出性质分：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8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41" w:type="pct"/>
            <w:gridSpan w:val="6"/>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both"/>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其中：一般公共预算：</w:t>
            </w:r>
            <w:r>
              <w:rPr>
                <w:rFonts w:hint="eastAsia" w:asciiTheme="minorEastAsia" w:hAnsiTheme="minorEastAsia" w:eastAsiaTheme="minorEastAsia" w:cstheme="minorEastAsia"/>
                <w:sz w:val="21"/>
                <w:szCs w:val="21"/>
                <w:lang w:val="en-US" w:eastAsia="zh-CN"/>
              </w:rPr>
              <w:t>800.12</w:t>
            </w:r>
          </w:p>
        </w:tc>
        <w:tc>
          <w:tcPr>
            <w:tcW w:w="2173" w:type="pct"/>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其中：基本支出：</w:t>
            </w:r>
            <w:r>
              <w:rPr>
                <w:rFonts w:hint="eastAsia" w:asciiTheme="minorEastAsia" w:hAnsiTheme="minorEastAsia" w:eastAsiaTheme="minorEastAsia" w:cstheme="minorEastAsia"/>
                <w:sz w:val="21"/>
                <w:szCs w:val="21"/>
                <w:lang w:val="en-US" w:eastAsia="zh-CN"/>
              </w:rPr>
              <w:t>890.12</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8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41" w:type="pct"/>
            <w:gridSpan w:val="6"/>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both"/>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政府性基金拨款：</w:t>
            </w:r>
          </w:p>
        </w:tc>
        <w:tc>
          <w:tcPr>
            <w:tcW w:w="2173" w:type="pct"/>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8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41" w:type="pct"/>
            <w:gridSpan w:val="6"/>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纳入专户管理的非税收入拨款：</w:t>
            </w:r>
            <w:r>
              <w:rPr>
                <w:rFonts w:hint="eastAsia" w:asciiTheme="minorEastAsia" w:hAnsiTheme="minorEastAsia" w:eastAsiaTheme="minorEastAsia" w:cstheme="minorEastAsia"/>
                <w:sz w:val="21"/>
                <w:szCs w:val="21"/>
                <w:lang w:val="en-US" w:eastAsia="zh-CN"/>
              </w:rPr>
              <w:t>90</w:t>
            </w:r>
          </w:p>
        </w:tc>
        <w:tc>
          <w:tcPr>
            <w:tcW w:w="2173" w:type="pct"/>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8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41" w:type="pct"/>
            <w:gridSpan w:val="6"/>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其他资金：</w:t>
            </w:r>
          </w:p>
        </w:tc>
        <w:tc>
          <w:tcPr>
            <w:tcW w:w="2173" w:type="pct"/>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8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r>
              <w:rPr>
                <w:rFonts w:hint="eastAsia" w:ascii="黑体" w:hAnsi="黑体" w:eastAsia="黑体" w:cs="黑体"/>
                <w:sz w:val="21"/>
                <w:szCs w:val="21"/>
                <w:lang w:eastAsia="zh-CN"/>
              </w:rPr>
              <w:t>总</w:t>
            </w:r>
            <w:r>
              <w:rPr>
                <w:rFonts w:hint="eastAsia" w:ascii="黑体" w:hAnsi="黑体" w:eastAsia="黑体" w:cs="黑体"/>
                <w:sz w:val="21"/>
                <w:szCs w:val="21"/>
              </w:rPr>
              <w:t>体目标</w:t>
            </w:r>
          </w:p>
        </w:tc>
        <w:tc>
          <w:tcPr>
            <w:tcW w:w="2341" w:type="pct"/>
            <w:gridSpan w:val="6"/>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预期目标</w:t>
            </w:r>
          </w:p>
        </w:tc>
        <w:tc>
          <w:tcPr>
            <w:tcW w:w="2173" w:type="pct"/>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0" w:hRule="atLeast"/>
          <w:jc w:val="center"/>
        </w:trPr>
        <w:tc>
          <w:tcPr>
            <w:tcW w:w="484"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2341" w:type="pct"/>
            <w:gridSpan w:val="6"/>
            <w:tcBorders>
              <w:tl2br w:val="nil"/>
              <w:tr2bl w:val="nil"/>
            </w:tcBorders>
            <w:vAlign w:val="center"/>
          </w:tcPr>
          <w:p>
            <w:pPr>
              <w:autoSpaceDN w:val="0"/>
              <w:spacing w:line="320" w:lineRule="exact"/>
              <w:jc w:val="left"/>
              <w:textAlignment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目标1：维护市场交易秩序，负责市场公用设施维修和管理 。</w:t>
            </w:r>
          </w:p>
          <w:p>
            <w:pPr>
              <w:autoSpaceDN w:val="0"/>
              <w:spacing w:line="320" w:lineRule="exact"/>
              <w:jc w:val="left"/>
              <w:textAlignment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目标2：各项非税收入的收缴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目标3：拟订全县农贸市场管理目标责任管理制度，促进市场建设和发展。</w:t>
            </w:r>
          </w:p>
        </w:tc>
        <w:tc>
          <w:tcPr>
            <w:tcW w:w="2173" w:type="pct"/>
            <w:gridSpan w:val="4"/>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color w:val="000000"/>
                <w:sz w:val="21"/>
                <w:szCs w:val="21"/>
              </w:rPr>
              <w:t>完成各项非税收缴工作，完成市场各项公用设施的维修维护工作，保证市场正常运营。完成市场卫生监督管理工作，配合完成全年创建文明县城工作。</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60" w:hRule="atLeast"/>
          <w:jc w:val="center"/>
        </w:trPr>
        <w:tc>
          <w:tcPr>
            <w:tcW w:w="48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标</w:t>
            </w:r>
          </w:p>
        </w:tc>
        <w:tc>
          <w:tcPr>
            <w:tcW w:w="580"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一级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二级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三级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指标值</w:t>
            </w: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完成值</w:t>
            </w: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得分</w:t>
            </w: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lang w:eastAsia="zh-CN"/>
              </w:rPr>
              <w:t>偏差原因分析</w:t>
            </w:r>
            <w:r>
              <w:rPr>
                <w:rFonts w:hint="eastAsia" w:ascii="黑体" w:hAnsi="黑体" w:eastAsia="黑体" w:cs="黑体"/>
                <w:sz w:val="21"/>
                <w:szCs w:val="21"/>
              </w:rPr>
              <w:t>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eastAsia="zh-CN"/>
              </w:rPr>
              <w:t>）</w:t>
            </w: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82" w:type="pct"/>
            <w:gridSpan w:val="2"/>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val="en-US" w:eastAsia="zh-CN"/>
              </w:rPr>
              <w:t>全年预计完成缺口资金5个</w:t>
            </w:r>
          </w:p>
        </w:tc>
        <w:tc>
          <w:tcPr>
            <w:tcW w:w="597"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5</w:t>
            </w:r>
          </w:p>
        </w:tc>
        <w:tc>
          <w:tcPr>
            <w:tcW w:w="567" w:type="pct"/>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val="en-US" w:eastAsia="zh-CN"/>
              </w:rPr>
              <w:t>1-12月份实际完成缺口资金4个</w:t>
            </w:r>
          </w:p>
        </w:tc>
        <w:tc>
          <w:tcPr>
            <w:tcW w:w="408" w:type="pct"/>
            <w:tcBorders>
              <w:tl2br w:val="nil"/>
              <w:tr2bl w:val="nil"/>
            </w:tcBorders>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422" w:type="pct"/>
            <w:tcBorders>
              <w:tl2br w:val="nil"/>
              <w:tr2bl w:val="nil"/>
            </w:tcBorders>
            <w:vAlign w:val="center"/>
          </w:tcPr>
          <w:p>
            <w:pPr>
              <w:jc w:val="center"/>
              <w:rPr>
                <w:rFonts w:hint="default" w:asciiTheme="minorEastAsia" w:hAnsiTheme="minorEastAsia" w:eastAsiaTheme="minorEastAsia" w:cstheme="minorEastAsia"/>
                <w:sz w:val="21"/>
                <w:szCs w:val="21"/>
                <w:lang w:val="en-US"/>
              </w:rPr>
            </w:pPr>
            <w:r>
              <w:rPr>
                <w:rFonts w:hint="eastAsia"/>
                <w:sz w:val="21"/>
                <w:lang w:val="en-US" w:eastAsia="zh-CN"/>
              </w:rPr>
              <w:t>9</w:t>
            </w:r>
          </w:p>
        </w:tc>
        <w:tc>
          <w:tcPr>
            <w:tcW w:w="773" w:type="pct"/>
            <w:tcBorders>
              <w:tl2br w:val="nil"/>
              <w:tr2bl w:val="nil"/>
            </w:tcBorders>
            <w:vAlign w:val="top"/>
          </w:tcPr>
          <w:p>
            <w:pPr>
              <w:rPr>
                <w:rFonts w:ascii="Arial"/>
                <w:sz w:val="21"/>
              </w:rPr>
            </w:pPr>
          </w:p>
          <w:p>
            <w:pPr>
              <w:bidi w:val="0"/>
              <w:jc w:val="left"/>
              <w:rPr>
                <w:rFonts w:hint="eastAsia" w:asciiTheme="minorEastAsia" w:hAnsiTheme="minorEastAsia" w:eastAsiaTheme="minorEastAsia" w:cstheme="minorEastAsia"/>
                <w:sz w:val="21"/>
                <w:szCs w:val="21"/>
              </w:rPr>
            </w:pPr>
            <w:r>
              <w:rPr>
                <w:rFonts w:hint="eastAsia" w:eastAsia="宋体" w:cs="Arial"/>
                <w:snapToGrid w:val="0"/>
                <w:color w:val="000000"/>
                <w:kern w:val="0"/>
                <w:sz w:val="21"/>
                <w:szCs w:val="21"/>
                <w:lang w:eastAsia="zh-CN"/>
              </w:rPr>
              <w:t>财政资金不能及时到位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质量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82" w:type="pct"/>
            <w:gridSpan w:val="2"/>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全年预计指标验收格率</w:t>
            </w:r>
            <w:r>
              <w:rPr>
                <w:rFonts w:hint="eastAsia" w:eastAsia="宋体"/>
                <w:sz w:val="21"/>
                <w:lang w:val="en-US" w:eastAsia="zh-CN"/>
              </w:rPr>
              <w:t>100%</w:t>
            </w:r>
          </w:p>
        </w:tc>
        <w:tc>
          <w:tcPr>
            <w:tcW w:w="597"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5</w:t>
            </w:r>
          </w:p>
        </w:tc>
        <w:tc>
          <w:tcPr>
            <w:tcW w:w="567" w:type="pct"/>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val="en-US" w:eastAsia="zh-CN"/>
              </w:rPr>
              <w:t>1-12月份实际验收格率100%</w:t>
            </w:r>
          </w:p>
        </w:tc>
        <w:tc>
          <w:tcPr>
            <w:tcW w:w="408"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10</w:t>
            </w:r>
          </w:p>
        </w:tc>
        <w:tc>
          <w:tcPr>
            <w:tcW w:w="422"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10</w:t>
            </w:r>
          </w:p>
        </w:tc>
        <w:tc>
          <w:tcPr>
            <w:tcW w:w="773" w:type="pct"/>
            <w:tcBorders>
              <w:tl2br w:val="nil"/>
              <w:tr2bl w:val="nil"/>
            </w:tcBorders>
            <w:vAlign w:val="top"/>
          </w:tcPr>
          <w:p>
            <w:pP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时效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82" w:type="pct"/>
            <w:gridSpan w:val="2"/>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全年预计资金拨付时率</w:t>
            </w:r>
            <w:r>
              <w:rPr>
                <w:rFonts w:hint="eastAsia" w:eastAsia="宋体"/>
                <w:sz w:val="21"/>
                <w:lang w:val="en-US" w:eastAsia="zh-CN"/>
              </w:rPr>
              <w:t>100%</w:t>
            </w:r>
          </w:p>
        </w:tc>
        <w:tc>
          <w:tcPr>
            <w:tcW w:w="597" w:type="pct"/>
            <w:tcBorders>
              <w:tl2br w:val="nil"/>
              <w:tr2bl w:val="nil"/>
            </w:tcBorders>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567" w:type="pct"/>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val="en-US" w:eastAsia="zh-CN"/>
              </w:rPr>
              <w:t>1-12月份实际资金拨付及时率90%</w:t>
            </w:r>
          </w:p>
        </w:tc>
        <w:tc>
          <w:tcPr>
            <w:tcW w:w="408"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10</w:t>
            </w:r>
          </w:p>
        </w:tc>
        <w:tc>
          <w:tcPr>
            <w:tcW w:w="422"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9</w:t>
            </w:r>
          </w:p>
        </w:tc>
        <w:tc>
          <w:tcPr>
            <w:tcW w:w="773" w:type="pct"/>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财政资金不能及时按量到位。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54"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标</w:t>
            </w:r>
          </w:p>
        </w:tc>
        <w:tc>
          <w:tcPr>
            <w:tcW w:w="580"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（30分）</w:t>
            </w: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82" w:type="pct"/>
            <w:gridSpan w:val="2"/>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全年预计提高市场经济效益</w:t>
            </w:r>
            <w:r>
              <w:rPr>
                <w:rFonts w:hint="eastAsia"/>
                <w:sz w:val="21"/>
                <w:lang w:val="en-US" w:eastAsia="zh-CN"/>
              </w:rPr>
              <w:t>10</w:t>
            </w:r>
            <w:r>
              <w:rPr>
                <w:rFonts w:hint="eastAsia" w:eastAsia="宋体"/>
                <w:sz w:val="21"/>
                <w:lang w:val="en-US" w:eastAsia="zh-CN"/>
              </w:rPr>
              <w:t>%</w:t>
            </w:r>
          </w:p>
        </w:tc>
        <w:tc>
          <w:tcPr>
            <w:tcW w:w="597"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sz w:val="21"/>
                <w:lang w:val="en-US" w:eastAsia="zh-CN"/>
              </w:rPr>
              <w:t>10</w:t>
            </w:r>
            <w:r>
              <w:rPr>
                <w:rFonts w:hint="eastAsia" w:eastAsia="宋体"/>
                <w:sz w:val="21"/>
                <w:lang w:val="en-US" w:eastAsia="zh-CN"/>
              </w:rPr>
              <w:t>%</w:t>
            </w:r>
          </w:p>
        </w:tc>
        <w:tc>
          <w:tcPr>
            <w:tcW w:w="567" w:type="pct"/>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val="en-US" w:eastAsia="zh-CN"/>
              </w:rPr>
              <w:t>1-12月份实际完成提高市场经济效益</w:t>
            </w:r>
            <w:r>
              <w:rPr>
                <w:rFonts w:hint="eastAsia"/>
                <w:sz w:val="21"/>
                <w:lang w:val="en-US" w:eastAsia="zh-CN"/>
              </w:rPr>
              <w:t>5</w:t>
            </w:r>
            <w:r>
              <w:rPr>
                <w:rFonts w:hint="eastAsia" w:eastAsia="宋体"/>
                <w:sz w:val="21"/>
                <w:lang w:val="en-US" w:eastAsia="zh-CN"/>
              </w:rPr>
              <w:t>%</w:t>
            </w:r>
          </w:p>
        </w:tc>
        <w:tc>
          <w:tcPr>
            <w:tcW w:w="408"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10</w:t>
            </w:r>
          </w:p>
        </w:tc>
        <w:tc>
          <w:tcPr>
            <w:tcW w:w="422"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9</w:t>
            </w:r>
          </w:p>
        </w:tc>
        <w:tc>
          <w:tcPr>
            <w:tcW w:w="773" w:type="pct"/>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市场公用设施维修维护不到位，主要是缺少资金。</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582" w:type="pct"/>
            <w:gridSpan w:val="2"/>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全年预计提高市场受益建档贫困人数</w:t>
            </w:r>
            <w:r>
              <w:rPr>
                <w:rFonts w:hint="eastAsia" w:eastAsia="宋体"/>
                <w:sz w:val="21"/>
                <w:lang w:val="en-US" w:eastAsia="zh-CN"/>
              </w:rPr>
              <w:t>6人</w:t>
            </w:r>
          </w:p>
        </w:tc>
        <w:tc>
          <w:tcPr>
            <w:tcW w:w="597" w:type="pct"/>
            <w:tcBorders>
              <w:tl2br w:val="nil"/>
              <w:tr2bl w:val="nil"/>
            </w:tcBorders>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p>
        </w:tc>
        <w:tc>
          <w:tcPr>
            <w:tcW w:w="567" w:type="pct"/>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实际完成市场受益贫困人数</w:t>
            </w:r>
            <w:r>
              <w:rPr>
                <w:rFonts w:hint="eastAsia" w:eastAsia="宋体"/>
                <w:sz w:val="21"/>
                <w:lang w:val="en-US" w:eastAsia="zh-CN"/>
              </w:rPr>
              <w:t>4人</w:t>
            </w:r>
          </w:p>
        </w:tc>
        <w:tc>
          <w:tcPr>
            <w:tcW w:w="408" w:type="pct"/>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10</w:t>
            </w:r>
          </w:p>
        </w:tc>
        <w:tc>
          <w:tcPr>
            <w:tcW w:w="422" w:type="pct"/>
            <w:tcBorders>
              <w:tl2br w:val="nil"/>
              <w:tr2bl w:val="nil"/>
            </w:tcBorders>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73" w:type="pct"/>
            <w:tcBorders>
              <w:tl2br w:val="nil"/>
              <w:tr2bl w:val="nil"/>
            </w:tcBorders>
            <w:vAlign w:val="top"/>
          </w:tcPr>
          <w:p>
            <w:pPr>
              <w:rPr>
                <w:rFonts w:hint="eastAsia" w:asciiTheme="minorEastAsia" w:hAnsiTheme="minorEastAsia" w:eastAsiaTheme="minorEastAsia" w:cstheme="minorEastAsia"/>
                <w:sz w:val="21"/>
                <w:szCs w:val="21"/>
              </w:rPr>
            </w:pPr>
            <w:r>
              <w:rPr>
                <w:rFonts w:hint="eastAsia"/>
                <w:sz w:val="21"/>
                <w:lang w:eastAsia="zh-CN"/>
              </w:rPr>
              <w:t>单</w:t>
            </w:r>
            <w:r>
              <w:rPr>
                <w:rFonts w:hint="eastAsia" w:eastAsia="宋体"/>
                <w:sz w:val="21"/>
                <w:lang w:eastAsia="zh-CN"/>
              </w:rPr>
              <w:t>位资金有限，不能及时解决问题。</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全年预计市场生态指标达到</w:t>
            </w:r>
            <w:r>
              <w:rPr>
                <w:rFonts w:hint="eastAsia"/>
                <w:sz w:val="21"/>
                <w:lang w:val="en-US" w:eastAsia="zh-CN"/>
              </w:rPr>
              <w:t>100</w:t>
            </w:r>
            <w:r>
              <w:rPr>
                <w:rFonts w:hint="eastAsia" w:eastAsia="宋体"/>
                <w:sz w:val="21"/>
                <w:lang w:val="en-US" w:eastAsia="zh-CN"/>
              </w:rPr>
              <w:t>%</w:t>
            </w:r>
          </w:p>
        </w:tc>
        <w:tc>
          <w:tcPr>
            <w:tcW w:w="1021" w:type="dxa"/>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5</w:t>
            </w:r>
          </w:p>
        </w:tc>
        <w:tc>
          <w:tcPr>
            <w:tcW w:w="973" w:type="dxa"/>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实际市场生态指标达到</w:t>
            </w:r>
            <w:r>
              <w:rPr>
                <w:rFonts w:hint="eastAsia"/>
                <w:sz w:val="21"/>
                <w:lang w:val="en-US" w:eastAsia="zh-CN"/>
              </w:rPr>
              <w:t>100</w:t>
            </w:r>
            <w:r>
              <w:rPr>
                <w:rFonts w:hint="eastAsia" w:eastAsia="宋体"/>
                <w:sz w:val="21"/>
                <w:lang w:val="en-US" w:eastAsia="zh-CN"/>
              </w:rPr>
              <w:t>%</w:t>
            </w:r>
          </w:p>
        </w:tc>
        <w:tc>
          <w:tcPr>
            <w:tcW w:w="698" w:type="dxa"/>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5</w:t>
            </w:r>
          </w:p>
        </w:tc>
        <w:tc>
          <w:tcPr>
            <w:tcW w:w="722" w:type="dxa"/>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5</w:t>
            </w:r>
          </w:p>
        </w:tc>
        <w:tc>
          <w:tcPr>
            <w:tcW w:w="1328" w:type="dxa"/>
            <w:tcBorders>
              <w:tl2br w:val="nil"/>
              <w:tr2bl w:val="nil"/>
            </w:tcBorders>
            <w:vAlign w:val="top"/>
          </w:tcPr>
          <w:p>
            <w:pP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可持续</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影响</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全年预计市场设施使用年限大于</w:t>
            </w:r>
            <w:r>
              <w:rPr>
                <w:rFonts w:hint="eastAsia" w:eastAsia="宋体"/>
                <w:sz w:val="21"/>
                <w:lang w:val="en-US" w:eastAsia="zh-CN"/>
              </w:rPr>
              <w:t>5年</w:t>
            </w:r>
          </w:p>
        </w:tc>
        <w:tc>
          <w:tcPr>
            <w:tcW w:w="1021" w:type="dxa"/>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5</w:t>
            </w:r>
          </w:p>
        </w:tc>
        <w:tc>
          <w:tcPr>
            <w:tcW w:w="973" w:type="dxa"/>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实际使用年限</w:t>
            </w:r>
            <w:r>
              <w:rPr>
                <w:rFonts w:hint="eastAsia" w:eastAsia="宋体"/>
                <w:sz w:val="21"/>
                <w:lang w:val="en-US" w:eastAsia="zh-CN"/>
              </w:rPr>
              <w:t>1-</w:t>
            </w:r>
            <w:r>
              <w:rPr>
                <w:rFonts w:hint="eastAsia"/>
                <w:sz w:val="21"/>
                <w:lang w:val="en-US" w:eastAsia="zh-CN"/>
              </w:rPr>
              <w:t>3</w:t>
            </w:r>
            <w:r>
              <w:rPr>
                <w:rFonts w:hint="eastAsia" w:eastAsia="宋体"/>
                <w:sz w:val="21"/>
                <w:lang w:val="en-US" w:eastAsia="zh-CN"/>
              </w:rPr>
              <w:t>年</w:t>
            </w:r>
          </w:p>
        </w:tc>
        <w:tc>
          <w:tcPr>
            <w:tcW w:w="698" w:type="dxa"/>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5</w:t>
            </w:r>
          </w:p>
        </w:tc>
        <w:tc>
          <w:tcPr>
            <w:tcW w:w="722" w:type="dxa"/>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4</w:t>
            </w:r>
          </w:p>
        </w:tc>
        <w:tc>
          <w:tcPr>
            <w:tcW w:w="1328" w:type="dxa"/>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由于缺少资金，维修维护不能及时到位。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（10分）</w:t>
            </w: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服务对象</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95" w:type="dxa"/>
            <w:gridSpan w:val="2"/>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全年预计市场服务满意度</w:t>
            </w:r>
            <w:r>
              <w:rPr>
                <w:rFonts w:hint="eastAsia" w:eastAsia="宋体"/>
                <w:sz w:val="21"/>
                <w:lang w:val="en-US" w:eastAsia="zh-CN"/>
              </w:rPr>
              <w:t>90%</w:t>
            </w:r>
          </w:p>
        </w:tc>
        <w:tc>
          <w:tcPr>
            <w:tcW w:w="1021" w:type="dxa"/>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90%</w:t>
            </w:r>
          </w:p>
        </w:tc>
        <w:tc>
          <w:tcPr>
            <w:tcW w:w="973" w:type="dxa"/>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实际市场服务满意度</w:t>
            </w:r>
            <w:r>
              <w:rPr>
                <w:rFonts w:hint="eastAsia" w:eastAsia="宋体"/>
                <w:sz w:val="21"/>
                <w:lang w:val="en-US" w:eastAsia="zh-CN"/>
              </w:rPr>
              <w:t>80%</w:t>
            </w:r>
          </w:p>
        </w:tc>
        <w:tc>
          <w:tcPr>
            <w:tcW w:w="698" w:type="dxa"/>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10</w:t>
            </w:r>
          </w:p>
        </w:tc>
        <w:tc>
          <w:tcPr>
            <w:tcW w:w="722" w:type="dxa"/>
            <w:tcBorders>
              <w:tl2br w:val="nil"/>
              <w:tr2bl w:val="nil"/>
            </w:tcBorders>
            <w:vAlign w:val="center"/>
          </w:tcPr>
          <w:p>
            <w:pPr>
              <w:jc w:val="center"/>
              <w:rPr>
                <w:rFonts w:hint="eastAsia" w:asciiTheme="minorEastAsia" w:hAnsiTheme="minorEastAsia" w:eastAsiaTheme="minorEastAsia" w:cstheme="minorEastAsia"/>
                <w:sz w:val="21"/>
                <w:szCs w:val="21"/>
              </w:rPr>
            </w:pPr>
            <w:r>
              <w:rPr>
                <w:rFonts w:hint="eastAsia" w:eastAsia="宋体"/>
                <w:sz w:val="21"/>
                <w:lang w:val="en-US" w:eastAsia="zh-CN"/>
              </w:rPr>
              <w:t>9</w:t>
            </w:r>
          </w:p>
        </w:tc>
        <w:tc>
          <w:tcPr>
            <w:tcW w:w="1328" w:type="dxa"/>
            <w:tcBorders>
              <w:tl2br w:val="nil"/>
              <w:tr2bl w:val="nil"/>
            </w:tcBorders>
            <w:vAlign w:val="top"/>
          </w:tcPr>
          <w:p>
            <w:pPr>
              <w:rPr>
                <w:rFonts w:hint="eastAsia" w:asciiTheme="minorEastAsia" w:hAnsiTheme="minorEastAsia" w:eastAsiaTheme="minorEastAsia" w:cstheme="minorEastAsia"/>
                <w:sz w:val="21"/>
                <w:szCs w:val="21"/>
              </w:rPr>
            </w:pPr>
            <w:r>
              <w:rPr>
                <w:rFonts w:hint="eastAsia" w:eastAsia="宋体"/>
                <w:sz w:val="21"/>
                <w:lang w:eastAsia="zh-CN"/>
              </w:rPr>
              <w:t>缺少资金，服务和管理没有到位，加强市场管理。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成</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val="en-US" w:eastAsia="zh-CN"/>
              </w:rPr>
              <w:t>）</w:t>
            </w: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非税收征收成本</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6万元</w:t>
            </w: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1.5万元</w:t>
            </w: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单位资金有限，不能适量投入</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公益广告宣传成本</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7万元</w:t>
            </w: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3.5万元</w:t>
            </w: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w:t>
            </w: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w:t>
            </w: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财政</w:t>
            </w:r>
            <w:r>
              <w:rPr>
                <w:rFonts w:hint="eastAsia" w:asciiTheme="minorEastAsia" w:hAnsiTheme="minorEastAsia" w:eastAsiaTheme="minorEastAsia" w:cstheme="minorEastAsia"/>
                <w:sz w:val="21"/>
                <w:szCs w:val="21"/>
                <w:lang w:val="en-US" w:eastAsia="zh-CN"/>
              </w:rPr>
              <w:t>资金不能及时按量到位</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restar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环境</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市场生态保护成本</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4项</w:t>
            </w: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4项</w:t>
            </w: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加强生态保护</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484" w:type="pct"/>
            <w:vMerge w:val="continue"/>
            <w:tcBorders>
              <w:tl2br w:val="nil"/>
              <w:tr2bl w:val="nil"/>
            </w:tcBorders>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0" w:type="pct"/>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vMerge w:val="continue"/>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82" w:type="pct"/>
            <w:gridSpan w:val="2"/>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59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567"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10" w:hRule="atLeast"/>
          <w:jc w:val="center"/>
        </w:trPr>
        <w:tc>
          <w:tcPr>
            <w:tcW w:w="3394" w:type="pct"/>
            <w:gridSpan w:val="8"/>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总分</w:t>
            </w:r>
          </w:p>
        </w:tc>
        <w:tc>
          <w:tcPr>
            <w:tcW w:w="408"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422"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94</w:t>
            </w:r>
          </w:p>
        </w:tc>
        <w:tc>
          <w:tcPr>
            <w:tcW w:w="773" w:type="pct"/>
            <w:tcBorders>
              <w:tl2br w:val="nil"/>
              <w:tr2bl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bl>
    <w:p>
      <w:pPr>
        <w:rPr>
          <w:rFonts w:hint="eastAsia"/>
        </w:rPr>
      </w:pPr>
    </w:p>
    <w:p>
      <w:pPr>
        <w:rPr>
          <w:rFonts w:hint="eastAsia"/>
        </w:rPr>
      </w:pPr>
      <w:r>
        <w:rPr>
          <w:rFonts w:hint="eastAsia"/>
        </w:rPr>
        <w:t>填表人</w:t>
      </w:r>
      <w:r>
        <w:rPr>
          <w:rFonts w:hint="eastAsia"/>
          <w:lang w:eastAsia="zh-CN"/>
        </w:rPr>
        <w:t>：黎芳</w:t>
      </w:r>
      <w:r>
        <w:rPr>
          <w:rFonts w:hint="eastAsia"/>
        </w:rPr>
        <w:t xml:space="preserve"> </w:t>
      </w:r>
      <w:r>
        <w:rPr>
          <w:rFonts w:hint="eastAsia"/>
          <w:lang w:val="en-US" w:eastAsia="zh-CN"/>
        </w:rPr>
        <w:t xml:space="preserve"> </w:t>
      </w:r>
      <w:r>
        <w:rPr>
          <w:rFonts w:hint="eastAsia"/>
        </w:rPr>
        <w:t>填报日期</w:t>
      </w:r>
      <w:r>
        <w:rPr>
          <w:rFonts w:hint="eastAsia"/>
          <w:lang w:eastAsia="zh-CN"/>
        </w:rPr>
        <w:t>：</w:t>
      </w:r>
      <w:r>
        <w:rPr>
          <w:rFonts w:hint="eastAsia"/>
          <w:lang w:val="en-US" w:eastAsia="zh-CN"/>
        </w:rPr>
        <w:t>2024年5月23日</w:t>
      </w:r>
      <w:r>
        <w:rPr>
          <w:rFonts w:hint="eastAsia"/>
        </w:rPr>
        <w:t xml:space="preserve">  联系电话：</w:t>
      </w:r>
      <w:r>
        <w:rPr>
          <w:rFonts w:hint="eastAsia"/>
          <w:lang w:val="en-US" w:eastAsia="zh-CN"/>
        </w:rPr>
        <w:t>13874092702</w:t>
      </w:r>
      <w:r>
        <w:rPr>
          <w:rFonts w:hint="eastAsia"/>
        </w:rPr>
        <w:t>单位负责人签字：</w:t>
      </w:r>
    </w:p>
    <w:p>
      <w:pPr>
        <w:rPr>
          <w:rFonts w:hint="eastAsia" w:ascii="黑体" w:hAnsi="黑体" w:eastAsia="黑体" w:cs="黑体"/>
          <w:sz w:val="21"/>
          <w:szCs w:val="21"/>
          <w:lang w:val="en-US" w:eastAsia="zh-CN"/>
        </w:rPr>
      </w:pPr>
    </w:p>
    <w:sectPr>
      <w:footerReference r:id="rId5"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C47ED3EE-7C6A-423A-80A7-F719F2AD74AE}"/>
  </w:font>
  <w:font w:name="Arial">
    <w:panose1 w:val="020B0604020202020204"/>
    <w:charset w:val="01"/>
    <w:family w:val="swiss"/>
    <w:pitch w:val="default"/>
    <w:sig w:usb0="E0002AFF" w:usb1="C0007843" w:usb2="00000009" w:usb3="00000000" w:csb0="400001FF" w:csb1="FFFF0000"/>
    <w:embedRegular r:id="rId2" w:fontKey="{B30F47A3-6E8A-4142-A482-19316AFA1B13}"/>
  </w:font>
  <w:font w:name="黑体">
    <w:panose1 w:val="02010609060101010101"/>
    <w:charset w:val="86"/>
    <w:family w:val="auto"/>
    <w:pitch w:val="default"/>
    <w:sig w:usb0="800002BF" w:usb1="38CF7CFA" w:usb2="00000016" w:usb3="00000000" w:csb0="00040001" w:csb1="00000000"/>
    <w:embedRegular r:id="rId3" w:fontKey="{1D99C04C-2C74-4533-8392-0A44D57DD01E}"/>
  </w:font>
  <w:font w:name="Courier New">
    <w:panose1 w:val="02070309020205020404"/>
    <w:charset w:val="01"/>
    <w:family w:val="modern"/>
    <w:pitch w:val="default"/>
    <w:sig w:usb0="E0002AFF" w:usb1="C0007843" w:usb2="00000009" w:usb3="00000000" w:csb0="400001FF" w:csb1="FFFF0000"/>
    <w:embedRegular r:id="rId4" w:fontKey="{F30E9786-E0F2-4D97-84EC-33809DE4BB3C}"/>
  </w:font>
  <w:font w:name="Symbol">
    <w:panose1 w:val="05050102010706020507"/>
    <w:charset w:val="02"/>
    <w:family w:val="roman"/>
    <w:pitch w:val="default"/>
    <w:sig w:usb0="00000000" w:usb1="00000000" w:usb2="00000000" w:usb3="00000000" w:csb0="80000000" w:csb1="00000000"/>
    <w:embedRegular r:id="rId5" w:fontKey="{D27D4EA1-8E01-4E9F-964E-8B95664BBE79}"/>
  </w:font>
  <w:font w:name="Calibri">
    <w:panose1 w:val="020F0502020204030204"/>
    <w:charset w:val="00"/>
    <w:family w:val="swiss"/>
    <w:pitch w:val="default"/>
    <w:sig w:usb0="E00002FF" w:usb1="4000ACFF" w:usb2="00000001" w:usb3="00000000" w:csb0="2000019F" w:csb1="00000000"/>
    <w:embedRegular r:id="rId6" w:fontKey="{8D1CEAFC-1EA4-492D-B5EF-B8275E36E0E1}"/>
  </w:font>
  <w:font w:name="仿宋">
    <w:panose1 w:val="02010609060101010101"/>
    <w:charset w:val="86"/>
    <w:family w:val="auto"/>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embedRegular r:id="rId7" w:fontKey="{35EA5BBD-92ED-4D64-AE0D-17E6415EF8BF}"/>
  </w:font>
  <w:font w:name="华文仿宋">
    <w:panose1 w:val="02010600040101010101"/>
    <w:charset w:val="86"/>
    <w:family w:val="auto"/>
    <w:pitch w:val="default"/>
    <w:sig w:usb0="00000287" w:usb1="080F0000" w:usb2="00000000" w:usb3="00000000" w:csb0="0004009F" w:csb1="DFD70000"/>
  </w:font>
  <w:font w:name="方正小标宋简体">
    <w:panose1 w:val="02000000000000000000"/>
    <w:charset w:val="86"/>
    <w:family w:val="auto"/>
    <w:pitch w:val="default"/>
    <w:sig w:usb0="00000001" w:usb1="08000000" w:usb2="00000000" w:usb3="00000000" w:csb0="00040000" w:csb1="00000000"/>
    <w:embedRegular r:id="rId8" w:fontKey="{E568DF76-E1D2-4644-B28F-7BE604C933FB}"/>
  </w:font>
  <w:font w:name="楷体_GB2312">
    <w:panose1 w:val="02010609030101010101"/>
    <w:charset w:val="86"/>
    <w:family w:val="auto"/>
    <w:pitch w:val="default"/>
    <w:sig w:usb0="00000001" w:usb1="080E0000" w:usb2="00000000" w:usb3="00000000" w:csb0="00040000" w:csb1="00000000"/>
    <w:embedRegular r:id="rId9" w:fontKey="{B4849EFE-E98C-4D34-AEEC-2F3A015ADDFB}"/>
  </w:font>
  <w:font w:name="楷体">
    <w:panose1 w:val="02010609060101010101"/>
    <w:charset w:val="86"/>
    <w:family w:val="auto"/>
    <w:pitch w:val="default"/>
    <w:sig w:usb0="800002BF" w:usb1="38CF7CFA" w:usb2="00000016" w:usb3="00000000" w:csb0="00040001" w:csb1="00000000"/>
    <w:embedRegular r:id="rId10" w:fontKey="{7CD868D4-4492-4364-9145-F8DD91F0AB54}"/>
  </w:font>
  <w:font w:name="方正小标宋_GBK">
    <w:panose1 w:val="03000509000000000000"/>
    <w:charset w:val="86"/>
    <w:family w:val="script"/>
    <w:pitch w:val="default"/>
    <w:sig w:usb0="00000001" w:usb1="080E0000" w:usb2="00000000" w:usb3="00000000" w:csb0="00040000" w:csb1="00000000"/>
    <w:embedRegular r:id="rId11" w:fontKey="{C845A92C-E411-41D5-B7CC-4571BAF6968D}"/>
  </w:font>
  <w:font w:name="方正楷体_GBK">
    <w:panose1 w:val="02000000000000000000"/>
    <w:charset w:val="86"/>
    <w:family w:val="auto"/>
    <w:pitch w:val="default"/>
    <w:sig w:usb0="800002BF" w:usb1="38CF7CFA" w:usb2="00000016" w:usb3="00000000" w:csb0="00040000" w:csb1="00000000"/>
    <w:embedRegular r:id="rId12" w:fontKey="{11299AE6-FFFE-4343-A7E6-ABC8003C898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jc w:val="center"/>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- 7 -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ItvYn3AIAACQGAAAOAAAAAAAAAAEAIAAAAB8BAABkcnMvZTJvRG9jLnhtbFBLBQYA&#10;AAAABgAGAFkBAABtBg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- 7 -</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8576"/>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- 9 -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fyKa93AIAACQGAAAOAAAAAAAAAAEAIAAAAB8BAABkcnMvZTJvRG9jLnhtbFBLBQYA&#10;AAAABgAGAFkBAABtBg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- 9 -</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- 13 -</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CzSVju0AAAAAUBAAAPAAAAAAAAAAEAIAAAACIAAABkcnMvZG93bnJldi54bWxQSwECFAAU&#10;AAAACACHTuJAUuKWy90CAAAkBgAADgAAAAAAAAABACAAAAAfAQAAZHJzL2Uyb0RvYy54bWxQSwUG&#10;AAAAAAYABgBZAQAAbgY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- 13 -</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CF268A1"/>
    <w:multiLevelType w:val="singleLevel"/>
    <w:tmpl w:val="ECF268A1"/>
    <w:lvl w:ilvl="0" w:tentative="0">
      <w:start w:val="2"/>
      <w:numFmt w:val="chineseCounting"/>
      <w:suff w:val="nothing"/>
      <w:lvlText w:val="（%1）"/>
      <w:lvlJc w:val="left"/>
      <w:rPr>
        <w:rFonts w:hint="eastAsia"/>
      </w:rPr>
    </w:lvl>
  </w:abstractNum>
  <w:abstractNum w:abstractNumId="1">
    <w:nsid w:val="0F4DB101"/>
    <w:multiLevelType w:val="singleLevel"/>
    <w:tmpl w:val="0F4DB101"/>
    <w:lvl w:ilvl="0" w:tentative="0">
      <w:start w:val="9"/>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WQxNTI2MWUwYmY1ZjM2MGZkNzQwMzk3Y2M2OWZkNTg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5E355AA"/>
    <w:rsid w:val="0616597F"/>
    <w:rsid w:val="06426ACC"/>
    <w:rsid w:val="06FF01C2"/>
    <w:rsid w:val="07807554"/>
    <w:rsid w:val="07A62D33"/>
    <w:rsid w:val="08145EEF"/>
    <w:rsid w:val="086B5F82"/>
    <w:rsid w:val="09E6794E"/>
    <w:rsid w:val="0A067AB9"/>
    <w:rsid w:val="0ABD557B"/>
    <w:rsid w:val="0B0F299D"/>
    <w:rsid w:val="0B37173F"/>
    <w:rsid w:val="0B6C7DF0"/>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0FF705D0"/>
    <w:rsid w:val="1020625B"/>
    <w:rsid w:val="11404466"/>
    <w:rsid w:val="11837AA9"/>
    <w:rsid w:val="11963ADD"/>
    <w:rsid w:val="11EB0F5C"/>
    <w:rsid w:val="11F20483"/>
    <w:rsid w:val="12123C76"/>
    <w:rsid w:val="12413D84"/>
    <w:rsid w:val="12831010"/>
    <w:rsid w:val="129038DB"/>
    <w:rsid w:val="13441D7E"/>
    <w:rsid w:val="136F31F8"/>
    <w:rsid w:val="138750E0"/>
    <w:rsid w:val="1396506E"/>
    <w:rsid w:val="13D82A59"/>
    <w:rsid w:val="140E6961"/>
    <w:rsid w:val="147E306D"/>
    <w:rsid w:val="15604228"/>
    <w:rsid w:val="15A620D3"/>
    <w:rsid w:val="1629525B"/>
    <w:rsid w:val="16A3369E"/>
    <w:rsid w:val="17114A8B"/>
    <w:rsid w:val="174560C4"/>
    <w:rsid w:val="176B77A7"/>
    <w:rsid w:val="178536BD"/>
    <w:rsid w:val="190B6E9A"/>
    <w:rsid w:val="19516372"/>
    <w:rsid w:val="19575CC2"/>
    <w:rsid w:val="19A80228"/>
    <w:rsid w:val="19AF68C7"/>
    <w:rsid w:val="19E85A53"/>
    <w:rsid w:val="1A101464"/>
    <w:rsid w:val="1A4C1518"/>
    <w:rsid w:val="1A764F68"/>
    <w:rsid w:val="1AB71087"/>
    <w:rsid w:val="1AB74849"/>
    <w:rsid w:val="1AC52FF2"/>
    <w:rsid w:val="1AE6175D"/>
    <w:rsid w:val="1B742AA7"/>
    <w:rsid w:val="1BD5498B"/>
    <w:rsid w:val="1BF15B4E"/>
    <w:rsid w:val="1C1147C7"/>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4B35C75"/>
    <w:rsid w:val="251E7983"/>
    <w:rsid w:val="25FE2B31"/>
    <w:rsid w:val="260D5D83"/>
    <w:rsid w:val="260E1D77"/>
    <w:rsid w:val="277A77CA"/>
    <w:rsid w:val="28043432"/>
    <w:rsid w:val="284A2254"/>
    <w:rsid w:val="28D01566"/>
    <w:rsid w:val="29165294"/>
    <w:rsid w:val="292F1467"/>
    <w:rsid w:val="29786927"/>
    <w:rsid w:val="297B51B4"/>
    <w:rsid w:val="29B6075C"/>
    <w:rsid w:val="29E40467"/>
    <w:rsid w:val="29F527E2"/>
    <w:rsid w:val="2A290F4D"/>
    <w:rsid w:val="2A9A1E2C"/>
    <w:rsid w:val="2BF35971"/>
    <w:rsid w:val="2BFA5278"/>
    <w:rsid w:val="2C487650"/>
    <w:rsid w:val="2C5A7AC4"/>
    <w:rsid w:val="2D2A393B"/>
    <w:rsid w:val="2DF844CB"/>
    <w:rsid w:val="2E4F43C0"/>
    <w:rsid w:val="2EC7368E"/>
    <w:rsid w:val="2EDC05D9"/>
    <w:rsid w:val="2EE63891"/>
    <w:rsid w:val="2F240CAA"/>
    <w:rsid w:val="2F5137B6"/>
    <w:rsid w:val="2FF62815"/>
    <w:rsid w:val="30FB4B41"/>
    <w:rsid w:val="31621165"/>
    <w:rsid w:val="318B0720"/>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A0763"/>
    <w:rsid w:val="38BE1DF3"/>
    <w:rsid w:val="38F862EB"/>
    <w:rsid w:val="39343807"/>
    <w:rsid w:val="39887BBC"/>
    <w:rsid w:val="39B76556"/>
    <w:rsid w:val="3A0F7AD4"/>
    <w:rsid w:val="3A53023B"/>
    <w:rsid w:val="3AC058DE"/>
    <w:rsid w:val="3AE113B1"/>
    <w:rsid w:val="3AF42D2D"/>
    <w:rsid w:val="3B062751"/>
    <w:rsid w:val="3B3A041F"/>
    <w:rsid w:val="3B914B85"/>
    <w:rsid w:val="3BAE6BF9"/>
    <w:rsid w:val="3BEE0229"/>
    <w:rsid w:val="3C3568D7"/>
    <w:rsid w:val="3CCA47F2"/>
    <w:rsid w:val="3CD967E3"/>
    <w:rsid w:val="3CDE0708"/>
    <w:rsid w:val="3D33006A"/>
    <w:rsid w:val="3D3954D4"/>
    <w:rsid w:val="3D5877DF"/>
    <w:rsid w:val="3DAE53BC"/>
    <w:rsid w:val="3DC55CAA"/>
    <w:rsid w:val="3DD556CA"/>
    <w:rsid w:val="3DFE271A"/>
    <w:rsid w:val="3E32264F"/>
    <w:rsid w:val="3E5F4AE1"/>
    <w:rsid w:val="3F450429"/>
    <w:rsid w:val="3FB6105E"/>
    <w:rsid w:val="3FBF3F86"/>
    <w:rsid w:val="3FF70715"/>
    <w:rsid w:val="3FFD550C"/>
    <w:rsid w:val="4021030A"/>
    <w:rsid w:val="40226C80"/>
    <w:rsid w:val="40C451A5"/>
    <w:rsid w:val="40C671E5"/>
    <w:rsid w:val="40D300F5"/>
    <w:rsid w:val="41051ABE"/>
    <w:rsid w:val="4156470B"/>
    <w:rsid w:val="41943ACE"/>
    <w:rsid w:val="42521D88"/>
    <w:rsid w:val="425D4066"/>
    <w:rsid w:val="430118BA"/>
    <w:rsid w:val="43173FD4"/>
    <w:rsid w:val="439E42E3"/>
    <w:rsid w:val="43B27D8E"/>
    <w:rsid w:val="44143822"/>
    <w:rsid w:val="44654A12"/>
    <w:rsid w:val="44906321"/>
    <w:rsid w:val="44E421C9"/>
    <w:rsid w:val="45320384"/>
    <w:rsid w:val="457C5F26"/>
    <w:rsid w:val="4716830A"/>
    <w:rsid w:val="47BF53CA"/>
    <w:rsid w:val="48831CF9"/>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E473EF5"/>
    <w:rsid w:val="4F5D15A2"/>
    <w:rsid w:val="4FCB46B2"/>
    <w:rsid w:val="4FFE57BD"/>
    <w:rsid w:val="50AC44C4"/>
    <w:rsid w:val="50D80671"/>
    <w:rsid w:val="50EA6DB9"/>
    <w:rsid w:val="51453FF0"/>
    <w:rsid w:val="515661FD"/>
    <w:rsid w:val="51714DE5"/>
    <w:rsid w:val="51CA7471"/>
    <w:rsid w:val="521C2FA3"/>
    <w:rsid w:val="522529B2"/>
    <w:rsid w:val="524806C4"/>
    <w:rsid w:val="5301082D"/>
    <w:rsid w:val="535B3F9E"/>
    <w:rsid w:val="5387476B"/>
    <w:rsid w:val="53910AF4"/>
    <w:rsid w:val="53FBDA3F"/>
    <w:rsid w:val="54F63F7F"/>
    <w:rsid w:val="55144405"/>
    <w:rsid w:val="555952B3"/>
    <w:rsid w:val="555E65E4"/>
    <w:rsid w:val="556A04C9"/>
    <w:rsid w:val="556B5A36"/>
    <w:rsid w:val="5599697B"/>
    <w:rsid w:val="55AF40BB"/>
    <w:rsid w:val="55E65FDC"/>
    <w:rsid w:val="5613734A"/>
    <w:rsid w:val="562D7E5B"/>
    <w:rsid w:val="564F3D12"/>
    <w:rsid w:val="56F72F7C"/>
    <w:rsid w:val="5717642E"/>
    <w:rsid w:val="577C5EF2"/>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9805E0"/>
    <w:rsid w:val="60AD570E"/>
    <w:rsid w:val="60BE691E"/>
    <w:rsid w:val="60F838FC"/>
    <w:rsid w:val="61444403"/>
    <w:rsid w:val="615838CB"/>
    <w:rsid w:val="618F08E5"/>
    <w:rsid w:val="619D39D4"/>
    <w:rsid w:val="62265BDF"/>
    <w:rsid w:val="62E1699A"/>
    <w:rsid w:val="62FBC294"/>
    <w:rsid w:val="63123C13"/>
    <w:rsid w:val="633839B4"/>
    <w:rsid w:val="637D5875"/>
    <w:rsid w:val="63E63410"/>
    <w:rsid w:val="64147F0D"/>
    <w:rsid w:val="64B713E7"/>
    <w:rsid w:val="64D66362"/>
    <w:rsid w:val="65860217"/>
    <w:rsid w:val="659D5052"/>
    <w:rsid w:val="667E0AA1"/>
    <w:rsid w:val="66AE5CE5"/>
    <w:rsid w:val="66D4191C"/>
    <w:rsid w:val="67584625"/>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BD703D7"/>
    <w:rsid w:val="6C4B4758"/>
    <w:rsid w:val="6CE47E41"/>
    <w:rsid w:val="6CED5810"/>
    <w:rsid w:val="6CF92413"/>
    <w:rsid w:val="6DB372F5"/>
    <w:rsid w:val="6DFE5E04"/>
    <w:rsid w:val="6E0D1F7B"/>
    <w:rsid w:val="6E796921"/>
    <w:rsid w:val="6E87203D"/>
    <w:rsid w:val="6F9278BB"/>
    <w:rsid w:val="6FB7D4E3"/>
    <w:rsid w:val="6FBE0EF0"/>
    <w:rsid w:val="6FFF1C22"/>
    <w:rsid w:val="70EC5DDE"/>
    <w:rsid w:val="71572F19"/>
    <w:rsid w:val="719B7427"/>
    <w:rsid w:val="71A36DE5"/>
    <w:rsid w:val="71E33685"/>
    <w:rsid w:val="71F326B3"/>
    <w:rsid w:val="72457E9C"/>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6C7C79"/>
    <w:rsid w:val="77FF7A21"/>
    <w:rsid w:val="7951325E"/>
    <w:rsid w:val="799536BA"/>
    <w:rsid w:val="79CB6ED9"/>
    <w:rsid w:val="7AAD65DE"/>
    <w:rsid w:val="7B170752"/>
    <w:rsid w:val="7B382425"/>
    <w:rsid w:val="7B8F681B"/>
    <w:rsid w:val="7BC55225"/>
    <w:rsid w:val="7BFF9B5C"/>
    <w:rsid w:val="7C3B673F"/>
    <w:rsid w:val="7CED5089"/>
    <w:rsid w:val="7D6633B0"/>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qFormat="1" w:unhideWhenUsed="0" w:uiPriority="99" w:semiHidden="0"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locked/>
    <w:uiPriority w:val="0"/>
    <w:pPr>
      <w:keepNext/>
      <w:keepLines/>
      <w:outlineLvl w:val="0"/>
    </w:pPr>
    <w:rPr>
      <w:rFonts w:eastAsia="黑体"/>
      <w:bCs/>
      <w:kern w:val="44"/>
      <w:szCs w:val="44"/>
    </w:rPr>
  </w:style>
  <w:style w:type="character" w:default="1" w:styleId="10">
    <w:name w:val="Default Paragraph Font"/>
    <w:semiHidden/>
    <w:qFormat/>
    <w:uiPriority w:val="99"/>
  </w:style>
  <w:style w:type="table" w:default="1" w:styleId="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3">
    <w:name w:val="toa heading"/>
    <w:basedOn w:val="1"/>
    <w:next w:val="1"/>
    <w:qFormat/>
    <w:uiPriority w:val="99"/>
    <w:pPr>
      <w:spacing w:before="120" w:after="200" w:line="276" w:lineRule="auto"/>
    </w:pPr>
    <w:rPr>
      <w:rFonts w:ascii="Arial" w:hAnsi="Arial"/>
      <w:sz w:val="24"/>
    </w:rPr>
  </w:style>
  <w:style w:type="paragraph" w:styleId="4">
    <w:name w:val="Body Text"/>
    <w:basedOn w:val="1"/>
    <w:semiHidden/>
    <w:qFormat/>
    <w:uiPriority w:val="0"/>
    <w:rPr>
      <w:rFonts w:ascii="仿宋" w:hAnsi="仿宋" w:eastAsia="仿宋" w:cs="仿宋"/>
      <w:sz w:val="31"/>
      <w:szCs w:val="31"/>
      <w:lang w:val="en-US" w:eastAsia="en-US" w:bidi="ar-SA"/>
    </w:rPr>
  </w:style>
  <w:style w:type="paragraph" w:styleId="5">
    <w:name w:val="footer"/>
    <w:basedOn w:val="1"/>
    <w:link w:val="12"/>
    <w:qFormat/>
    <w:uiPriority w:val="99"/>
    <w:pPr>
      <w:tabs>
        <w:tab w:val="center" w:pos="4153"/>
        <w:tab w:val="right" w:pos="8306"/>
      </w:tabs>
      <w:snapToGrid w:val="0"/>
      <w:jc w:val="left"/>
    </w:pPr>
    <w:rPr>
      <w:sz w:val="18"/>
      <w:szCs w:val="18"/>
    </w:rPr>
  </w:style>
  <w:style w:type="paragraph" w:styleId="6">
    <w:name w:val="header"/>
    <w:basedOn w:val="1"/>
    <w:link w:val="13"/>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footnote text"/>
    <w:basedOn w:val="1"/>
    <w:next w:val="1"/>
    <w:qFormat/>
    <w:uiPriority w:val="0"/>
    <w:pPr>
      <w:snapToGrid w:val="0"/>
      <w:jc w:val="left"/>
    </w:pPr>
    <w:rPr>
      <w:sz w:val="18"/>
      <w:szCs w:val="18"/>
    </w:rPr>
  </w:style>
  <w:style w:type="table" w:styleId="9">
    <w:name w:val="Table Grid"/>
    <w:basedOn w:val="8"/>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page number"/>
    <w:basedOn w:val="10"/>
    <w:qFormat/>
    <w:uiPriority w:val="99"/>
    <w:rPr>
      <w:rFonts w:cs="Times New Roman"/>
    </w:rPr>
  </w:style>
  <w:style w:type="character" w:customStyle="1" w:styleId="12">
    <w:name w:val="Footer Char"/>
    <w:basedOn w:val="10"/>
    <w:link w:val="5"/>
    <w:semiHidden/>
    <w:qFormat/>
    <w:uiPriority w:val="99"/>
    <w:rPr>
      <w:sz w:val="18"/>
      <w:szCs w:val="18"/>
    </w:rPr>
  </w:style>
  <w:style w:type="character" w:customStyle="1" w:styleId="13">
    <w:name w:val="Header Char"/>
    <w:basedOn w:val="10"/>
    <w:link w:val="6"/>
    <w:semiHidden/>
    <w:qFormat/>
    <w:uiPriority w:val="99"/>
    <w:rPr>
      <w:sz w:val="18"/>
      <w:szCs w:val="18"/>
    </w:rPr>
  </w:style>
  <w:style w:type="paragraph" w:styleId="14">
    <w:name w:val="List Paragraph"/>
    <w:basedOn w:val="1"/>
    <w:qFormat/>
    <w:uiPriority w:val="99"/>
    <w:pPr>
      <w:ind w:firstLine="420" w:firstLineChars="200"/>
    </w:pPr>
    <w:rPr>
      <w:rFonts w:ascii="Calibri" w:hAnsi="Calibri"/>
      <w:szCs w:val="22"/>
    </w:rPr>
  </w:style>
  <w:style w:type="table" w:customStyle="1" w:styleId="15">
    <w:name w:val="Table Normal"/>
    <w:semiHidden/>
    <w:unhideWhenUsed/>
    <w:qFormat/>
    <w:uiPriority w:val="0"/>
    <w:tblPr>
      <w:tblCellMar>
        <w:top w:w="0" w:type="dxa"/>
        <w:left w:w="0" w:type="dxa"/>
        <w:bottom w:w="0" w:type="dxa"/>
        <w:right w:w="0" w:type="dxa"/>
      </w:tblCellMar>
    </w:tblPr>
  </w:style>
  <w:style w:type="paragraph" w:customStyle="1" w:styleId="16">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12</Pages>
  <Words>4354</Words>
  <Characters>4599</Characters>
  <Lines>0</Lines>
  <Paragraphs>0</Paragraphs>
  <TotalTime>102</TotalTime>
  <ScaleCrop>false</ScaleCrop>
  <LinksUpToDate>false</LinksUpToDate>
  <CharactersWithSpaces>4995</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张翔</cp:lastModifiedBy>
  <cp:lastPrinted>2024-05-24T02:45:00Z</cp:lastPrinted>
  <dcterms:modified xsi:type="dcterms:W3CDTF">2024-05-24T02:50:14Z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KSOSaveFontToCloudKey">
    <vt:lpwstr>386772509_embed</vt:lpwstr>
  </property>
  <property fmtid="{D5CDD505-2E9C-101B-9397-08002B2CF9AE}" pid="4" name="ICV">
    <vt:lpwstr>F96CC6F13C934D6E834055B675BCA8AB_13</vt:lpwstr>
  </property>
</Properties>
</file>