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left="0"/>
        <w:textAlignment w:val="auto"/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  <w:t>2023年度部门整体支出绩效评价基础数据表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textAlignment w:val="auto"/>
      </w:pPr>
    </w:p>
    <w:tbl>
      <w:tblPr>
        <w:tblStyle w:val="18"/>
        <w:tblW w:w="9277" w:type="dxa"/>
        <w:jc w:val="center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419"/>
        <w:gridCol w:w="964"/>
        <w:gridCol w:w="965"/>
        <w:gridCol w:w="1"/>
        <w:gridCol w:w="985"/>
        <w:gridCol w:w="986"/>
        <w:gridCol w:w="978"/>
        <w:gridCol w:w="979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9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财政供养人员情况（人）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编制数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在职人数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24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23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95.83%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经费控制情况（万元）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2022年决算数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2023年预算数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2023年决算数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三公经费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0.043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0.31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1、公务用车购置和维护经费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其中：公车购置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59" w:firstLineChars="695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公车运行维护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2、出国经费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3、公务接待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0.043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1050" w:firstLineChars="5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0.31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XX项目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XX项目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3、专项资金（每个专项一行）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858" w:firstLineChars="409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858" w:firstLineChars="409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公用经费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23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23.05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其中：办公经费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1.15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水费、电费、差旅费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8.4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5.83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会议费、培训费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0.63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1.71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政府采购金额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5.75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部门基本支出预算调整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13.14</w:t>
            </w:r>
            <w:bookmarkStart w:id="0" w:name="_GoBack"/>
            <w:bookmarkEnd w:id="0"/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13.14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8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楼堂馆所控制情况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（2023年完工项目）</w:t>
            </w: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批复规模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（㎡）</w:t>
            </w: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实际规模（㎡）</w:t>
            </w: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控制率</w:t>
            </w: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预算投资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投资概算控制率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0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厉行节约保障措施</w:t>
            </w:r>
          </w:p>
        </w:tc>
        <w:tc>
          <w:tcPr>
            <w:tcW w:w="5858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</w:p>
        </w:tc>
      </w:tr>
    </w:tbl>
    <w:p>
      <w:pPr>
        <w:rPr>
          <w:rFonts w:hint="eastAsia"/>
          <w:lang w:eastAsia="zh-CN"/>
        </w:rPr>
      </w:pPr>
      <w:r>
        <w:rPr>
          <w:rFonts w:hint="eastAsia"/>
        </w:rPr>
        <w:t>说明：“项目支出” 需要填报基本支出以外的所有项目支出情况，“公用经费”填报基本支出</w:t>
      </w:r>
      <w:r>
        <w:rPr>
          <w:rFonts w:hint="eastAsia"/>
          <w:lang w:eastAsia="zh-CN"/>
        </w:rPr>
        <w:t>中的一般商品和服务支出。</w:t>
      </w:r>
    </w:p>
    <w:p>
      <w:pPr>
        <w:pStyle w:val="9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填表人：</w:t>
      </w:r>
      <w:r>
        <w:rPr>
          <w:rFonts w:hint="eastAsia"/>
          <w:lang w:eastAsia="zh-CN"/>
        </w:rPr>
        <w:t>张利蓉</w:t>
      </w:r>
      <w:r>
        <w:rPr>
          <w:rFonts w:hint="eastAsia"/>
        </w:rPr>
        <w:t xml:space="preserve">    填报日期：</w:t>
      </w:r>
      <w:r>
        <w:rPr>
          <w:rFonts w:hint="eastAsia"/>
          <w:lang w:val="en-US" w:eastAsia="zh-CN"/>
        </w:rPr>
        <w:t>2024.5.27</w:t>
      </w:r>
      <w:r>
        <w:rPr>
          <w:rFonts w:hint="eastAsia"/>
        </w:rPr>
        <w:t xml:space="preserve">   联系电话：</w:t>
      </w:r>
      <w:r>
        <w:rPr>
          <w:rFonts w:hint="eastAsia"/>
          <w:lang w:val="en-US" w:eastAsia="zh-CN"/>
        </w:rPr>
        <w:t>4268795</w:t>
      </w:r>
      <w:r>
        <w:rPr>
          <w:rFonts w:hint="eastAsia"/>
        </w:rPr>
        <w:t xml:space="preserve">   单位负责人签字：</w:t>
      </w:r>
      <w:r>
        <w:rPr>
          <w:rFonts w:hint="eastAsia"/>
          <w:lang w:eastAsia="zh-CN"/>
        </w:rPr>
        <w:t>张卫军</w:t>
      </w:r>
    </w:p>
    <w:p>
      <w:pPr>
        <w:rPr>
          <w:spacing w:val="-13"/>
          <w:sz w:val="22"/>
          <w:szCs w:val="22"/>
        </w:rPr>
      </w:pPr>
      <w:r>
        <w:rPr>
          <w:spacing w:val="-13"/>
          <w:sz w:val="22"/>
          <w:szCs w:val="22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both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3</w:t>
      </w:r>
    </w:p>
    <w:p>
      <w:pPr>
        <w:spacing w:line="251" w:lineRule="auto"/>
        <w:jc w:val="both"/>
        <w:rPr>
          <w:rFonts w:ascii="Arial"/>
          <w:sz w:val="21"/>
        </w:rPr>
      </w:pPr>
    </w:p>
    <w:p>
      <w:pPr>
        <w:spacing w:before="223" w:line="218" w:lineRule="auto"/>
        <w:jc w:val="center"/>
        <w:rPr>
          <w:rFonts w:hint="eastAsia" w:ascii="微软雅黑" w:hAnsi="微软雅黑" w:eastAsia="微软雅黑" w:cs="微软雅黑"/>
          <w:spacing w:val="-1"/>
          <w:sz w:val="52"/>
          <w:szCs w:val="52"/>
          <w:lang w:eastAsia="zh-CN"/>
        </w:rPr>
      </w:pPr>
      <w:r>
        <w:rPr>
          <w:rFonts w:hint="eastAsia" w:ascii="微软雅黑" w:hAnsi="微软雅黑" w:eastAsia="微软雅黑" w:cs="微软雅黑"/>
          <w:spacing w:val="-1"/>
          <w:sz w:val="52"/>
          <w:szCs w:val="52"/>
        </w:rPr>
        <w:t>2023年度</w:t>
      </w:r>
      <w:r>
        <w:rPr>
          <w:rFonts w:hint="eastAsia" w:ascii="微软雅黑" w:hAnsi="微软雅黑" w:eastAsia="微软雅黑" w:cs="微软雅黑"/>
          <w:spacing w:val="-1"/>
          <w:sz w:val="52"/>
          <w:szCs w:val="52"/>
          <w:lang w:eastAsia="zh-CN"/>
        </w:rPr>
        <w:t>交通工程质量和安全</w:t>
      </w:r>
    </w:p>
    <w:p>
      <w:pPr>
        <w:spacing w:before="223" w:line="218" w:lineRule="auto"/>
        <w:ind w:firstLine="2072" w:firstLineChars="400"/>
        <w:jc w:val="both"/>
        <w:rPr>
          <w:rFonts w:hint="eastAsia" w:ascii="微软雅黑" w:hAnsi="微软雅黑" w:eastAsia="微软雅黑" w:cs="微软雅黑"/>
          <w:sz w:val="52"/>
          <w:szCs w:val="52"/>
        </w:rPr>
      </w:pPr>
      <w:r>
        <w:rPr>
          <w:rFonts w:hint="eastAsia" w:ascii="微软雅黑" w:hAnsi="微软雅黑" w:eastAsia="微软雅黑" w:cs="微软雅黑"/>
          <w:spacing w:val="-1"/>
          <w:sz w:val="52"/>
          <w:szCs w:val="52"/>
          <w:lang w:eastAsia="zh-CN"/>
        </w:rPr>
        <w:t>监督站</w:t>
      </w:r>
      <w:r>
        <w:rPr>
          <w:rFonts w:hint="eastAsia" w:ascii="微软雅黑" w:hAnsi="微软雅黑" w:eastAsia="微软雅黑" w:cs="微软雅黑"/>
          <w:spacing w:val="-1"/>
          <w:sz w:val="52"/>
          <w:szCs w:val="52"/>
        </w:rPr>
        <w:t>部门整体支出</w:t>
      </w:r>
    </w:p>
    <w:p>
      <w:pPr>
        <w:spacing w:before="1" w:line="183" w:lineRule="auto"/>
        <w:ind w:firstLine="3084" w:firstLineChars="600"/>
        <w:jc w:val="both"/>
        <w:rPr>
          <w:rFonts w:hint="eastAsia" w:ascii="微软雅黑" w:hAnsi="微软雅黑" w:eastAsia="微软雅黑" w:cs="微软雅黑"/>
          <w:sz w:val="52"/>
          <w:szCs w:val="52"/>
        </w:rPr>
      </w:pPr>
      <w:r>
        <w:rPr>
          <w:rFonts w:hint="eastAsia" w:ascii="微软雅黑" w:hAnsi="微软雅黑" w:eastAsia="微软雅黑" w:cs="微软雅黑"/>
          <w:spacing w:val="-3"/>
          <w:sz w:val="52"/>
          <w:szCs w:val="52"/>
        </w:rPr>
        <w:t>绩效自评报告</w:t>
      </w:r>
    </w:p>
    <w:p>
      <w:pPr>
        <w:spacing w:line="243" w:lineRule="auto"/>
        <w:rPr>
          <w:rFonts w:hint="eastAsia" w:ascii="微软雅黑" w:hAnsi="微软雅黑" w:eastAsia="微软雅黑" w:cs="微软雅黑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9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1800" w:firstLineChars="600"/>
        <w:textAlignment w:val="auto"/>
        <w:rPr>
          <w:rFonts w:hint="eastAsia" w:ascii="仿宋_GB2312" w:hAnsi="仿宋_GB2312" w:eastAsia="仿宋_GB2312" w:cs="仿宋_GB2312"/>
          <w:spacing w:val="-10"/>
          <w:sz w:val="32"/>
          <w:szCs w:val="32"/>
        </w:rPr>
      </w:pP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1800" w:firstLineChars="6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ind w:firstLine="4560" w:firstLineChars="15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27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pStyle w:val="6"/>
        <w:spacing w:before="102" w:line="224" w:lineRule="auto"/>
        <w:ind w:firstLine="3360" w:firstLineChars="1000"/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</w:p>
    <w:p>
      <w:pPr>
        <w:pStyle w:val="9"/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 w:start="7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</w:p>
    <w:p>
      <w:pPr>
        <w:pStyle w:val="9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微软雅黑" w:hAnsi="微软雅黑" w:eastAsia="微软雅黑" w:cs="微软雅黑"/>
          <w:spacing w:val="6"/>
          <w:sz w:val="44"/>
          <w:szCs w:val="44"/>
          <w:lang w:eastAsia="zh-CN"/>
        </w:rPr>
      </w:pPr>
      <w:r>
        <w:rPr>
          <w:rFonts w:hint="eastAsia" w:ascii="微软雅黑" w:hAnsi="微软雅黑" w:eastAsia="微软雅黑" w:cs="微软雅黑"/>
          <w:spacing w:val="6"/>
          <w:sz w:val="44"/>
          <w:szCs w:val="44"/>
        </w:rPr>
        <w:t>2023年度</w:t>
      </w:r>
      <w:r>
        <w:rPr>
          <w:rFonts w:hint="eastAsia" w:ascii="微软雅黑" w:hAnsi="微软雅黑" w:eastAsia="微软雅黑" w:cs="微软雅黑"/>
          <w:spacing w:val="6"/>
          <w:sz w:val="44"/>
          <w:szCs w:val="44"/>
          <w:lang w:eastAsia="zh-CN"/>
        </w:rPr>
        <w:t>交通工程质量和安全监督站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微软雅黑" w:hAnsi="微软雅黑" w:eastAsia="微软雅黑" w:cs="微软雅黑"/>
          <w:sz w:val="44"/>
          <w:szCs w:val="44"/>
        </w:rPr>
      </w:pPr>
      <w:r>
        <w:rPr>
          <w:rFonts w:hint="eastAsia" w:ascii="微软雅黑" w:hAnsi="微软雅黑" w:eastAsia="微软雅黑" w:cs="微软雅黑"/>
          <w:spacing w:val="6"/>
          <w:sz w:val="44"/>
          <w:szCs w:val="44"/>
        </w:rPr>
        <w:t>部门整体支出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微软雅黑" w:hAnsi="微软雅黑" w:eastAsia="微软雅黑" w:cs="微软雅黑"/>
          <w:sz w:val="44"/>
          <w:szCs w:val="44"/>
        </w:rPr>
      </w:pPr>
      <w:r>
        <w:rPr>
          <w:rFonts w:hint="eastAsia" w:ascii="微软雅黑" w:hAnsi="微软雅黑" w:eastAsia="微软雅黑" w:cs="微软雅黑"/>
          <w:spacing w:val="7"/>
          <w:sz w:val="44"/>
          <w:szCs w:val="44"/>
        </w:rPr>
        <w:t>绩效自评报告</w:t>
      </w:r>
    </w:p>
    <w:p>
      <w:pPr>
        <w:spacing w:line="283" w:lineRule="auto"/>
        <w:rPr>
          <w:rFonts w:ascii="Arial"/>
          <w:sz w:val="21"/>
        </w:rPr>
      </w:pPr>
    </w:p>
    <w:p>
      <w:pPr>
        <w:spacing w:line="284" w:lineRule="auto"/>
        <w:rPr>
          <w:rFonts w:ascii="Arial"/>
          <w:sz w:val="21"/>
        </w:rPr>
      </w:pPr>
    </w:p>
    <w:p>
      <w:pPr>
        <w:pStyle w:val="9"/>
      </w:pPr>
    </w:p>
    <w:p>
      <w:pPr>
        <w:numPr>
          <w:ilvl w:val="0"/>
          <w:numId w:val="1"/>
        </w:numPr>
        <w:spacing w:before="101" w:line="228" w:lineRule="auto"/>
        <w:ind w:left="630" w:leftChars="0" w:firstLineChars="0"/>
        <w:rPr>
          <w:rFonts w:hint="eastAsia" w:ascii="黑体" w:hAnsi="黑体" w:eastAsia="黑体" w:cs="黑体"/>
          <w:spacing w:val="5"/>
          <w:sz w:val="32"/>
          <w:szCs w:val="32"/>
        </w:rPr>
      </w:pPr>
      <w:r>
        <w:rPr>
          <w:rFonts w:hint="eastAsia" w:ascii="黑体" w:hAnsi="黑体" w:eastAsia="黑体" w:cs="黑体"/>
          <w:spacing w:val="5"/>
          <w:sz w:val="32"/>
          <w:szCs w:val="32"/>
        </w:rPr>
        <w:t>部门基本情况</w:t>
      </w:r>
    </w:p>
    <w:p>
      <w:pPr>
        <w:pStyle w:val="9"/>
        <w:numPr>
          <w:ilvl w:val="0"/>
          <w:numId w:val="0"/>
        </w:numPr>
        <w:rPr>
          <w:rFonts w:hint="eastAsia"/>
        </w:rPr>
      </w:pPr>
    </w:p>
    <w:p>
      <w:pPr>
        <w:widowControl w:val="0"/>
        <w:spacing w:line="600" w:lineRule="exact"/>
        <w:ind w:firstLine="560" w:firstLineChars="200"/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zh-CN"/>
        </w:rPr>
        <w:t>华容县交通工程质量和安全监督站</w:t>
      </w:r>
      <w:r>
        <w:rPr>
          <w:rFonts w:hint="eastAsia" w:ascii="宋体" w:hAnsi="宋体" w:cs="宋体"/>
          <w:color w:val="auto"/>
          <w:sz w:val="28"/>
          <w:szCs w:val="28"/>
          <w:highlight w:val="white"/>
          <w:lang w:val="zh-CN"/>
        </w:rPr>
        <w:t>为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/>
        </w:rPr>
        <w:t>副科级全额拨款事业单位。</w:t>
      </w:r>
    </w:p>
    <w:p>
      <w:pPr>
        <w:pStyle w:val="10"/>
        <w:shd w:val="clear" w:color="auto" w:fill="FFFFFF"/>
        <w:spacing w:before="0" w:beforeAutospacing="0" w:after="0" w:afterAutospacing="0" w:line="576" w:lineRule="atLeast"/>
        <w:ind w:firstLine="560"/>
        <w:jc w:val="both"/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/>
        </w:rPr>
      </w:pPr>
      <w:r>
        <w:rPr>
          <w:rFonts w:hint="eastAsia" w:ascii="宋体" w:hAnsi="宋体" w:eastAsia="宋体" w:cs="宋体"/>
          <w:color w:val="auto"/>
          <w:kern w:val="2"/>
          <w:sz w:val="28"/>
          <w:szCs w:val="28"/>
          <w:highlight w:val="white"/>
          <w:lang w:val="zh-CN" w:eastAsia="zh-CN" w:bidi="ar-SA"/>
        </w:rPr>
        <w:t>负责公路水运工程的质量监管，相关从业人员的资质管理与业务培训，对工程质量和施工安全等问题的调查处理、负责审查交通建设项目各阶段的工程造价，负责交通建设工程造价资料的收集、整理、定期发表材料价格信息。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对县交通主管部门委托范围内的项目进行质量和安全监督，并接受市交通质量和安全监督站的业务指导和考核。承办县交通运输局交办的其他事项。</w:t>
      </w:r>
    </w:p>
    <w:p>
      <w:pPr>
        <w:widowControl w:val="0"/>
        <w:spacing w:line="600" w:lineRule="exact"/>
        <w:ind w:firstLine="560" w:firstLineChars="200"/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/>
        </w:rPr>
        <w:t>(一)内设机构设置</w:t>
      </w:r>
    </w:p>
    <w:p>
      <w:pPr>
        <w:widowControl w:val="0"/>
        <w:spacing w:line="600" w:lineRule="exact"/>
        <w:ind w:left="559" w:leftChars="266" w:firstLine="0" w:firstLineChars="0"/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zh-CN"/>
        </w:rPr>
        <w:t>华容县交通工程质量和安全监督站单位内设机构包括：综合办公室、质量监督室、安全监督室。</w:t>
      </w:r>
    </w:p>
    <w:p>
      <w:pPr>
        <w:widowControl w:val="0"/>
        <w:spacing w:line="600" w:lineRule="exact"/>
        <w:ind w:firstLine="560" w:firstLineChars="200"/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/>
        </w:rPr>
        <w:t>(一)</w:t>
      </w:r>
      <w:r>
        <w:rPr>
          <w:rFonts w:hint="eastAsia" w:ascii="宋体" w:hAnsi="宋体" w:cs="宋体"/>
          <w:color w:val="auto"/>
          <w:sz w:val="28"/>
          <w:szCs w:val="28"/>
          <w:highlight w:val="white"/>
          <w:lang w:val="en-US" w:eastAsia="zh-CN"/>
        </w:rPr>
        <w:t>人员编制情况</w:t>
      </w:r>
    </w:p>
    <w:p>
      <w:pPr>
        <w:widowControl w:val="0"/>
        <w:spacing w:line="600" w:lineRule="exact"/>
        <w:ind w:left="559" w:leftChars="266" w:firstLine="0" w:firstLineChars="0"/>
        <w:rPr>
          <w:rFonts w:hint="default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zh-CN"/>
        </w:rPr>
        <w:t>华容县交通工程质量和安全监督站单位核定编制</w:t>
      </w:r>
      <w:r>
        <w:rPr>
          <w:rFonts w:hint="eastAsia" w:ascii="宋体" w:hAnsi="宋体" w:cs="宋体"/>
          <w:color w:val="auto"/>
          <w:sz w:val="28"/>
          <w:szCs w:val="28"/>
          <w:highlight w:val="white"/>
          <w:lang w:val="en-US" w:eastAsia="zh-CN"/>
        </w:rPr>
        <w:t>24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zh-CN"/>
        </w:rPr>
        <w:t>人，实有在职人员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21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zh-CN"/>
        </w:rPr>
        <w:t>人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zh-CN" w:eastAsia="zh-CN"/>
        </w:rPr>
        <w:t>，退休人员</w:t>
      </w:r>
      <w:r>
        <w:rPr>
          <w:rFonts w:hint="eastAsia" w:ascii="宋体" w:hAnsi="宋体" w:cs="宋体"/>
          <w:color w:val="auto"/>
          <w:sz w:val="28"/>
          <w:szCs w:val="28"/>
          <w:highlight w:val="white"/>
          <w:lang w:val="en-US" w:eastAsia="zh-CN"/>
        </w:rPr>
        <w:t>4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人。</w:t>
      </w:r>
    </w:p>
    <w:p>
      <w:pPr>
        <w:spacing w:before="216" w:line="226" w:lineRule="auto"/>
        <w:ind w:left="0" w:leftChars="0" w:firstLine="638" w:firstLineChars="202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-2"/>
          <w:sz w:val="32"/>
          <w:szCs w:val="32"/>
          <w:lang w:eastAsia="zh-CN"/>
        </w:rPr>
        <w:t>二、</w:t>
      </w:r>
      <w:r>
        <w:rPr>
          <w:rFonts w:hint="eastAsia" w:ascii="黑体" w:hAnsi="黑体" w:eastAsia="黑体" w:cs="黑体"/>
          <w:spacing w:val="-2"/>
          <w:sz w:val="32"/>
          <w:szCs w:val="32"/>
        </w:rPr>
        <w:t>公共预算支出情况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（一）基本支出情况</w:t>
      </w:r>
    </w:p>
    <w:p>
      <w:pPr>
        <w:widowControl w:val="0"/>
        <w:spacing w:line="600" w:lineRule="exact"/>
        <w:ind w:firstLine="560" w:firstLineChars="200"/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2023年一般公共预算支出265.28万元，其中，214交通运输支出（类）21401公路水路运输（款）2140101行政运行（项）预算数为265.28万元，占一般公共预算当年拨款支出100%。具体安排情况如下：</w:t>
      </w:r>
    </w:p>
    <w:p>
      <w:pPr>
        <w:widowControl w:val="0"/>
        <w:spacing w:line="600" w:lineRule="exact"/>
        <w:ind w:firstLine="560" w:firstLineChars="200"/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</w:pPr>
      <w:r>
        <w:rPr>
          <w:rFonts w:hint="eastAsia" w:ascii="宋体" w:hAnsi="宋体" w:cs="宋体"/>
          <w:color w:val="auto"/>
          <w:sz w:val="28"/>
          <w:szCs w:val="28"/>
          <w:highlight w:val="white"/>
          <w:lang w:val="en-US" w:eastAsia="zh-CN"/>
        </w:rPr>
        <w:t>1.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基本支出：2023年基本支出年初预算数为254.78万元，是指为保障单位机构正常运转、完成日常工作任务而发生的各项支出，包括用于基本工资、津贴补贴等人员经费以及办公费、印刷费、水电费、差旅费等日常公用经费。</w:t>
      </w:r>
    </w:p>
    <w:p>
      <w:pPr>
        <w:widowControl w:val="0"/>
        <w:spacing w:line="600" w:lineRule="exact"/>
        <w:ind w:firstLine="560" w:firstLineChars="200"/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zh-CN"/>
        </w:rPr>
      </w:pPr>
      <w:r>
        <w:rPr>
          <w:rFonts w:hint="eastAsia" w:ascii="宋体" w:hAnsi="宋体" w:cs="宋体"/>
          <w:color w:val="auto"/>
          <w:sz w:val="28"/>
          <w:szCs w:val="28"/>
          <w:highlight w:val="white"/>
          <w:lang w:val="en-US" w:eastAsia="zh-CN"/>
        </w:rPr>
        <w:t>2.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项目支出：2023年项目支出年初预算数为10.5万元，是指单位为完成特定行政工作任务或事业发展目标而发生的支出，包括有关业务工作经费、运行维护经费等。其中：业务工作经费支出6万元，主要用于交通工程质量监督安全宣传等方面；运行维护经费4.5万元，主要用于交通工程质量监督等方面。</w:t>
      </w:r>
    </w:p>
    <w:p>
      <w:pPr>
        <w:pStyle w:val="2"/>
        <w:ind w:left="0" w:leftChars="0" w:firstLine="0" w:firstLineChars="0"/>
        <w:rPr>
          <w:rFonts w:hint="eastAsia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项目支出情况</w:t>
      </w:r>
    </w:p>
    <w:p>
      <w:pPr>
        <w:widowControl/>
        <w:spacing w:line="600" w:lineRule="exact"/>
        <w:ind w:firstLine="1400" w:firstLineChars="500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本单位无项目支出。</w:t>
      </w:r>
    </w:p>
    <w:p>
      <w:pPr>
        <w:pStyle w:val="5"/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1"/>
        </w:numPr>
        <w:spacing w:before="224" w:line="227" w:lineRule="auto"/>
        <w:ind w:left="630" w:leftChars="0" w:firstLine="0" w:firstLineChars="0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政府性基金预算支出情况</w:t>
      </w:r>
    </w:p>
    <w:p>
      <w:pPr>
        <w:widowControl w:val="0"/>
        <w:spacing w:line="600" w:lineRule="exact"/>
        <w:ind w:left="1117" w:leftChars="532" w:firstLine="280" w:firstLineChars="100"/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2023年度本</w:t>
      </w:r>
      <w:r>
        <w:rPr>
          <w:rFonts w:hint="eastAsia" w:ascii="宋体" w:hAnsi="宋体" w:cs="宋体"/>
          <w:color w:val="auto"/>
          <w:sz w:val="28"/>
          <w:szCs w:val="28"/>
          <w:highlight w:val="white"/>
          <w:lang w:val="en-US" w:eastAsia="zh-CN"/>
        </w:rPr>
        <w:t>单位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无政府性基金安排的支出</w:t>
      </w:r>
      <w:r>
        <w:rPr>
          <w:rFonts w:hint="eastAsia" w:ascii="宋体" w:hAnsi="宋体" w:cs="宋体"/>
          <w:color w:val="auto"/>
          <w:sz w:val="28"/>
          <w:szCs w:val="28"/>
          <w:highlight w:val="white"/>
          <w:lang w:val="en-US" w:eastAsia="zh-CN"/>
        </w:rPr>
        <w:t>。</w:t>
      </w:r>
    </w:p>
    <w:p>
      <w:pPr>
        <w:numPr>
          <w:ilvl w:val="0"/>
          <w:numId w:val="1"/>
        </w:numPr>
        <w:spacing w:before="219" w:line="600" w:lineRule="exact"/>
        <w:ind w:left="630" w:leftChars="0" w:firstLine="0" w:firstLineChars="0"/>
        <w:rPr>
          <w:rFonts w:hint="eastAsia" w:ascii="黑体" w:hAnsi="黑体" w:eastAsia="黑体" w:cs="黑体"/>
          <w:spacing w:val="7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7"/>
          <w:position w:val="21"/>
          <w:sz w:val="32"/>
          <w:szCs w:val="32"/>
        </w:rPr>
        <w:t>国有资本经营预算支出情况</w:t>
      </w:r>
    </w:p>
    <w:p>
      <w:pPr>
        <w:pStyle w:val="5"/>
        <w:numPr>
          <w:ilvl w:val="0"/>
          <w:numId w:val="0"/>
        </w:numPr>
        <w:ind w:left="630" w:leftChars="0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   本单位无国有资本经营预算支出。</w:t>
      </w:r>
    </w:p>
    <w:p>
      <w:pPr>
        <w:numPr>
          <w:ilvl w:val="0"/>
          <w:numId w:val="1"/>
        </w:numPr>
        <w:spacing w:line="227" w:lineRule="auto"/>
        <w:ind w:left="630" w:leftChars="0" w:firstLine="0" w:firstLineChars="0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社会保险基金预算支出情况</w:t>
      </w:r>
    </w:p>
    <w:p>
      <w:pPr>
        <w:pStyle w:val="5"/>
        <w:numPr>
          <w:ilvl w:val="0"/>
          <w:numId w:val="0"/>
        </w:numPr>
        <w:ind w:left="630"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lang w:val="en-US" w:eastAsia="zh-CN"/>
        </w:rPr>
        <w:t xml:space="preserve">       </w:t>
      </w:r>
      <w:r>
        <w:rPr>
          <w:rFonts w:hint="eastAsia"/>
          <w:sz w:val="28"/>
          <w:szCs w:val="28"/>
          <w:lang w:val="en-US" w:eastAsia="zh-CN"/>
        </w:rPr>
        <w:t>本单位无社会保险基金预算支出。</w:t>
      </w:r>
    </w:p>
    <w:p>
      <w:pPr>
        <w:numPr>
          <w:ilvl w:val="0"/>
          <w:numId w:val="1"/>
        </w:numPr>
        <w:spacing w:before="219" w:line="226" w:lineRule="auto"/>
        <w:ind w:left="630" w:leftChars="0" w:firstLine="0" w:firstLineChars="0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部门整体支出绩效情况</w:t>
      </w:r>
    </w:p>
    <w:p>
      <w:pPr>
        <w:widowControl w:val="0"/>
        <w:numPr>
          <w:ilvl w:val="0"/>
          <w:numId w:val="0"/>
        </w:numPr>
        <w:spacing w:line="600" w:lineRule="exact"/>
        <w:ind w:left="19" w:leftChars="9" w:firstLine="817" w:firstLineChars="292"/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2023年，根据该站年初工作规划和重点工作，围绕县委、县政府的工作部署，积极履行职责，强化管理，较好地完成了年度工作目标，同时加强预算收支的管理，建立健全内部管理制度，严格内部管理流程，部门整体支出管理得到了提升。2023年度部门整体支出绩效情况如下：</w:t>
      </w:r>
    </w:p>
    <w:p>
      <w:pPr>
        <w:widowControl w:val="0"/>
        <w:numPr>
          <w:ilvl w:val="0"/>
          <w:numId w:val="0"/>
        </w:numPr>
        <w:spacing w:line="600" w:lineRule="exact"/>
        <w:ind w:firstLine="840" w:firstLineChars="300"/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1、预算执行方面，该单位预算资金按规定管理使用。</w:t>
      </w:r>
    </w:p>
    <w:p>
      <w:pPr>
        <w:widowControl w:val="0"/>
        <w:numPr>
          <w:ilvl w:val="0"/>
          <w:numId w:val="0"/>
        </w:numPr>
        <w:spacing w:line="600" w:lineRule="exact"/>
        <w:ind w:left="838" w:leftChars="399" w:firstLine="0" w:firstLineChars="0"/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2、预算管理方面，制定了切实有效的内部财务、资产内部管理制度，执行总体较为有效。</w:t>
      </w:r>
    </w:p>
    <w:p>
      <w:pPr>
        <w:widowControl w:val="0"/>
        <w:numPr>
          <w:ilvl w:val="0"/>
          <w:numId w:val="0"/>
        </w:numPr>
        <w:spacing w:line="600" w:lineRule="exact"/>
        <w:ind w:firstLine="840" w:firstLineChars="300"/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3、受监农村公路项目建设推进有力。</w:t>
      </w:r>
    </w:p>
    <w:p>
      <w:pPr>
        <w:widowControl w:val="0"/>
        <w:numPr>
          <w:ilvl w:val="0"/>
          <w:numId w:val="0"/>
        </w:numPr>
        <w:spacing w:line="600" w:lineRule="exact"/>
        <w:ind w:left="838" w:leftChars="399" w:firstLine="0" w:firstLineChars="0"/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（1）2023年共计完成了计划内农村公路</w:t>
      </w:r>
      <w:r>
        <w:rPr>
          <w:rFonts w:hint="eastAsia" w:ascii="宋体" w:hAnsi="宋体" w:cs="宋体"/>
          <w:color w:val="auto"/>
          <w:sz w:val="28"/>
          <w:szCs w:val="28"/>
          <w:highlight w:val="white"/>
          <w:lang w:val="en-US" w:eastAsia="zh-CN"/>
        </w:rPr>
        <w:t>三路建设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受监</w:t>
      </w:r>
      <w:r>
        <w:rPr>
          <w:rFonts w:hint="eastAsia" w:ascii="宋体" w:hAnsi="宋体" w:cs="宋体"/>
          <w:color w:val="auto"/>
          <w:sz w:val="28"/>
          <w:szCs w:val="28"/>
          <w:highlight w:val="white"/>
          <w:lang w:val="en-US" w:eastAsia="zh-CN"/>
        </w:rPr>
        <w:t>任务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共约</w:t>
      </w:r>
      <w:r>
        <w:rPr>
          <w:rFonts w:hint="eastAsia" w:ascii="宋体" w:hAnsi="宋体" w:cs="宋体"/>
          <w:color w:val="auto"/>
          <w:sz w:val="28"/>
          <w:szCs w:val="28"/>
          <w:highlight w:val="white"/>
          <w:lang w:val="en-US" w:eastAsia="zh-CN"/>
        </w:rPr>
        <w:t>60余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公里。</w:t>
      </w:r>
    </w:p>
    <w:p>
      <w:pPr>
        <w:widowControl w:val="0"/>
        <w:numPr>
          <w:ilvl w:val="0"/>
          <w:numId w:val="0"/>
        </w:numPr>
        <w:spacing w:line="600" w:lineRule="exact"/>
        <w:ind w:left="838" w:leftChars="399" w:firstLine="0" w:firstLineChars="0"/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（2）危桥改造受监项目</w:t>
      </w:r>
      <w:r>
        <w:rPr>
          <w:rFonts w:hint="eastAsia" w:ascii="宋体" w:hAnsi="宋体" w:cs="宋体"/>
          <w:color w:val="auto"/>
          <w:sz w:val="28"/>
          <w:szCs w:val="28"/>
          <w:highlight w:val="white"/>
          <w:lang w:val="en-US" w:eastAsia="zh-CN"/>
        </w:rPr>
        <w:t>10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座，</w:t>
      </w:r>
      <w:r>
        <w:rPr>
          <w:rFonts w:hint="eastAsia" w:ascii="宋体" w:hAnsi="宋体" w:cs="宋体"/>
          <w:color w:val="auto"/>
          <w:sz w:val="28"/>
          <w:szCs w:val="28"/>
          <w:highlight w:val="white"/>
          <w:lang w:val="en-US" w:eastAsia="zh-CN"/>
        </w:rPr>
        <w:t>养护工程监督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项目</w:t>
      </w:r>
      <w:r>
        <w:rPr>
          <w:rFonts w:hint="eastAsia" w:ascii="宋体" w:hAnsi="宋体" w:cs="宋体"/>
          <w:color w:val="auto"/>
          <w:sz w:val="28"/>
          <w:szCs w:val="28"/>
          <w:highlight w:val="white"/>
          <w:lang w:val="en-US" w:eastAsia="zh-CN"/>
        </w:rPr>
        <w:t>97处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，</w:t>
      </w:r>
      <w:r>
        <w:rPr>
          <w:rFonts w:hint="eastAsia" w:ascii="宋体" w:hAnsi="宋体" w:cs="宋体"/>
          <w:color w:val="auto"/>
          <w:sz w:val="28"/>
          <w:szCs w:val="28"/>
          <w:highlight w:val="white"/>
          <w:lang w:val="en-US" w:eastAsia="zh-CN"/>
        </w:rPr>
        <w:t>安防工程监督任务200余公里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。</w:t>
      </w:r>
    </w:p>
    <w:p>
      <w:pPr>
        <w:widowControl w:val="0"/>
        <w:numPr>
          <w:ilvl w:val="0"/>
          <w:numId w:val="0"/>
        </w:numPr>
        <w:spacing w:line="600" w:lineRule="exact"/>
        <w:ind w:left="838" w:leftChars="399" w:firstLine="0" w:firstLineChars="0"/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（3）为保障工程质量和安全监管不缺位，全年共计进行质安巡   查</w:t>
      </w:r>
      <w:r>
        <w:rPr>
          <w:rFonts w:hint="eastAsia" w:ascii="宋体" w:hAnsi="宋体" w:cs="宋体"/>
          <w:color w:val="auto"/>
          <w:sz w:val="28"/>
          <w:szCs w:val="28"/>
          <w:highlight w:val="white"/>
          <w:lang w:val="en-US" w:eastAsia="zh-CN"/>
        </w:rPr>
        <w:t>87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余次，</w:t>
      </w:r>
      <w:r>
        <w:rPr>
          <w:rFonts w:hint="eastAsia" w:ascii="宋体" w:hAnsi="宋体" w:cs="宋体"/>
          <w:color w:val="auto"/>
          <w:sz w:val="28"/>
          <w:szCs w:val="28"/>
          <w:highlight w:val="white"/>
          <w:lang w:val="en-US" w:eastAsia="zh-CN"/>
        </w:rPr>
        <w:t>危桥改造施工安全巡查30余次，养护工程施工安全巡查120余次，安防工程建设安全巡查50余次，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 xml:space="preserve">质安隐患下发整改通知 </w:t>
      </w:r>
      <w:r>
        <w:rPr>
          <w:rFonts w:hint="eastAsia" w:ascii="宋体" w:hAnsi="宋体" w:cs="宋体"/>
          <w:color w:val="auto"/>
          <w:sz w:val="28"/>
          <w:szCs w:val="28"/>
          <w:highlight w:val="white"/>
          <w:lang w:val="en-US" w:eastAsia="zh-CN"/>
        </w:rPr>
        <w:t>3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处，均已闭环处置，实现了监督覆盖率100 ％，项目合格率100 ％，施工建设安全生产率100 ％，圆满完成了年度工作目标和任务。</w:t>
      </w:r>
    </w:p>
    <w:p>
      <w:pPr>
        <w:pStyle w:val="5"/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1"/>
        </w:numPr>
        <w:spacing w:before="220" w:line="600" w:lineRule="exact"/>
        <w:ind w:left="630" w:leftChars="0" w:firstLine="0" w:firstLineChars="0"/>
        <w:rPr>
          <w:rFonts w:hint="eastAsia" w:ascii="黑体" w:hAnsi="黑体" w:eastAsia="黑体" w:cs="黑体"/>
          <w:spacing w:val="9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存在的问题及原因分析</w:t>
      </w:r>
    </w:p>
    <w:p>
      <w:pPr>
        <w:widowControl w:val="0"/>
        <w:numPr>
          <w:ilvl w:val="0"/>
          <w:numId w:val="0"/>
        </w:numPr>
        <w:spacing w:line="600" w:lineRule="exact"/>
        <w:ind w:left="559" w:leftChars="266" w:firstLine="560" w:firstLineChars="200"/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Times New Roman"/>
          <w:color w:val="auto"/>
          <w:sz w:val="28"/>
          <w:szCs w:val="28"/>
          <w:lang w:val="en-US" w:eastAsia="zh-CN"/>
        </w:rPr>
        <w:t>预算编制有待更严格执行，预算编制与实际支出项目有的存在差异。主要原因是预算前期编制不全面，预算执行过程中需要调整。</w:t>
      </w:r>
    </w:p>
    <w:p>
      <w:pPr>
        <w:pStyle w:val="2"/>
        <w:rPr>
          <w:rFonts w:hint="eastAsia"/>
        </w:rPr>
      </w:pPr>
    </w:p>
    <w:p>
      <w:pPr>
        <w:numPr>
          <w:ilvl w:val="0"/>
          <w:numId w:val="1"/>
        </w:numPr>
        <w:spacing w:line="227" w:lineRule="auto"/>
        <w:ind w:left="630" w:leftChars="0" w:firstLine="0" w:firstLineChars="0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下一步改进措施</w:t>
      </w:r>
    </w:p>
    <w:p>
      <w:pPr>
        <w:widowControl w:val="0"/>
        <w:spacing w:line="600" w:lineRule="exact"/>
        <w:ind w:left="559" w:leftChars="266" w:firstLine="560" w:firstLineChars="200"/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1、进一步强化预算管理意识，预算编制前多与有关各方做好沟通衔接，提高预算编制的科学性、合理性、准确性和可控性。</w:t>
      </w:r>
    </w:p>
    <w:p>
      <w:pPr>
        <w:widowControl w:val="0"/>
        <w:spacing w:line="600" w:lineRule="exact"/>
        <w:ind w:left="559" w:leftChars="266" w:firstLine="560" w:firstLineChars="200"/>
        <w:rPr>
          <w:rFonts w:hint="default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2、完善各类支出管理制度、明细收支项目，坚持专款专用，提高预算编制的前瞻性和指导性。</w:t>
      </w:r>
    </w:p>
    <w:p>
      <w:pPr>
        <w:widowControl w:val="0"/>
        <w:spacing w:line="600" w:lineRule="exact"/>
        <w:ind w:left="559" w:leftChars="266" w:firstLine="560" w:firstLineChars="200"/>
        <w:rPr>
          <w:rFonts w:hint="default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3、进一步推进预算绩效管理信息系统建设，完善绩效管理相关制度，提高可操作性。</w:t>
      </w:r>
    </w:p>
    <w:p>
      <w:pPr>
        <w:widowControl w:val="0"/>
        <w:spacing w:line="600" w:lineRule="exact"/>
        <w:ind w:left="559" w:leftChars="266" w:firstLine="560" w:firstLineChars="200"/>
        <w:rPr>
          <w:rFonts w:hint="default" w:ascii="Calibri" w:hAnsi="Calibri" w:cs="Calibri"/>
          <w:i w:val="0"/>
          <w:iCs w:val="0"/>
          <w:caps w:val="0"/>
          <w:color w:val="666666"/>
          <w:spacing w:val="0"/>
          <w:sz w:val="24"/>
          <w:szCs w:val="24"/>
        </w:rPr>
      </w:pPr>
      <w:r>
        <w:rPr>
          <w:rFonts w:hint="default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4、构建单位财务部门和业务部门共同参与、协调配合的绩效评价工作机制，提高财政资金使用效益。</w:t>
      </w:r>
    </w:p>
    <w:p>
      <w:pPr>
        <w:pStyle w:val="5"/>
        <w:numPr>
          <w:ilvl w:val="0"/>
          <w:numId w:val="0"/>
        </w:numPr>
        <w:ind w:left="630" w:leftChars="0"/>
        <w:rPr>
          <w:rFonts w:hint="eastAsia"/>
        </w:rPr>
      </w:pPr>
    </w:p>
    <w:p>
      <w:pPr>
        <w:spacing w:before="219" w:line="600" w:lineRule="exact"/>
        <w:ind w:left="650"/>
        <w:rPr>
          <w:rFonts w:hint="eastAsia" w:ascii="黑体" w:hAnsi="黑体" w:eastAsia="黑体" w:cs="黑体"/>
          <w:spacing w:val="9"/>
          <w:position w:val="21"/>
          <w:sz w:val="32"/>
          <w:szCs w:val="32"/>
        </w:rPr>
      </w:pPr>
    </w:p>
    <w:p>
      <w:pPr>
        <w:spacing w:before="219" w:line="600" w:lineRule="exact"/>
        <w:ind w:left="650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hint="eastAsia" w:ascii="黑体" w:hAnsi="黑体" w:eastAsia="黑体" w:cs="黑体"/>
          <w:spacing w:val="8"/>
          <w:position w:val="21"/>
          <w:sz w:val="32"/>
          <w:szCs w:val="32"/>
        </w:rPr>
        <w:t>情况</w:t>
      </w:r>
    </w:p>
    <w:p>
      <w:pPr>
        <w:widowControl w:val="0"/>
        <w:spacing w:line="600" w:lineRule="exact"/>
        <w:ind w:left="559" w:leftChars="266" w:firstLine="840" w:firstLineChars="300"/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部门整体支出绩效</w:t>
      </w:r>
      <w:r>
        <w:rPr>
          <w:rFonts w:hint="eastAsia" w:ascii="宋体" w:hAnsi="宋体" w:cs="宋体"/>
          <w:color w:val="auto"/>
          <w:sz w:val="28"/>
          <w:szCs w:val="28"/>
          <w:highlight w:val="white"/>
          <w:lang w:val="en-US" w:eastAsia="zh-CN"/>
        </w:rPr>
        <w:t>自评结果</w:t>
      </w: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已完全按照实际文件要求公开</w:t>
      </w:r>
      <w:r>
        <w:rPr>
          <w:rFonts w:hint="eastAsia" w:ascii="宋体" w:hAnsi="宋体" w:cs="宋体"/>
          <w:color w:val="auto"/>
          <w:sz w:val="28"/>
          <w:szCs w:val="28"/>
          <w:highlight w:val="white"/>
          <w:lang w:val="en-US" w:eastAsia="zh-CN"/>
        </w:rPr>
        <w:t>。</w:t>
      </w:r>
    </w:p>
    <w:p>
      <w:pPr>
        <w:spacing w:line="226" w:lineRule="auto"/>
        <w:ind w:firstLine="628" w:firstLineChars="200"/>
        <w:rPr>
          <w:rFonts w:hint="eastAsia" w:ascii="黑体" w:hAnsi="黑体" w:eastAsia="黑体" w:cs="黑体"/>
          <w:spacing w:val="-3"/>
          <w:sz w:val="32"/>
          <w:szCs w:val="32"/>
        </w:rPr>
      </w:pPr>
    </w:p>
    <w:p>
      <w:pPr>
        <w:spacing w:line="226" w:lineRule="auto"/>
        <w:ind w:firstLine="628" w:firstLineChars="200"/>
        <w:rPr>
          <w:rFonts w:hint="eastAsia" w:ascii="黑体" w:hAnsi="黑体" w:eastAsia="黑体" w:cs="黑体"/>
          <w:spacing w:val="-3"/>
          <w:sz w:val="32"/>
          <w:szCs w:val="32"/>
        </w:rPr>
      </w:pPr>
      <w:r>
        <w:rPr>
          <w:rFonts w:hint="eastAsia" w:ascii="黑体" w:hAnsi="黑体" w:eastAsia="黑体" w:cs="黑体"/>
          <w:spacing w:val="-3"/>
          <w:sz w:val="32"/>
          <w:szCs w:val="32"/>
        </w:rPr>
        <w:t>十、其他需要说明的情况</w:t>
      </w:r>
    </w:p>
    <w:p>
      <w:pPr>
        <w:widowControl w:val="0"/>
        <w:spacing w:line="600" w:lineRule="exact"/>
        <w:ind w:left="559" w:leftChars="266" w:firstLine="840" w:firstLineChars="300"/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highlight w:val="white"/>
          <w:lang w:val="en-US" w:eastAsia="zh-CN"/>
        </w:rPr>
        <w:t>无</w:t>
      </w:r>
    </w:p>
    <w:p>
      <w:pPr>
        <w:rPr>
          <w:rFonts w:ascii="黑体" w:hAnsi="黑体" w:eastAsia="黑体" w:cs="黑体"/>
          <w:spacing w:val="-3"/>
          <w:sz w:val="31"/>
          <w:szCs w:val="31"/>
        </w:rPr>
      </w:pPr>
      <w:r>
        <w:rPr>
          <w:rFonts w:ascii="黑体" w:hAnsi="黑体" w:eastAsia="黑体" w:cs="黑体"/>
          <w:spacing w:val="-3"/>
          <w:sz w:val="31"/>
          <w:szCs w:val="31"/>
        </w:rPr>
        <w:br w:type="page"/>
      </w:r>
    </w:p>
    <w:p>
      <w:pPr>
        <w:jc w:val="both"/>
        <w:rPr>
          <w:rFonts w:hint="default" w:ascii="Times New Roman" w:hAnsi="Times New Roman" w:eastAsia="方正小标宋_GBK" w:cs="Times New Roman"/>
          <w:sz w:val="52"/>
          <w:szCs w:val="52"/>
        </w:rPr>
        <w:sectPr>
          <w:footerReference r:id="rId4" w:type="default"/>
          <w:pgSz w:w="11905" w:h="16838"/>
          <w:pgMar w:top="1984" w:right="1701" w:bottom="1984" w:left="1701" w:header="850" w:footer="992" w:gutter="0"/>
          <w:pgNumType w:fmt="numberInDash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2023年度部门整体支出绩效自评表</w:t>
      </w:r>
    </w:p>
    <w:p>
      <w:pPr>
        <w:spacing w:line="132" w:lineRule="exact"/>
      </w:pPr>
    </w:p>
    <w:tbl>
      <w:tblPr>
        <w:tblStyle w:val="18"/>
        <w:tblW w:w="8594" w:type="dxa"/>
        <w:jc w:val="center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23"/>
        <w:gridCol w:w="990"/>
        <w:gridCol w:w="866"/>
        <w:gridCol w:w="1119"/>
        <w:gridCol w:w="1181"/>
        <w:gridCol w:w="859"/>
        <w:gridCol w:w="694"/>
        <w:gridCol w:w="720"/>
        <w:gridCol w:w="1342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56" w:hRule="atLeast"/>
          <w:jc w:val="center"/>
        </w:trPr>
        <w:tc>
          <w:tcPr>
            <w:tcW w:w="2679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省级预算部门、单位名称</w:t>
            </w:r>
          </w:p>
        </w:tc>
        <w:tc>
          <w:tcPr>
            <w:tcW w:w="5915" w:type="dxa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交通工程质量和安全监督站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0" w:hRule="atLeast"/>
          <w:jc w:val="center"/>
        </w:trPr>
        <w:tc>
          <w:tcPr>
            <w:tcW w:w="823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年度预算申请（万元）</w:t>
            </w:r>
          </w:p>
        </w:tc>
        <w:tc>
          <w:tcPr>
            <w:tcW w:w="185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3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85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年度资金总额</w:t>
            </w: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265.28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282.42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282.42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3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156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58" w:firstLineChars="28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按收入性质分：</w:t>
            </w:r>
          </w:p>
        </w:tc>
        <w:tc>
          <w:tcPr>
            <w:tcW w:w="3615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按支出性质分：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3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156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其中：一般公共预算：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278.63</w:t>
            </w:r>
          </w:p>
        </w:tc>
        <w:tc>
          <w:tcPr>
            <w:tcW w:w="3615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其中：基本支出：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282.42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3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156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政府性基金拨款：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3615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840" w:firstLineChars="4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3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156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纳入专户管理的非税收入拨款：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3615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3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156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3.79</w:t>
            </w:r>
          </w:p>
        </w:tc>
        <w:tc>
          <w:tcPr>
            <w:tcW w:w="3615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3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总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体目标</w:t>
            </w:r>
          </w:p>
        </w:tc>
        <w:tc>
          <w:tcPr>
            <w:tcW w:w="4156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3615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23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156" w:type="dxa"/>
            <w:gridSpan w:val="4"/>
            <w:vAlign w:val="center"/>
          </w:tcPr>
          <w:p>
            <w:pPr>
              <w:pStyle w:val="9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  <w:t>重点监管农村公路交通建设项目的质量、排查项目安全隐患，提高安全生产和应急管理水平，强化安全生产责任，提高人民群众幸福感，维护社会稳定。</w:t>
            </w:r>
          </w:p>
        </w:tc>
        <w:tc>
          <w:tcPr>
            <w:tcW w:w="3615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  <w:t>农村公路三路建设受监项目60公里、危桥改造监督任务10座、农村客运站场建设监督任务3处和公路事务中心部分大、中修、生命安防建设受监任务。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60" w:hRule="atLeast"/>
          <w:jc w:val="center"/>
        </w:trPr>
        <w:tc>
          <w:tcPr>
            <w:tcW w:w="823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990" w:type="dxa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86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偏差原因分析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866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安全监督、安全主题宣传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12</w:t>
            </w: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次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8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  <w:t>开展党风廉</w:t>
            </w:r>
          </w:p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  <w:t>政教育活动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12</w:t>
            </w: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次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  <w:t>农村公路管养、建设监督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60</w:t>
            </w: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公里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  <w:t>危桥改造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default" w:asciiTheme="minorEastAsia" w:hAnsiTheme="minorEastAsia" w:eastAsiaTheme="minorEastAsia" w:cstheme="minorEastAsia"/>
                <w:sz w:val="18"/>
                <w:szCs w:val="18"/>
                <w:lang w:val="en-US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lang w:val="en-US" w:eastAsia="zh-CN"/>
              </w:rPr>
              <w:t>10座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5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eastAsia="zh-CN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8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农村客运站场监督任务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3处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  <w:t>资金给付及时率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default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default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both"/>
              <w:textAlignment w:val="baseline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99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866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eastAsia="zh-CN"/>
              </w:rPr>
              <w:t>促进农村公路安全生产监督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10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10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安全宣传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项目工程零事故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引导工程项目做好环境保护和节能减排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10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  <w:t>10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both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both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both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866" w:type="dxa"/>
            <w:vMerge w:val="restar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1119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监督项目满意度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default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both"/>
              <w:textAlignment w:val="auto"/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危桥改造安全监督满意度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5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restart"/>
            <w:tcBorders>
              <w:top w:val="single" w:color="auto" w:sz="4" w:space="0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866" w:type="dxa"/>
            <w:vMerge w:val="restart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1119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严格控制日常经费支出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严格按规定使用预算资金</w:t>
            </w: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lang w:val="en-US" w:eastAsia="zh-CN"/>
              </w:rPr>
              <w:t>100%</w:t>
            </w: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auto"/>
                <w:sz w:val="18"/>
                <w:szCs w:val="18"/>
                <w:highlight w:val="none"/>
                <w:lang w:val="en-US" w:eastAsia="zh-CN"/>
              </w:rPr>
              <w:t>100%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lang w:val="en-US" w:eastAsia="zh-CN"/>
              </w:rPr>
              <w:t>10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auto"/>
                <w:sz w:val="18"/>
                <w:szCs w:val="18"/>
                <w:lang w:val="en-US" w:eastAsia="zh-CN"/>
              </w:rPr>
              <w:t>10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restart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1119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</w:p>
        </w:tc>
        <w:tc>
          <w:tcPr>
            <w:tcW w:w="1119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restart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1119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23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Merge w:val="continue"/>
            <w:tcBorders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66" w:type="dxa"/>
            <w:vMerge w:val="continue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19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181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8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 w:val="0"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baseline"/>
              <w:rPr>
                <w:rFonts w:hint="eastAsia" w:asciiTheme="minorEastAsia" w:hAnsiTheme="minorEastAsia" w:eastAsiaTheme="minorEastAsia" w:cstheme="minorEastAsia"/>
                <w:sz w:val="18"/>
                <w:szCs w:val="18"/>
              </w:rPr>
            </w:pP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5838" w:type="dxa"/>
            <w:gridSpan w:val="6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6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72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</w:t>
            </w:r>
          </w:p>
        </w:tc>
        <w:tc>
          <w:tcPr>
            <w:tcW w:w="134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填表人：</w:t>
      </w:r>
      <w:r>
        <w:rPr>
          <w:rFonts w:hint="eastAsia"/>
          <w:lang w:eastAsia="zh-CN"/>
        </w:rPr>
        <w:t>张利蓉</w:t>
      </w:r>
      <w:r>
        <w:rPr>
          <w:rFonts w:hint="eastAsia"/>
        </w:rPr>
        <w:t xml:space="preserve">    填报日期：</w:t>
      </w:r>
      <w:r>
        <w:rPr>
          <w:rFonts w:hint="eastAsia"/>
          <w:lang w:val="en-US" w:eastAsia="zh-CN"/>
        </w:rPr>
        <w:t>2024.5.27</w:t>
      </w:r>
      <w:r>
        <w:rPr>
          <w:rFonts w:hint="eastAsia"/>
        </w:rPr>
        <w:t xml:space="preserve">   联系电话：</w:t>
      </w:r>
      <w:r>
        <w:rPr>
          <w:rFonts w:hint="eastAsia"/>
          <w:lang w:val="en-US" w:eastAsia="zh-CN"/>
        </w:rPr>
        <w:t>4268795</w:t>
      </w:r>
      <w:r>
        <w:rPr>
          <w:rFonts w:hint="eastAsia"/>
        </w:rPr>
        <w:t xml:space="preserve">   单位负责人签字：</w:t>
      </w:r>
      <w:r>
        <w:rPr>
          <w:rFonts w:hint="eastAsia"/>
          <w:lang w:eastAsia="zh-CN"/>
        </w:rPr>
        <w:t>张卫军</w:t>
      </w:r>
    </w:p>
    <w:p>
      <w:pPr>
        <w:rPr>
          <w:rFonts w:hint="eastAsia" w:ascii="黑体" w:hAnsi="黑体" w:eastAsia="黑体" w:cs="黑体"/>
          <w:sz w:val="21"/>
          <w:szCs w:val="21"/>
          <w:lang w:val="en-US" w:eastAsia="zh-CN"/>
        </w:rPr>
      </w:pPr>
    </w:p>
    <w:sectPr>
      <w:footerReference r:id="rId5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B55D4B42-A164-45AD-BDC9-A6394559BB7A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342DE62E-A5B7-433C-B092-139B8AFD7C3F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761143DF-5834-423D-960F-8382FAB3B003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1ED2C86C-E45B-46B7-A366-6E079619F3B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415E57F1-E005-40B1-9519-75AF2F510EAF}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  <w:embedRegular r:id="rId6" w:fontKey="{C399ABBD-79DF-4347-A533-7564BA2CD253}"/>
  </w:font>
  <w:font w:name="仿宋_GB2312">
    <w:panose1 w:val="02010609030101010101"/>
    <w:charset w:val="86"/>
    <w:family w:val="auto"/>
    <w:pitch w:val="default"/>
    <w:sig w:usb0="00000000" w:usb1="00000000" w:usb2="00000000" w:usb3="00000000" w:csb0="00000000" w:csb1="00000000"/>
    <w:embedRegular r:id="rId7" w:fontKey="{57A3480F-9954-4B70-A31A-1EA446D4FFD6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简体">
    <w:panose1 w:val="03000509000000000000"/>
    <w:charset w:val="86"/>
    <w:family w:val="auto"/>
    <w:pitch w:val="default"/>
    <w:sig w:usb0="00000000" w:usb1="00000000" w:usb2="00000000" w:usb3="00000000" w:csb0="00000000" w:csb1="00000000"/>
    <w:embedRegular r:id="rId8" w:fontKey="{9368B513-5704-44F6-AC0A-DA7B90C3B6D9}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  <w:embedRegular r:id="rId9" w:fontKey="{0E808110-30C0-4566-B6F1-5770037BF7E1}"/>
  </w:font>
  <w:font w:name="华文仿宋">
    <w:panose1 w:val="02010600040101010101"/>
    <w:charset w:val="86"/>
    <w:family w:val="auto"/>
    <w:pitch w:val="default"/>
    <w:sig w:usb0="00000000" w:usb1="00000000" w:usb2="00000000" w:usb3="00000000" w:csb0="00000000" w:csb1="00000000"/>
    <w:embedRegular r:id="rId10" w:fontKey="{C3F916FE-B4AC-4183-B663-0A3AA5527B72}"/>
  </w:font>
  <w:font w:name="楷体_GB2312">
    <w:panose1 w:val="02010609030101010101"/>
    <w:charset w:val="86"/>
    <w:family w:val="auto"/>
    <w:pitch w:val="default"/>
    <w:sig w:usb0="00000000" w:usb1="00000000" w:usb2="00000000" w:usb3="00000000" w:csb0="00000000" w:csb1="00000000"/>
    <w:embedRegular r:id="rId11" w:fontKey="{2593582E-8BD7-4B61-97C3-71CB5F70D7D6}"/>
  </w:font>
  <w:font w:name="方正小标宋_GBK">
    <w:panose1 w:val="03000509000000000000"/>
    <w:charset w:val="86"/>
    <w:family w:val="script"/>
    <w:pitch w:val="default"/>
    <w:sig w:usb0="00000000" w:usb1="00000000" w:usb2="00000000" w:usb3="00000000" w:csb0="00000000" w:csb1="00000000"/>
    <w:embedRegular r:id="rId12" w:fontKey="{4238CF95-94E4-47C5-B4F9-5D79346F138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spacing w:before="1" w:line="174" w:lineRule="auto"/>
      <w:jc w:val="center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7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I3F45U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7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spacing w:before="1" w:line="174" w:lineRule="auto"/>
      <w:ind w:left="8576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10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s0lY7tAAAAAFAQAADwAAAAAAAAABACAAAAAi&#10;AAAAZHJzL2Rvd25yZXYueG1sUEsBAhQAFAAAAAgAh07iQM9tdHoSAgAAFQQAAA4AAAAAAAAAAQAg&#10;AAAAHwEAAGRycy9lMm9Eb2MueG1sUEsFBgAAAAAGAAYAWQEAAKM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10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SVju0AAAAAUBAAAPAAAAAAAAAAEAIAAA&#10;ACIAAABkcnMvZG93bnJldi54bWxQSwECFAAUAAAACACHTuJAB2hfnRQCAAAVBAAADgAAAAAAAAAB&#10;ACAAAAAfAQAAZHJzL2Uyb0RvYy54bWxQSwUGAAAAAAYABgBZAQAAp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4FA93E8"/>
    <w:multiLevelType w:val="singleLevel"/>
    <w:tmpl w:val="A4FA93E8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47E70805"/>
    <w:multiLevelType w:val="singleLevel"/>
    <w:tmpl w:val="47E70805"/>
    <w:lvl w:ilvl="0" w:tentative="0">
      <w:start w:val="1"/>
      <w:numFmt w:val="chineseCounting"/>
      <w:suff w:val="nothing"/>
      <w:lvlText w:val="%1、"/>
      <w:lvlJc w:val="left"/>
      <w:pPr>
        <w:ind w:left="-18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AwNjRjODUyYWU2MTY1OWVlNzdjNTRiNzgwNzYwZTIifQ=="/>
    <w:docVar w:name="KSO_WPS_MARK_KEY" w:val="d6af8f34-f030-4544-a7ee-e01bff97eee2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A95AA3"/>
    <w:rsid w:val="01B42948"/>
    <w:rsid w:val="01BF20E7"/>
    <w:rsid w:val="01E4322D"/>
    <w:rsid w:val="021138F7"/>
    <w:rsid w:val="02B50488"/>
    <w:rsid w:val="0338470A"/>
    <w:rsid w:val="034822A9"/>
    <w:rsid w:val="03D86621"/>
    <w:rsid w:val="03DF3CB1"/>
    <w:rsid w:val="04EE6171"/>
    <w:rsid w:val="05315F6B"/>
    <w:rsid w:val="05395EA9"/>
    <w:rsid w:val="05D848F3"/>
    <w:rsid w:val="0616597F"/>
    <w:rsid w:val="06426ACC"/>
    <w:rsid w:val="07A62D33"/>
    <w:rsid w:val="08032104"/>
    <w:rsid w:val="086B5F82"/>
    <w:rsid w:val="095D4588"/>
    <w:rsid w:val="09E6794E"/>
    <w:rsid w:val="0A067AB9"/>
    <w:rsid w:val="0ABD557B"/>
    <w:rsid w:val="0BBB5A8D"/>
    <w:rsid w:val="0C104906"/>
    <w:rsid w:val="0C607C21"/>
    <w:rsid w:val="0C9D2956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03368D"/>
    <w:rsid w:val="1020625B"/>
    <w:rsid w:val="10A81DFD"/>
    <w:rsid w:val="10E44E52"/>
    <w:rsid w:val="11404466"/>
    <w:rsid w:val="11837AA9"/>
    <w:rsid w:val="11963ADD"/>
    <w:rsid w:val="11EB0F5C"/>
    <w:rsid w:val="11F20483"/>
    <w:rsid w:val="12123C76"/>
    <w:rsid w:val="12831010"/>
    <w:rsid w:val="128A4545"/>
    <w:rsid w:val="129038DB"/>
    <w:rsid w:val="13441D7E"/>
    <w:rsid w:val="136F31F8"/>
    <w:rsid w:val="138750E0"/>
    <w:rsid w:val="1396506E"/>
    <w:rsid w:val="139E4941"/>
    <w:rsid w:val="13D82A59"/>
    <w:rsid w:val="140E6961"/>
    <w:rsid w:val="15604228"/>
    <w:rsid w:val="15A620D3"/>
    <w:rsid w:val="16A3369E"/>
    <w:rsid w:val="17072908"/>
    <w:rsid w:val="17114A8B"/>
    <w:rsid w:val="17115DDD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6860D3"/>
    <w:rsid w:val="1AB71087"/>
    <w:rsid w:val="1AB74849"/>
    <w:rsid w:val="1AC52FF2"/>
    <w:rsid w:val="1AE6175D"/>
    <w:rsid w:val="1B742AA7"/>
    <w:rsid w:val="1BD5498B"/>
    <w:rsid w:val="1BF15B4E"/>
    <w:rsid w:val="1C1B6891"/>
    <w:rsid w:val="1C9E3BE6"/>
    <w:rsid w:val="1CA34935"/>
    <w:rsid w:val="1D5A640E"/>
    <w:rsid w:val="1DF22405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14375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8100BE"/>
    <w:rsid w:val="2A9A1E2C"/>
    <w:rsid w:val="2BF35971"/>
    <w:rsid w:val="2C487650"/>
    <w:rsid w:val="2C5A7AC4"/>
    <w:rsid w:val="2D720594"/>
    <w:rsid w:val="2E4F43C0"/>
    <w:rsid w:val="2EC7368E"/>
    <w:rsid w:val="2EDC05D9"/>
    <w:rsid w:val="2F240CAA"/>
    <w:rsid w:val="2F5137B6"/>
    <w:rsid w:val="2FDB0F1C"/>
    <w:rsid w:val="2FF62815"/>
    <w:rsid w:val="30FB4B41"/>
    <w:rsid w:val="31621165"/>
    <w:rsid w:val="322E1E8E"/>
    <w:rsid w:val="32350D29"/>
    <w:rsid w:val="323C5548"/>
    <w:rsid w:val="33235CE2"/>
    <w:rsid w:val="33D553F2"/>
    <w:rsid w:val="33F22F3B"/>
    <w:rsid w:val="359351FE"/>
    <w:rsid w:val="359F2200"/>
    <w:rsid w:val="35A42962"/>
    <w:rsid w:val="360027A6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54791D"/>
    <w:rsid w:val="38856E40"/>
    <w:rsid w:val="38BE1DF3"/>
    <w:rsid w:val="38F862EB"/>
    <w:rsid w:val="39343807"/>
    <w:rsid w:val="39536747"/>
    <w:rsid w:val="39887BBC"/>
    <w:rsid w:val="3A0F7AD4"/>
    <w:rsid w:val="3A53023B"/>
    <w:rsid w:val="3AF42D2D"/>
    <w:rsid w:val="3B062751"/>
    <w:rsid w:val="3B3A041F"/>
    <w:rsid w:val="3BAE6BF9"/>
    <w:rsid w:val="3BEE0229"/>
    <w:rsid w:val="3C17492E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3FF412E"/>
    <w:rsid w:val="44143822"/>
    <w:rsid w:val="44654A12"/>
    <w:rsid w:val="44E421C9"/>
    <w:rsid w:val="45320384"/>
    <w:rsid w:val="457C5F26"/>
    <w:rsid w:val="4716830A"/>
    <w:rsid w:val="47BF53CA"/>
    <w:rsid w:val="47C46D2D"/>
    <w:rsid w:val="48B126BB"/>
    <w:rsid w:val="48DD765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23471"/>
    <w:rsid w:val="4D6D6EEB"/>
    <w:rsid w:val="4DB17672"/>
    <w:rsid w:val="4DB27F04"/>
    <w:rsid w:val="4F5D15A2"/>
    <w:rsid w:val="4FCB46B2"/>
    <w:rsid w:val="4FF44DD1"/>
    <w:rsid w:val="4FFE57BD"/>
    <w:rsid w:val="50214E84"/>
    <w:rsid w:val="50A02BD7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A84CF3"/>
    <w:rsid w:val="53FBDA3F"/>
    <w:rsid w:val="54F63F7F"/>
    <w:rsid w:val="555952B3"/>
    <w:rsid w:val="555E65E4"/>
    <w:rsid w:val="556B5A36"/>
    <w:rsid w:val="558A2919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BF6625"/>
    <w:rsid w:val="57D80A00"/>
    <w:rsid w:val="586243BF"/>
    <w:rsid w:val="58FD3402"/>
    <w:rsid w:val="590B1904"/>
    <w:rsid w:val="5968027A"/>
    <w:rsid w:val="5AAF7799"/>
    <w:rsid w:val="5AB04BD0"/>
    <w:rsid w:val="5B503CBD"/>
    <w:rsid w:val="5B5C1753"/>
    <w:rsid w:val="5BD62414"/>
    <w:rsid w:val="5BE211F7"/>
    <w:rsid w:val="5BF510BE"/>
    <w:rsid w:val="5C6C4B26"/>
    <w:rsid w:val="5CFC16FB"/>
    <w:rsid w:val="5D03DFF6"/>
    <w:rsid w:val="5D9C3D56"/>
    <w:rsid w:val="5DD775C7"/>
    <w:rsid w:val="5E134100"/>
    <w:rsid w:val="5F4638F2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AD03D2"/>
    <w:rsid w:val="64B713E7"/>
    <w:rsid w:val="64D66362"/>
    <w:rsid w:val="65860217"/>
    <w:rsid w:val="659D5052"/>
    <w:rsid w:val="667E0AA1"/>
    <w:rsid w:val="66AE5CE5"/>
    <w:rsid w:val="66D4191C"/>
    <w:rsid w:val="673449FB"/>
    <w:rsid w:val="677027A4"/>
    <w:rsid w:val="67B37C7A"/>
    <w:rsid w:val="67F20A94"/>
    <w:rsid w:val="689031F5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2451CB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6C1A22"/>
    <w:rsid w:val="7E7F4A49"/>
    <w:rsid w:val="7E8F7AC1"/>
    <w:rsid w:val="7F2BE2DA"/>
    <w:rsid w:val="7F7F87CE"/>
    <w:rsid w:val="7F933CD2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qFormat="1" w:unhideWhenUsed="0" w:uiPriority="99" w:semiHidden="0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qFormat="1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qFormat="1" w:uiPriority="0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4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3">
    <w:name w:val="Default Paragraph Font"/>
    <w:semiHidden/>
    <w:qFormat/>
    <w:uiPriority w:val="99"/>
  </w:style>
  <w:style w:type="table" w:default="1" w:styleId="11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0"/>
    <w:pPr>
      <w:spacing w:after="120"/>
      <w:ind w:left="283" w:leftChars="0" w:firstLine="210"/>
    </w:pPr>
    <w:rPr>
      <w:rFonts w:hint="eastAsia" w:ascii="Times New Roman" w:eastAsia="Times New Roman"/>
      <w:sz w:val="21"/>
      <w:szCs w:val="24"/>
    </w:rPr>
  </w:style>
  <w:style w:type="paragraph" w:styleId="3">
    <w:name w:val="Body Text Indent"/>
    <w:basedOn w:val="1"/>
    <w:unhideWhenUsed/>
    <w:qFormat/>
    <w:uiPriority w:val="0"/>
    <w:pPr>
      <w:ind w:left="659" w:leftChars="314"/>
    </w:pPr>
    <w:rPr>
      <w:rFonts w:hint="eastAsia" w:ascii="仿宋_GB2312" w:eastAsia="仿宋_GB2312"/>
      <w:sz w:val="24"/>
      <w:szCs w:val="24"/>
    </w:rPr>
  </w:style>
  <w:style w:type="paragraph" w:styleId="5">
    <w:name w:val="toa heading"/>
    <w:basedOn w:val="1"/>
    <w:next w:val="1"/>
    <w:qFormat/>
    <w:uiPriority w:val="99"/>
    <w:pPr>
      <w:spacing w:before="120" w:after="200" w:line="276" w:lineRule="auto"/>
    </w:pPr>
    <w:rPr>
      <w:rFonts w:ascii="Arial" w:hAnsi="Arial"/>
      <w:sz w:val="24"/>
    </w:rPr>
  </w:style>
  <w:style w:type="paragraph" w:styleId="6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7">
    <w:name w:val="footer"/>
    <w:basedOn w:val="1"/>
    <w:link w:val="15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6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9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10">
    <w:name w:val="Normal (Web)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2">
    <w:name w:val="Table Grid"/>
    <w:basedOn w:val="11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14">
    <w:name w:val="page number"/>
    <w:basedOn w:val="13"/>
    <w:qFormat/>
    <w:uiPriority w:val="99"/>
    <w:rPr>
      <w:rFonts w:cs="Times New Roman"/>
    </w:rPr>
  </w:style>
  <w:style w:type="character" w:customStyle="1" w:styleId="15">
    <w:name w:val="Footer Char"/>
    <w:basedOn w:val="13"/>
    <w:link w:val="7"/>
    <w:semiHidden/>
    <w:qFormat/>
    <w:uiPriority w:val="99"/>
    <w:rPr>
      <w:sz w:val="18"/>
      <w:szCs w:val="18"/>
    </w:rPr>
  </w:style>
  <w:style w:type="character" w:customStyle="1" w:styleId="16">
    <w:name w:val="Header Char"/>
    <w:basedOn w:val="13"/>
    <w:link w:val="8"/>
    <w:semiHidden/>
    <w:qFormat/>
    <w:uiPriority w:val="99"/>
    <w:rPr>
      <w:sz w:val="18"/>
      <w:szCs w:val="18"/>
    </w:rPr>
  </w:style>
  <w:style w:type="paragraph" w:styleId="17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8">
    <w:name w:val="Table Normal"/>
    <w:semiHidden/>
    <w:unhideWhenUsed/>
    <w:qFormat/>
    <w:uiPriority w:val="0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9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9</Pages>
  <Words>2584</Words>
  <Characters>2898</Characters>
  <Lines>0</Lines>
  <Paragraphs>0</Paragraphs>
  <TotalTime>30</TotalTime>
  <ScaleCrop>false</ScaleCrop>
  <LinksUpToDate>false</LinksUpToDate>
  <CharactersWithSpaces>2959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Administrator</cp:lastModifiedBy>
  <cp:lastPrinted>2024-05-28T03:07:00Z</cp:lastPrinted>
  <dcterms:modified xsi:type="dcterms:W3CDTF">2024-05-28T03:45:03Z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KSOSaveFontToCloudKey">
    <vt:lpwstr>386772509_embed</vt:lpwstr>
  </property>
  <property fmtid="{D5CDD505-2E9C-101B-9397-08002B2CF9AE}" pid="4" name="ICV">
    <vt:lpwstr>44A98F391FAF47E98F8DBECA850BFCBC</vt:lpwstr>
  </property>
</Properties>
</file>