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2023年度部门整体支出绩效自评表</w:t>
      </w:r>
    </w:p>
    <w:p>
      <w:pPr>
        <w:spacing w:line="132" w:lineRule="exact"/>
      </w:pPr>
    </w:p>
    <w:tbl>
      <w:tblPr>
        <w:tblStyle w:val="7"/>
        <w:tblW w:w="5597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586"/>
        <w:gridCol w:w="902"/>
        <w:gridCol w:w="199"/>
        <w:gridCol w:w="1274"/>
        <w:gridCol w:w="558"/>
        <w:gridCol w:w="1372"/>
        <w:gridCol w:w="1036"/>
        <w:gridCol w:w="555"/>
        <w:gridCol w:w="601"/>
        <w:gridCol w:w="15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252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级预算部门、单位名称</w:t>
            </w:r>
          </w:p>
        </w:tc>
        <w:tc>
          <w:tcPr>
            <w:tcW w:w="3747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华容县交通运输局（本级）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345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年度预算申请（万元）</w:t>
            </w:r>
          </w:p>
        </w:tc>
        <w:tc>
          <w:tcPr>
            <w:tcW w:w="90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10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5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3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年度资金总额</w:t>
            </w:r>
          </w:p>
        </w:tc>
        <w:tc>
          <w:tcPr>
            <w:tcW w:w="6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348.5</w:t>
            </w:r>
          </w:p>
        </w:tc>
        <w:tc>
          <w:tcPr>
            <w:tcW w:w="10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9346.03</w:t>
            </w:r>
          </w:p>
        </w:tc>
        <w:tc>
          <w:tcPr>
            <w:tcW w:w="55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9346.03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8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按收入性质分：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按支出性质分：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8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其中：一般公共预算：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9299.75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其中：基本支出：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379.11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8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政府性基金拨款：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8966.92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8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纳入专户管理的非税收入拨款：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45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8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46.28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345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体目标</w:t>
            </w:r>
          </w:p>
        </w:tc>
        <w:tc>
          <w:tcPr>
            <w:tcW w:w="2628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4" w:hRule="atLeast"/>
          <w:jc w:val="center"/>
        </w:trPr>
        <w:tc>
          <w:tcPr>
            <w:tcW w:w="345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8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Arial"/>
                <w:color w:val="auto"/>
                <w:sz w:val="18"/>
                <w:szCs w:val="18"/>
                <w:highlight w:val="none"/>
              </w:rPr>
              <w:t>按照县委、县政府总体部署，围绕人民满意交通目标为抓手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，争项争资，</w:t>
            </w:r>
            <w:r>
              <w:rPr>
                <w:rFonts w:hint="eastAsia" w:ascii="Arial"/>
                <w:color w:val="auto"/>
                <w:sz w:val="18"/>
                <w:szCs w:val="18"/>
                <w:highlight w:val="none"/>
              </w:rPr>
              <w:t>推进项目建设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，提升乡村振兴</w:t>
            </w:r>
            <w:r>
              <w:rPr>
                <w:rFonts w:hint="eastAsia" w:ascii="Arial"/>
                <w:color w:val="auto"/>
                <w:sz w:val="18"/>
                <w:szCs w:val="18"/>
                <w:highlight w:val="none"/>
              </w:rPr>
              <w:t>；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强化市场秩序管理，</w:t>
            </w:r>
            <w:r>
              <w:rPr>
                <w:rFonts w:hint="eastAsia" w:ascii="Arial"/>
                <w:color w:val="auto"/>
                <w:sz w:val="18"/>
                <w:szCs w:val="18"/>
                <w:highlight w:val="none"/>
              </w:rPr>
              <w:t>优化管理服务；强化基础保障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，严格预算管理，确保行政运行正常，队伍稳定</w:t>
            </w:r>
            <w:r>
              <w:rPr>
                <w:rFonts w:hint="eastAsia" w:ascii="Arial"/>
                <w:color w:val="auto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年度预算收支平衡，部门运转稳定；完成基本民生和重大项目交工通行，完成农村公路建设和养护任务；市场秩序良好，完成营商环境治理，完成春运等重点运输保障工作；公路管理进一步深入，完成路域环境整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345" w:type="pct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7" w:lineRule="auto"/>
              <w:ind w:left="2814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0" w:name="_GoBack" w:colFirst="4" w:colLast="4"/>
            <w:r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  <w:t>标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6" w:lineRule="auto"/>
              <w:ind w:left="271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  <w:highlight w:val="none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271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48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9" w:lineRule="exact"/>
              <w:ind w:left="261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position w:val="4"/>
                <w:sz w:val="21"/>
                <w:szCs w:val="21"/>
                <w:highlight w:val="none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261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7" w:lineRule="auto"/>
              <w:ind w:left="362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1"/>
                <w:szCs w:val="21"/>
                <w:highlight w:val="none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362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7" w:lineRule="auto"/>
              <w:ind w:left="393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1"/>
                <w:szCs w:val="21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93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指标值</w:t>
            </w:r>
          </w:p>
        </w:tc>
        <w:tc>
          <w:tcPr>
            <w:tcW w:w="5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9" w:lineRule="exact"/>
              <w:ind w:left="375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position w:val="4"/>
                <w:sz w:val="21"/>
                <w:szCs w:val="21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65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完成值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176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分值</w:t>
            </w:r>
          </w:p>
        </w:tc>
        <w:tc>
          <w:tcPr>
            <w:tcW w:w="32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6" w:lineRule="auto"/>
              <w:ind w:right="152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  <w:highlight w:val="none"/>
              </w:rPr>
              <w:t>偏差原</w:t>
            </w:r>
            <w:r>
              <w:rPr>
                <w:rFonts w:hint="eastAsia" w:ascii="宋体" w:hAnsi="宋体" w:cs="宋体"/>
                <w:color w:val="auto"/>
                <w:spacing w:val="-2"/>
                <w:sz w:val="21"/>
                <w:szCs w:val="21"/>
                <w:highlight w:val="none"/>
                <w:lang w:eastAsia="zh-CN"/>
              </w:rPr>
              <w:t>因</w:t>
            </w: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  <w:highlight w:val="none"/>
              </w:rPr>
              <w:t>分析及</w:t>
            </w: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4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1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  <w:highlight w:val="none"/>
              </w:rPr>
              <w:t>产出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6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1"/>
                <w:szCs w:val="21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1"/>
                <w:szCs w:val="21"/>
                <w:highlight w:val="none"/>
              </w:rPr>
              <w:t>(50分)</w:t>
            </w:r>
          </w:p>
        </w:tc>
        <w:tc>
          <w:tcPr>
            <w:tcW w:w="48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18"/>
                <w:szCs w:val="18"/>
                <w:lang w:val="en-US" w:eastAsia="zh-CN" w:bidi="ar-SA"/>
              </w:rPr>
              <w:t>数量指标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日常正常运作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9346.03</w:t>
            </w:r>
          </w:p>
        </w:tc>
        <w:tc>
          <w:tcPr>
            <w:tcW w:w="5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9346.03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32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34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15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8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7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资金使用合规性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≦100%</w:t>
            </w:r>
          </w:p>
        </w:tc>
        <w:tc>
          <w:tcPr>
            <w:tcW w:w="5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32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4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15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8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7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  <w:t>资金给付及时性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≦100%</w:t>
            </w:r>
          </w:p>
        </w:tc>
        <w:tc>
          <w:tcPr>
            <w:tcW w:w="5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32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34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15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48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0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预算执行率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≦100%</w:t>
            </w:r>
          </w:p>
        </w:tc>
        <w:tc>
          <w:tcPr>
            <w:tcW w:w="55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2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color w:val="auto"/>
                <w:sz w:val="21"/>
              </w:rPr>
            </w:pPr>
          </w:p>
          <w:p>
            <w:pPr>
              <w:spacing w:line="260" w:lineRule="auto"/>
              <w:rPr>
                <w:rFonts w:ascii="Arial"/>
                <w:color w:val="auto"/>
                <w:sz w:val="21"/>
              </w:rPr>
            </w:pPr>
          </w:p>
          <w:p>
            <w:pPr>
              <w:spacing w:line="260" w:lineRule="auto"/>
              <w:rPr>
                <w:rFonts w:ascii="Arial"/>
                <w:color w:val="auto"/>
                <w:sz w:val="21"/>
              </w:rPr>
            </w:pPr>
          </w:p>
          <w:p>
            <w:pPr>
              <w:spacing w:line="260" w:lineRule="auto"/>
              <w:rPr>
                <w:rFonts w:ascii="Arial"/>
                <w:color w:val="auto"/>
                <w:sz w:val="21"/>
              </w:rPr>
            </w:pPr>
          </w:p>
          <w:p>
            <w:pPr>
              <w:spacing w:before="74" w:line="221" w:lineRule="auto"/>
              <w:ind w:right="97"/>
              <w:rPr>
                <w:rFonts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  <w:highlight w:val="none"/>
              </w:rPr>
              <w:t>效益  指标  (30分)</w:t>
            </w:r>
          </w:p>
        </w:tc>
        <w:tc>
          <w:tcPr>
            <w:tcW w:w="484" w:type="pct"/>
            <w:vMerge w:val="restart"/>
            <w:vAlign w:val="center"/>
          </w:tcPr>
          <w:p>
            <w:pPr>
              <w:spacing w:line="384" w:lineRule="auto"/>
              <w:jc w:val="center"/>
              <w:rPr>
                <w:rFonts w:ascii="Arial"/>
                <w:color w:val="auto"/>
                <w:sz w:val="21"/>
              </w:rPr>
            </w:pPr>
          </w:p>
          <w:p>
            <w:pPr>
              <w:spacing w:before="75" w:line="214" w:lineRule="auto"/>
              <w:ind w:left="122" w:right="117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经济效益指标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积极对接国省交通强国战略，促进我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经济发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展</w:t>
            </w: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降低超限超载车辆对路面的损坏，保护路产路权</w:t>
            </w: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开展科技治超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培育、升级运输市场，打造良好营商环境</w:t>
            </w:r>
          </w:p>
        </w:tc>
        <w:tc>
          <w:tcPr>
            <w:tcW w:w="73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社会公众出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行成本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下降、安全指标提高</w:t>
            </w:r>
          </w:p>
        </w:tc>
        <w:tc>
          <w:tcPr>
            <w:tcW w:w="556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出行方式多元化、安全事故下降。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continue"/>
            <w:tcBorders>
              <w:bottom w:val="nil"/>
            </w:tcBorders>
            <w:vAlign w:val="center"/>
          </w:tcPr>
          <w:p>
            <w:pPr>
              <w:spacing w:before="75" w:line="219" w:lineRule="auto"/>
              <w:ind w:left="122" w:right="117"/>
              <w:jc w:val="center"/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项目建设投资成本下降</w:t>
            </w: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配合财政评审，严格控制项目变更、调差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实际成本有控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5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>
            <w:pPr>
              <w:spacing w:before="75" w:line="214" w:lineRule="auto"/>
              <w:ind w:left="122" w:right="117"/>
              <w:jc w:val="center"/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社会效益指标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spacing w:before="75" w:line="214" w:lineRule="auto"/>
              <w:ind w:left="122" w:right="117"/>
              <w:jc w:val="left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提高安全生产和应急管理水平，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  <w:lang w:eastAsia="zh-CN"/>
              </w:rPr>
              <w:t>维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护社会稳定，提高人民群众幸福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  <w:lang w:eastAsia="zh-CN"/>
              </w:rPr>
              <w:t>感</w:t>
            </w:r>
          </w:p>
        </w:tc>
        <w:tc>
          <w:tcPr>
            <w:tcW w:w="73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提高安全生产和应急管理水平，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维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护社会稳定，提高人民群众幸福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感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75" w:line="214" w:lineRule="auto"/>
              <w:ind w:left="122" w:right="117"/>
              <w:jc w:val="center"/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spacing w:before="75" w:line="214" w:lineRule="auto"/>
              <w:ind w:left="122" w:right="117"/>
              <w:jc w:val="left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强化企业安全生产主体责任，排查整治安全隐患，维护安全形势的基本稳定</w:t>
            </w:r>
          </w:p>
        </w:tc>
        <w:tc>
          <w:tcPr>
            <w:tcW w:w="73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强化企业安全生产主体责任，排查整治安全隐患，维护安全形势的基本稳定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优化交通项目建设方案，提升项目服务水平</w:t>
            </w:r>
          </w:p>
        </w:tc>
        <w:tc>
          <w:tcPr>
            <w:tcW w:w="737" w:type="pc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优化交通项目建设方案，提升项目服务水平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tcBorders>
              <w:bottom w:val="nil"/>
            </w:tcBorders>
            <w:vAlign w:val="center"/>
          </w:tcPr>
          <w:p>
            <w:pPr>
              <w:spacing w:before="75" w:line="230" w:lineRule="auto"/>
              <w:ind w:left="122" w:right="117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生态效益指标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交通运输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领域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环境保护管理水平</w:t>
            </w: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>
            <w:pPr>
              <w:spacing w:before="75" w:line="230" w:lineRule="auto"/>
              <w:ind w:left="122" w:right="117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可持续影响指标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交通运输行业安全稳定</w:t>
            </w: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保持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保持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服务乡村振兴，交通项目建设稳步推进</w:t>
            </w: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保持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保持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restart"/>
            <w:tcBorders>
              <w:bottom w:val="nil"/>
            </w:tcBorders>
            <w:vAlign w:val="top"/>
          </w:tcPr>
          <w:p>
            <w:pPr>
              <w:spacing w:before="75" w:line="223" w:lineRule="auto"/>
              <w:ind w:right="97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  <w:highlight w:val="none"/>
              </w:rPr>
              <w:t>满意度指标(10分)</w:t>
            </w:r>
          </w:p>
        </w:tc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>
            <w:pPr>
              <w:spacing w:before="74" w:line="221" w:lineRule="auto"/>
              <w:ind w:right="11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服务对 象满意 度指标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运输服务对象满意度</w:t>
            </w: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≦100%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99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345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5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8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项目建设受益群众满意度</w:t>
            </w: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≦100%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2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3530" w:type="pct"/>
            <w:gridSpan w:val="8"/>
            <w:vAlign w:val="top"/>
          </w:tcPr>
          <w:p>
            <w:pPr>
              <w:spacing w:before="139" w:line="220" w:lineRule="auto"/>
              <w:ind w:left="3124"/>
              <w:rPr>
                <w:rFonts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</w:rPr>
              <w:t>总分</w:t>
            </w:r>
          </w:p>
        </w:tc>
        <w:tc>
          <w:tcPr>
            <w:tcW w:w="298" w:type="pct"/>
            <w:vAlign w:val="center"/>
          </w:tcPr>
          <w:p>
            <w:pPr>
              <w:spacing w:before="196" w:line="184" w:lineRule="auto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rFonts w:hint="default" w:ascii="Arial" w:eastAsia="宋体"/>
                <w:color w:val="auto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847" w:type="pct"/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</w:rPr>
            </w:pPr>
          </w:p>
        </w:tc>
      </w:tr>
    </w:tbl>
    <w:p>
      <w:pPr>
        <w:rPr>
          <w:rFonts w:hint="eastAsia"/>
        </w:rPr>
      </w:pPr>
      <w:r>
        <w:rPr>
          <w:rFonts w:ascii="宋体" w:hAnsi="宋体" w:eastAsia="宋体" w:cs="宋体"/>
          <w:color w:val="auto"/>
          <w:spacing w:val="3"/>
          <w:sz w:val="23"/>
          <w:szCs w:val="23"/>
        </w:rPr>
        <w:t>说明：以上数据参照202</w:t>
      </w:r>
      <w:r>
        <w:rPr>
          <w:rFonts w:hint="eastAsia" w:ascii="宋体" w:hAnsi="宋体" w:eastAsia="宋体" w:cs="宋体"/>
          <w:color w:val="auto"/>
          <w:spacing w:val="3"/>
          <w:sz w:val="23"/>
          <w:szCs w:val="23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3"/>
          <w:sz w:val="23"/>
          <w:szCs w:val="23"/>
        </w:rPr>
        <w:t>年部门决算报表中的“收入支出决算总表”(财</w:t>
      </w:r>
      <w:r>
        <w:rPr>
          <w:rFonts w:ascii="宋体" w:hAnsi="宋体" w:eastAsia="宋体" w:cs="宋体"/>
          <w:color w:val="auto"/>
          <w:spacing w:val="2"/>
          <w:sz w:val="23"/>
          <w:szCs w:val="23"/>
        </w:rPr>
        <w:t>决01表)。</w:t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填表人：</w:t>
      </w:r>
      <w:r>
        <w:rPr>
          <w:rFonts w:hint="eastAsia"/>
          <w:lang w:eastAsia="zh-CN"/>
        </w:rPr>
        <w:t>刘婷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填报日期：</w:t>
      </w:r>
      <w:r>
        <w:rPr>
          <w:rFonts w:hint="eastAsia"/>
          <w:lang w:val="en-US" w:eastAsia="zh-CN"/>
        </w:rPr>
        <w:t>2024.5.28</w:t>
      </w:r>
      <w:r>
        <w:rPr>
          <w:rFonts w:hint="eastAsia"/>
        </w:rPr>
        <w:t xml:space="preserve">     联系电话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4131157</w:t>
      </w:r>
      <w:r>
        <w:rPr>
          <w:rFonts w:hint="eastAsia"/>
        </w:rPr>
        <w:t xml:space="preserve">   单位负责人签字：</w:t>
      </w:r>
      <w:r>
        <w:rPr>
          <w:rFonts w:hint="eastAsia"/>
          <w:lang w:eastAsia="zh-CN"/>
        </w:rPr>
        <w:t>唐龙</w:t>
      </w:r>
    </w:p>
    <w:p>
      <w:pPr>
        <w:tabs>
          <w:tab w:val="left" w:pos="1162"/>
        </w:tabs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zZDM5N2MyYTk4NWFlNTlkNWQyZWNkZWJmMjVmNzgifQ=="/>
    <w:docVar w:name="KSO_WPS_MARK_KEY" w:val="14a578e8-f8f6-4283-8aab-d26e299ea9e6"/>
  </w:docVars>
  <w:rsids>
    <w:rsidRoot w:val="00000000"/>
    <w:rsid w:val="0FB71393"/>
    <w:rsid w:val="184453FA"/>
    <w:rsid w:val="25F157AA"/>
    <w:rsid w:val="29881D8A"/>
    <w:rsid w:val="2DDB671C"/>
    <w:rsid w:val="2E2270BF"/>
    <w:rsid w:val="54A20983"/>
    <w:rsid w:val="64A93D21"/>
    <w:rsid w:val="781A1483"/>
    <w:rsid w:val="7C405EA3"/>
    <w:rsid w:val="7E72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80" w:lineRule="exact"/>
      <w:outlineLvl w:val="0"/>
    </w:pPr>
    <w:rPr>
      <w:rFonts w:ascii="方正粗黑宋简体" w:hAnsi="方正粗黑宋简体" w:eastAsiaTheme="majorEastAsia"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customStyle="1" w:styleId="6">
    <w:name w:val="样式2"/>
    <w:basedOn w:val="1"/>
    <w:qFormat/>
    <w:uiPriority w:val="0"/>
    <w:pPr>
      <w:spacing w:before="560" w:line="580" w:lineRule="exact"/>
      <w:ind w:firstLine="600"/>
      <w:jc w:val="center"/>
    </w:pPr>
    <w:rPr>
      <w:rFonts w:hint="eastAsia" w:ascii="方正小标宋简体" w:hAnsi="方正小标宋简体" w:eastAsia="方正小标宋简体" w:cs="方正小标宋简体"/>
      <w:b/>
      <w:color w:val="000000"/>
      <w:sz w:val="44"/>
      <w:szCs w:val="44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990</Words>
  <Characters>1127</Characters>
  <Lines>0</Lines>
  <Paragraphs>0</Paragraphs>
  <TotalTime>7</TotalTime>
  <ScaleCrop>false</ScaleCrop>
  <LinksUpToDate>false</LinksUpToDate>
  <CharactersWithSpaces>1155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婷  </cp:lastModifiedBy>
  <dcterms:modified xsi:type="dcterms:W3CDTF">2024-05-27T07:06:22Z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E821EC1392E24F28B4F795474E21D92C</vt:lpwstr>
  </property>
</Properties>
</file>