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华容县水运事务中心</w:t>
      </w:r>
    </w:p>
    <w:p>
      <w:pPr>
        <w:jc w:val="center"/>
        <w:rPr>
          <w:rFonts w:hint="eastAsia"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lang w:eastAsia="zh-CN"/>
        </w:rPr>
        <w:t>船舶污染物免费接收项目</w:t>
      </w:r>
      <w:r>
        <w:rPr>
          <w:rFonts w:hint="eastAsia" w:ascii="方正小标宋简体" w:hAnsi="方正小标宋简体" w:eastAsia="方正小标宋简体" w:cs="方正小标宋简体"/>
          <w:w w:val="90"/>
          <w:sz w:val="44"/>
          <w:szCs w:val="44"/>
        </w:rPr>
        <w:t>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6"/>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4"/>
        <w:keepNext w:val="0"/>
        <w:keepLines w:val="0"/>
        <w:pageBreakBefore w:val="0"/>
        <w:widowControl w:val="0"/>
        <w:kinsoku/>
        <w:wordWrap/>
        <w:overflowPunct/>
        <w:topLinePunct w:val="0"/>
        <w:autoSpaceDE/>
        <w:autoSpaceDN/>
        <w:bidi w:val="0"/>
        <w:adjustRightInd/>
        <w:snapToGrid/>
        <w:spacing w:before="100" w:line="221" w:lineRule="auto"/>
        <w:ind w:firstLine="60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华容县水运事务中心</w:t>
      </w:r>
    </w:p>
    <w:p>
      <w:pPr>
        <w:spacing w:before="228" w:line="22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lang w:val="en-US" w:eastAsia="zh-CN"/>
        </w:rPr>
        <w:t>29</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pStyle w:val="2"/>
        <w:rPr>
          <w:rFonts w:hint="eastAsia" w:ascii="方正小标宋简体" w:hAnsi="方正小标宋简体" w:eastAsia="方正小标宋简体" w:cs="方正小标宋简体"/>
          <w:sz w:val="44"/>
          <w:szCs w:val="44"/>
        </w:rPr>
      </w:pPr>
    </w:p>
    <w:p>
      <w:pPr>
        <w:pStyle w:val="2"/>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eastAsia="zh-CN"/>
        </w:rPr>
        <w:t>华容县水运事务中心</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w w:val="90"/>
          <w:sz w:val="32"/>
          <w:szCs w:val="32"/>
        </w:rPr>
      </w:pPr>
      <w:r>
        <w:rPr>
          <w:rFonts w:hint="eastAsia" w:ascii="方正小标宋简体" w:hAnsi="方正小标宋简体" w:eastAsia="方正小标宋简体" w:cs="方正小标宋简体"/>
          <w:w w:val="90"/>
          <w:sz w:val="44"/>
          <w:szCs w:val="44"/>
          <w:lang w:eastAsia="zh-CN"/>
        </w:rPr>
        <w:t>船舶污染物免费接收项目</w:t>
      </w:r>
      <w:r>
        <w:rPr>
          <w:rFonts w:hint="eastAsia" w:ascii="方正小标宋简体" w:hAnsi="方正小标宋简体" w:eastAsia="方正小标宋简体" w:cs="方正小标宋简体"/>
          <w:w w:val="90"/>
          <w:sz w:val="44"/>
          <w:szCs w:val="44"/>
        </w:rPr>
        <w:t>支出绩效自评报告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项目概况。</w:t>
      </w:r>
      <w:r>
        <w:rPr>
          <w:rFonts w:hint="eastAsia" w:ascii="仿宋_GB2312" w:hAnsi="仿宋_GB2312" w:eastAsia="仿宋_GB2312" w:cs="仿宋_GB2312"/>
          <w:sz w:val="32"/>
          <w:szCs w:val="32"/>
          <w:lang w:val="en-US" w:eastAsia="zh-CN"/>
        </w:rPr>
        <w:t>2023年度，使用船舶污染物免费接收资金57.37</w:t>
      </w:r>
      <w:bookmarkStart w:id="0" w:name="_GoBack"/>
      <w:bookmarkEnd w:id="0"/>
      <w:r>
        <w:rPr>
          <w:rFonts w:hint="eastAsia" w:ascii="仿宋_GB2312" w:hAnsi="仿宋_GB2312" w:eastAsia="仿宋_GB2312" w:cs="仿宋_GB2312"/>
          <w:sz w:val="32"/>
          <w:szCs w:val="32"/>
          <w:lang w:val="en-US" w:eastAsia="zh-CN"/>
        </w:rPr>
        <w:t>万元，主要用于对全县水域船舶污染物进行免费接收并进行专业处置。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项目绩效目标。</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1.长江航段32.7公里安排人员每天进行收集，并转交专业机构进行专业化处理。</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2.藕池河航段106公里设置以乡镇渡口为站点由专人每天收集，并转交专业机构进行专业化处理。</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eastAsia="仿宋_GB2312"/>
          <w:color w:val="auto"/>
          <w:sz w:val="32"/>
          <w:szCs w:val="32"/>
        </w:rPr>
      </w:pPr>
      <w:r>
        <w:rPr>
          <w:rFonts w:hint="eastAsia" w:ascii="仿宋_GB2312" w:hAnsi="仿宋_GB2312" w:eastAsia="仿宋_GB2312" w:cs="仿宋_GB2312"/>
          <w:color w:val="auto"/>
          <w:sz w:val="32"/>
          <w:szCs w:val="32"/>
          <w:lang w:val="en-US" w:eastAsia="zh-CN"/>
        </w:rPr>
        <w:t>3.华容河航段69公里设置以乡镇渡口为站点由专人每天收集，并转交专业机构进行专业化处理。</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绩效评价目的、对象和范围。</w:t>
      </w:r>
      <w:r>
        <w:rPr>
          <w:rFonts w:hint="eastAsia" w:ascii="仿宋_GB2312" w:hAnsi="仿宋_GB2312" w:eastAsia="仿宋_GB2312" w:cs="仿宋_GB2312"/>
          <w:sz w:val="32"/>
          <w:szCs w:val="32"/>
        </w:rPr>
        <w:t>为加强交通运输行业服务水平，</w:t>
      </w:r>
      <w:r>
        <w:rPr>
          <w:rFonts w:hint="eastAsia" w:eastAsia="仿宋_GB2312"/>
          <w:sz w:val="32"/>
          <w:szCs w:val="32"/>
        </w:rPr>
        <w:t>改善我县</w:t>
      </w:r>
      <w:r>
        <w:rPr>
          <w:rFonts w:hint="eastAsia" w:eastAsia="仿宋_GB2312"/>
          <w:sz w:val="32"/>
          <w:szCs w:val="32"/>
          <w:lang w:eastAsia="zh-CN"/>
        </w:rPr>
        <w:t>航道</w:t>
      </w:r>
      <w:r>
        <w:rPr>
          <w:rFonts w:hint="eastAsia" w:eastAsia="仿宋_GB2312"/>
          <w:sz w:val="32"/>
          <w:szCs w:val="32"/>
        </w:rPr>
        <w:t>水域生态环境</w:t>
      </w:r>
      <w:r>
        <w:rPr>
          <w:rFonts w:hint="eastAsia" w:eastAsia="仿宋_GB2312"/>
          <w:sz w:val="32"/>
          <w:szCs w:val="32"/>
          <w:lang w:eastAsia="zh-CN"/>
        </w:rPr>
        <w:t>，</w:t>
      </w:r>
      <w:r>
        <w:rPr>
          <w:rFonts w:hint="eastAsia" w:ascii="仿宋_GB2312" w:hAnsi="仿宋_GB2312" w:eastAsia="仿宋_GB2312" w:cs="仿宋_GB2312"/>
          <w:sz w:val="32"/>
          <w:szCs w:val="32"/>
        </w:rPr>
        <w:t>提高资金的使用效益，发挥主管部门绩效工作监督和指导职能。</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绩效评价原则、评价指标体系</w:t>
      </w:r>
      <w:r>
        <w:rPr>
          <w:rFonts w:hint="eastAsia" w:eastAsia="仿宋_GB2312"/>
          <w:sz w:val="32"/>
          <w:szCs w:val="32"/>
          <w:lang w:eastAsia="zh-CN"/>
        </w:rPr>
        <w:t>（</w:t>
      </w:r>
      <w:r>
        <w:rPr>
          <w:rFonts w:hint="eastAsia" w:eastAsia="仿宋_GB2312"/>
          <w:sz w:val="32"/>
          <w:szCs w:val="32"/>
        </w:rPr>
        <w:t>附表说明</w:t>
      </w:r>
      <w:r>
        <w:rPr>
          <w:rFonts w:hint="eastAsia" w:eastAsia="仿宋_GB2312"/>
          <w:sz w:val="32"/>
          <w:szCs w:val="32"/>
          <w:lang w:eastAsia="zh-CN"/>
        </w:rPr>
        <w:t>）</w:t>
      </w:r>
      <w:r>
        <w:rPr>
          <w:rFonts w:hint="eastAsia" w:eastAsia="仿宋_GB2312"/>
          <w:sz w:val="32"/>
          <w:szCs w:val="32"/>
        </w:rPr>
        <w:t>、评价方法、评价标准等。</w:t>
      </w:r>
      <w:r>
        <w:rPr>
          <w:rFonts w:hint="eastAsia" w:ascii="仿宋_GB2312" w:hAnsi="仿宋_GB2312" w:eastAsia="仿宋_GB2312" w:cs="仿宋_GB2312"/>
          <w:sz w:val="32"/>
          <w:szCs w:val="32"/>
        </w:rPr>
        <w:t>绩效自评遵循以下原则：客观、公正、科学、严谨、独立的基础上开展工作。</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项目支出自评体系，设定基本情况、产出、效益、满意度等一级指标四个，下各设定了若干个二级指标和三级指标及其分值，总分设置为100分，等级划分为四档：90（含）-100分为优、80（含）-90分为良、60（含）-80分为中、60分以下为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ascii="仿宋_GB2312" w:hAnsi="仿宋_GB2312" w:eastAsia="仿宋_GB2312" w:cs="仿宋_GB2312"/>
          <w:sz w:val="32"/>
          <w:szCs w:val="32"/>
        </w:rPr>
        <w:t>绩效评价方法主要采取成本效益分析法、比较法、公众评判法等。手段主要包括：收集资料，实地勘察和民意采集等。</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绩效评价工作过程。</w:t>
      </w:r>
      <w:r>
        <w:rPr>
          <w:rFonts w:hint="eastAsia" w:ascii="仿宋_GB2312" w:hAnsi="仿宋_GB2312" w:eastAsia="仿宋_GB2312" w:cs="仿宋_GB2312"/>
          <w:sz w:val="32"/>
          <w:szCs w:val="32"/>
        </w:rPr>
        <w:t>由港口股负责，副主任刘明主管，</w:t>
      </w:r>
      <w:r>
        <w:rPr>
          <w:rFonts w:hint="eastAsia" w:ascii="仿宋_GB2312" w:hAnsi="仿宋_GB2312" w:eastAsia="仿宋_GB2312" w:cs="仿宋_GB2312"/>
          <w:sz w:val="32"/>
          <w:szCs w:val="32"/>
          <w:lang w:eastAsia="zh-CN"/>
        </w:rPr>
        <w:t>安排</w:t>
      </w:r>
      <w:r>
        <w:rPr>
          <w:rFonts w:hint="eastAsia" w:ascii="仿宋_GB2312" w:hAnsi="仿宋_GB2312" w:eastAsia="仿宋_GB2312" w:cs="仿宋_GB2312"/>
          <w:sz w:val="32"/>
          <w:szCs w:val="32"/>
        </w:rPr>
        <w:t>技术骨干2名，按照《岳阳市人民政府办公室关于做好我是船舶污染物免费接收相关工作的通知》对此项目</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绩效自评工作。</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三、综合评价情况及评价结论 </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default" w:ascii="黑体" w:hAnsi="黑体" w:eastAsia="黑体" w:cs="黑体"/>
          <w:sz w:val="32"/>
          <w:szCs w:val="32"/>
          <w:lang w:val="en-US"/>
        </w:rPr>
      </w:pPr>
      <w:r>
        <w:rPr>
          <w:rFonts w:hint="eastAsia" w:ascii="仿宋_GB2312" w:hAnsi="仿宋_GB2312" w:eastAsia="仿宋_GB2312" w:cs="仿宋_GB2312"/>
          <w:sz w:val="32"/>
          <w:szCs w:val="32"/>
          <w:lang w:eastAsia="zh-CN"/>
        </w:rPr>
        <w:t>综合评价以上项目均已完成，经评价考核，以上项目符合行业标准，未见异常。项目支出自评得分</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lang w:eastAsia="zh-CN"/>
        </w:rPr>
        <w:t>分。</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项目决策情况。</w:t>
      </w:r>
      <w:r>
        <w:rPr>
          <w:rFonts w:hint="eastAsia" w:ascii="仿宋_GB2312" w:hAnsi="仿宋_GB2312" w:eastAsia="仿宋_GB2312" w:cs="仿宋_GB2312"/>
          <w:sz w:val="32"/>
          <w:szCs w:val="32"/>
        </w:rPr>
        <w:t>根据政府要求，按年初计划按程序推进落实。</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eastAsia="仿宋_GB2312"/>
          <w:sz w:val="32"/>
          <w:szCs w:val="32"/>
          <w:lang w:eastAsia="zh-CN"/>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项目过程情况。</w:t>
      </w:r>
      <w:r>
        <w:rPr>
          <w:rFonts w:hint="eastAsia" w:eastAsia="仿宋_GB2312"/>
          <w:sz w:val="32"/>
          <w:szCs w:val="32"/>
          <w:lang w:eastAsia="zh-CN"/>
        </w:rPr>
        <w:t>每天安排人员在</w:t>
      </w:r>
      <w:r>
        <w:rPr>
          <w:rFonts w:hint="eastAsia" w:ascii="仿宋_GB2312" w:hAnsi="仿宋_GB2312" w:eastAsia="仿宋_GB2312" w:cs="仿宋_GB2312"/>
          <w:color w:val="auto"/>
          <w:sz w:val="32"/>
          <w:szCs w:val="32"/>
          <w:lang w:val="en-US" w:eastAsia="zh-CN"/>
        </w:rPr>
        <w:t>长江航段沿线、藕池河航和华容河航段各乡镇渡口进行收集，并转交专业机构进行专业化处理。</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项目产出情况。保障全县船舶污染物免费接收及专业处置210公里</w:t>
      </w:r>
      <w:r>
        <w:rPr>
          <w:rFonts w:hint="eastAsia" w:eastAsia="仿宋_GB2312"/>
          <w:sz w:val="32"/>
          <w:szCs w:val="32"/>
          <w:lang w:eastAsia="zh-CN"/>
        </w:rPr>
        <w:t>，</w:t>
      </w:r>
      <w:r>
        <w:rPr>
          <w:rFonts w:hint="eastAsia" w:eastAsia="仿宋_GB2312"/>
          <w:sz w:val="32"/>
          <w:szCs w:val="32"/>
        </w:rPr>
        <w:t>船舶停靠</w:t>
      </w:r>
      <w:r>
        <w:rPr>
          <w:rFonts w:hint="eastAsia" w:eastAsia="仿宋_GB2312"/>
          <w:sz w:val="32"/>
          <w:szCs w:val="32"/>
          <w:lang w:eastAsia="zh-CN"/>
        </w:rPr>
        <w:t>点</w:t>
      </w:r>
      <w:r>
        <w:rPr>
          <w:rFonts w:hint="eastAsia" w:eastAsia="仿宋_GB2312"/>
          <w:sz w:val="32"/>
          <w:szCs w:val="32"/>
        </w:rPr>
        <w:t>周围水域质量改善</w:t>
      </w:r>
      <w:r>
        <w:rPr>
          <w:rFonts w:hint="eastAsia" w:eastAsia="仿宋_GB2312"/>
          <w:sz w:val="32"/>
          <w:szCs w:val="32"/>
          <w:lang w:eastAsia="zh-CN"/>
        </w:rPr>
        <w:t>提升。</w:t>
      </w:r>
      <w:r>
        <w:rPr>
          <w:rFonts w:hint="eastAsia" w:eastAsia="仿宋_GB2312"/>
          <w:sz w:val="32"/>
          <w:szCs w:val="32"/>
        </w:rPr>
        <w:t>　</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eastAsia="仿宋_GB2312"/>
          <w:sz w:val="32"/>
          <w:szCs w:val="32"/>
        </w:rPr>
      </w:pPr>
      <w:r>
        <w:rPr>
          <w:rFonts w:hint="eastAsia" w:eastAsia="仿宋_GB2312"/>
          <w:sz w:val="32"/>
          <w:szCs w:val="32"/>
          <w:lang w:eastAsia="zh-CN"/>
        </w:rPr>
        <w:t>（</w:t>
      </w:r>
      <w:r>
        <w:rPr>
          <w:rFonts w:hint="eastAsia" w:eastAsia="仿宋_GB2312"/>
          <w:sz w:val="32"/>
          <w:szCs w:val="32"/>
        </w:rPr>
        <w:t>四</w:t>
      </w:r>
      <w:r>
        <w:rPr>
          <w:rFonts w:hint="eastAsia" w:eastAsia="仿宋_GB2312"/>
          <w:sz w:val="32"/>
          <w:szCs w:val="32"/>
          <w:lang w:eastAsia="zh-CN"/>
        </w:rPr>
        <w:t>）</w:t>
      </w:r>
      <w:r>
        <w:rPr>
          <w:rFonts w:hint="eastAsia" w:eastAsia="仿宋_GB2312"/>
          <w:sz w:val="32"/>
          <w:szCs w:val="32"/>
        </w:rPr>
        <w:t>项目效益情况。</w:t>
      </w:r>
      <w:r>
        <w:rPr>
          <w:rFonts w:hint="eastAsia" w:ascii="仿宋_GB2312" w:hAnsi="仿宋_GB2312" w:eastAsia="仿宋_GB2312" w:cs="仿宋_GB2312"/>
          <w:sz w:val="32"/>
          <w:szCs w:val="32"/>
        </w:rPr>
        <w:t>改善了我县水域生态环境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营造了良好的道路交通环境。全面提升农村公路</w:t>
      </w:r>
      <w:r>
        <w:rPr>
          <w:rFonts w:hint="eastAsia" w:ascii="仿宋_GB2312" w:hAnsi="仿宋_GB2312" w:eastAsia="仿宋_GB2312" w:cs="仿宋_GB2312"/>
          <w:sz w:val="32"/>
          <w:szCs w:val="32"/>
          <w:lang w:eastAsia="zh-CN"/>
        </w:rPr>
        <w:t>水路</w:t>
      </w:r>
      <w:r>
        <w:rPr>
          <w:rFonts w:hint="eastAsia" w:ascii="仿宋_GB2312" w:hAnsi="仿宋_GB2312" w:eastAsia="仿宋_GB2312" w:cs="仿宋_GB2312"/>
          <w:sz w:val="32"/>
          <w:szCs w:val="32"/>
        </w:rPr>
        <w:t>路网安全保障能力，提升人民群众获得感、幸福感和安全感，满意度100%。</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主要做法：在上级部门指导下，健全和完善了绩效指标体系和管理制度，加强了绩效管理人员业务培训。规范了绩效目标编审、绩效运行监控、绩效评价实施和绩效结果应用等绩效管理全过程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存在问题分析：通过回头看，在202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年财政预算执行</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还存在一些问题：</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是绩效管理人员缺乏专业知识，也缺少培训机会，容易在绩效管理工作中管理不到位，对现行的预算绩效管理不适应；</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是部门整体预算编制的科学化、精细化、精准化还有待提高。</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after="158" w:afterLines="50" w:line="580" w:lineRule="exact"/>
        <w:ind w:left="0"/>
        <w:jc w:val="center"/>
        <w:textAlignment w:val="auto"/>
        <w:rPr>
          <w:rFonts w:hint="eastAsia" w:ascii="方正小标宋简体" w:hAnsi="方正小标宋简体" w:eastAsia="方正小标宋简体" w:cs="方正小标宋简体"/>
          <w:spacing w:val="7"/>
          <w:sz w:val="44"/>
          <w:szCs w:val="44"/>
        </w:rPr>
      </w:pPr>
    </w:p>
    <w:p>
      <w:pPr>
        <w:pStyle w:val="2"/>
        <w:ind w:left="0" w:leftChars="0" w:firstLine="0" w:firstLineChars="0"/>
        <w:rPr>
          <w:rFonts w:hint="eastAsia" w:ascii="方正小标宋简体" w:hAnsi="方正小标宋简体" w:eastAsia="方正小标宋简体" w:cs="方正小标宋简体"/>
          <w:spacing w:val="7"/>
          <w:sz w:val="44"/>
          <w:szCs w:val="4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7859E0-7C1A-4A56-A9BA-1D92BE2F4E9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48BB1B5-5F1C-4CDC-A519-C082BBBD626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C5E3B1A6-83EB-4365-85B0-AEAFEE199356}"/>
  </w:font>
  <w:font w:name="方正小标宋_GBK">
    <w:panose1 w:val="02000000000000000000"/>
    <w:charset w:val="86"/>
    <w:family w:val="script"/>
    <w:pitch w:val="default"/>
    <w:sig w:usb0="A00002BF" w:usb1="38CF7CFA" w:usb2="00082016" w:usb3="00000000" w:csb0="00040001" w:csb1="00000000"/>
    <w:embedRegular r:id="rId4" w:fontKey="{B7726712-2ED3-4D03-AE74-E876D48E808A}"/>
  </w:font>
  <w:font w:name="仿宋_GB2312">
    <w:panose1 w:val="02010609030101010101"/>
    <w:charset w:val="86"/>
    <w:family w:val="auto"/>
    <w:pitch w:val="default"/>
    <w:sig w:usb0="00000001" w:usb1="080E0000" w:usb2="00000000" w:usb3="00000000" w:csb0="00040000" w:csb1="00000000"/>
    <w:embedRegular r:id="rId5" w:fontKey="{1408F9EE-BF47-4365-816F-CA34D081D374}"/>
  </w:font>
  <w:font w:name="华文仿宋">
    <w:panose1 w:val="02010600040101010101"/>
    <w:charset w:val="86"/>
    <w:family w:val="auto"/>
    <w:pitch w:val="default"/>
    <w:sig w:usb0="00000287" w:usb1="080F0000" w:usb2="00000000" w:usb3="00000000" w:csb0="0004009F" w:csb1="DFD70000"/>
    <w:embedRegular r:id="rId6" w:fontKey="{FB270112-A8B8-444D-B76C-A9AD08AADE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1" w:line="174" w:lineRule="auto"/>
      <w:ind w:left="574"/>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12</w:t>
                          </w:r>
                          <w:r>
                            <w:rPr>
                              <w:rFonts w:hint="default" w:ascii="Times New Roman" w:hAnsi="Times New Roman" w:eastAsia="华文仿宋"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5"/>
                      <w:keepNext w:val="0"/>
                      <w:keepLines w:val="0"/>
                      <w:pageBreakBefore w:val="0"/>
                      <w:widowControl w:val="0"/>
                      <w:kinsoku/>
                      <w:wordWrap/>
                      <w:overflowPunct/>
                      <w:topLinePunct w:val="0"/>
                      <w:bidi w:val="0"/>
                      <w:adjustRightInd/>
                      <w:snapToGrid w:val="0"/>
                      <w:ind w:left="525" w:leftChars="250" w:right="525" w:rightChars="250"/>
                      <w:textAlignment w:val="auto"/>
                      <w:rPr>
                        <w:rFonts w:hint="default" w:ascii="Times New Roman" w:hAnsi="Times New Roman" w:eastAsia="华文仿宋" w:cs="Times New Roman"/>
                        <w:sz w:val="32"/>
                        <w:szCs w:val="32"/>
                      </w:rPr>
                    </w:pPr>
                    <w:r>
                      <w:rPr>
                        <w:rFonts w:hint="default" w:ascii="Times New Roman" w:hAnsi="Times New Roman" w:eastAsia="华文仿宋" w:cs="Times New Roman"/>
                        <w:sz w:val="32"/>
                        <w:szCs w:val="32"/>
                      </w:rPr>
                      <w:fldChar w:fldCharType="begin"/>
                    </w:r>
                    <w:r>
                      <w:rPr>
                        <w:rFonts w:hint="default" w:ascii="Times New Roman" w:hAnsi="Times New Roman" w:eastAsia="华文仿宋" w:cs="Times New Roman"/>
                        <w:sz w:val="32"/>
                        <w:szCs w:val="32"/>
                      </w:rPr>
                      <w:instrText xml:space="preserve"> PAGE  \* MERGEFORMAT </w:instrText>
                    </w:r>
                    <w:r>
                      <w:rPr>
                        <w:rFonts w:hint="default" w:ascii="Times New Roman" w:hAnsi="Times New Roman" w:eastAsia="华文仿宋" w:cs="Times New Roman"/>
                        <w:sz w:val="32"/>
                        <w:szCs w:val="32"/>
                      </w:rPr>
                      <w:fldChar w:fldCharType="separate"/>
                    </w:r>
                    <w:r>
                      <w:rPr>
                        <w:rFonts w:hint="default" w:ascii="Times New Roman" w:hAnsi="Times New Roman" w:eastAsia="华文仿宋" w:cs="Times New Roman"/>
                        <w:sz w:val="32"/>
                        <w:szCs w:val="32"/>
                      </w:rPr>
                      <w:t>12</w:t>
                    </w:r>
                    <w:r>
                      <w:rPr>
                        <w:rFonts w:hint="default" w:ascii="Times New Roman" w:hAnsi="Times New Roman" w:eastAsia="华文仿宋" w:cs="Times New Roman"/>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ZDM5N2MyYTk4NWFlNTlkNWQyZWNkZWJmMjVmNzgifQ=="/>
    <w:docVar w:name="KSO_WPS_MARK_KEY" w:val="2867cb4a-b85f-4214-ab45-6aa5a55831a0"/>
  </w:docVars>
  <w:rsids>
    <w:rsidRoot w:val="00000000"/>
    <w:rsid w:val="063341F1"/>
    <w:rsid w:val="07AC4729"/>
    <w:rsid w:val="0FB71393"/>
    <w:rsid w:val="18C23FDB"/>
    <w:rsid w:val="1A113809"/>
    <w:rsid w:val="1CD94BA9"/>
    <w:rsid w:val="2E2270BF"/>
    <w:rsid w:val="2E9A4281"/>
    <w:rsid w:val="331F614E"/>
    <w:rsid w:val="3DB6024F"/>
    <w:rsid w:val="416E30A9"/>
    <w:rsid w:val="56AA2C77"/>
    <w:rsid w:val="5A177C5A"/>
    <w:rsid w:val="6E7D7777"/>
    <w:rsid w:val="6EB95C0B"/>
    <w:rsid w:val="781A1483"/>
    <w:rsid w:val="7E72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00" w:beforeLines="100" w:beforeAutospacing="0" w:after="100" w:afterLines="100" w:afterAutospacing="0" w:line="680" w:lineRule="exact"/>
      <w:outlineLvl w:val="0"/>
    </w:pPr>
    <w:rPr>
      <w:rFonts w:ascii="方正粗黑宋简体" w:hAnsi="方正粗黑宋简体" w:eastAsiaTheme="majorEastAsia"/>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footnote text"/>
    <w:basedOn w:val="1"/>
    <w:next w:val="1"/>
    <w:qFormat/>
    <w:uiPriority w:val="0"/>
    <w:pPr>
      <w:snapToGrid w:val="0"/>
      <w:jc w:val="left"/>
    </w:pPr>
    <w:rPr>
      <w:sz w:val="18"/>
      <w:szCs w:val="18"/>
    </w:rPr>
  </w:style>
  <w:style w:type="paragraph" w:customStyle="1" w:styleId="9">
    <w:name w:val="样式2"/>
    <w:basedOn w:val="1"/>
    <w:qFormat/>
    <w:uiPriority w:val="0"/>
    <w:pPr>
      <w:spacing w:before="560" w:line="580" w:lineRule="exact"/>
      <w:ind w:firstLine="600"/>
      <w:jc w:val="center"/>
    </w:pPr>
    <w:rPr>
      <w:rFonts w:hint="eastAsia" w:ascii="方正小标宋简体" w:hAnsi="方正小标宋简体" w:eastAsia="方正小标宋简体" w:cs="方正小标宋简体"/>
      <w:b/>
      <w:color w:val="000000"/>
      <w:sz w:val="44"/>
      <w:szCs w:val="44"/>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1173</Words>
  <Characters>1221</Characters>
  <Lines>0</Lines>
  <Paragraphs>0</Paragraphs>
  <TotalTime>1</TotalTime>
  <ScaleCrop>false</ScaleCrop>
  <LinksUpToDate>false</LinksUpToDate>
  <CharactersWithSpaces>1223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Administrator</cp:lastModifiedBy>
  <dcterms:modified xsi:type="dcterms:W3CDTF">2024-05-31T02:59:00Z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E821EC1392E24F28B4F795474E21D92C</vt:lpwstr>
  </property>
</Properties>
</file>