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2023年华容县水运事务中心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公共交通营运补助项目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pStyle w:val="7"/>
        <w:rPr>
          <w:rFonts w:hint="default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21" w:lineRule="auto"/>
        <w:ind w:firstLine="60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single" w:color="auto"/>
          <w:lang w:val="en-US" w:eastAsia="zh-CN"/>
        </w:rPr>
        <w:t>华容县水运事务中心</w:t>
      </w:r>
    </w:p>
    <w:p>
      <w:pPr>
        <w:spacing w:before="228" w:line="222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3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华容县水运事务中心</w:t>
      </w:r>
    </w:p>
    <w:p>
      <w:pPr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公共交通营运补助项目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项目概况。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2023年度，使用公共交通营运补助资金72.21万元，主要用于发放农村水路客运油补资金，其中包含2021年费改税调整7万元，2022年农村水路客运油补资金50.4万元。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项目绩效目标。</w:t>
      </w:r>
      <w:r>
        <w:rPr>
          <w:rFonts w:hint="eastAsia" w:eastAsia="仿宋_GB2312"/>
          <w:sz w:val="32"/>
          <w:szCs w:val="32"/>
          <w:lang w:eastAsia="zh-CN"/>
        </w:rPr>
        <w:t>按时足额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完成油补资金补贴发放，保障渡口正常运转，保障客运渡船主权益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绩效评价目的、对象和范围。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为加强行业服务水平，提高资金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使用效益，发挥主管部门绩效工作监督和指导职能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主要自评项目为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油补资金补贴发放情况。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绩效评价原则、评价指标体系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附表说明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、评价方法、评价标准等。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绩效自评遵循以下原则：客观、公正、科学、严谨、独立的基础上开展工作。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项目支出自评体系，设定基本情况、产出、效益、满意度等一级指标四个，下各设定了若干个二级指标和三级指标及其分值，总分设置为100分，等级划分为四档：90（含）-100分为优、80（含）-90分为良、60（含）-80分为中、60分以下为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绩效评价方法主要采取成本效益分析法、比较法、公众评判法等。手段主要包括：收集资料，实地勘察和民意采集等。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三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绩效评价工作过程。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为了保障自评质量，抽调精干人员，开展了202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年整体支出和项目支出绩效自评工作。此项目支出情况在评价范围内，通过查阅资料、现场勘察，完成了自评工作。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三、综合评价情况及评价结论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项目已完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44条船舶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客运油补资金已通过财政“一卡通”系统全部发放到位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经评价考核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以上项目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符合行业标准，未见异常。项目支出自评得分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项目决策情况。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以上项目实施单位县水运事务中心，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根据政府要求，按年初计划确定具体项目，按程序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推进落实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项目过程情况。</w:t>
      </w:r>
      <w:r>
        <w:rPr>
          <w:rFonts w:hint="eastAsia" w:eastAsia="仿宋_GB2312"/>
          <w:sz w:val="32"/>
          <w:szCs w:val="32"/>
          <w:lang w:eastAsia="zh-CN"/>
        </w:rPr>
        <w:t>按时足额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进行油补资金补贴发放，保障渡口正常运转，保障客运渡船主权益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三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项目产出情况。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后，将初审计量数据报县局复核，制订拨款申请表，按流程报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领导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审批同意后，再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按核定表格录入“一卡通”系统进行发放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四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项目效益情况。保障</w:t>
      </w:r>
      <w:r>
        <w:rPr>
          <w:rFonts w:hint="eastAsia" w:eastAsia="仿宋_GB2312"/>
          <w:sz w:val="32"/>
          <w:szCs w:val="32"/>
          <w:lang w:eastAsia="zh-CN"/>
        </w:rPr>
        <w:t>了</w:t>
      </w:r>
      <w:r>
        <w:rPr>
          <w:rFonts w:hint="eastAsia" w:eastAsia="仿宋_GB2312"/>
          <w:sz w:val="32"/>
          <w:szCs w:val="32"/>
        </w:rPr>
        <w:t>水路运输畅通</w:t>
      </w:r>
      <w:r>
        <w:rPr>
          <w:rFonts w:hint="eastAsia" w:eastAsia="仿宋_GB2312"/>
          <w:sz w:val="32"/>
          <w:szCs w:val="32"/>
          <w:lang w:eastAsia="zh-CN"/>
        </w:rPr>
        <w:t>安全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营造了良好的道路交通环境。全面提升农村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水</w:t>
      </w:r>
      <w:r>
        <w:rPr>
          <w:rFonts w:hint="eastAsia" w:ascii="仿宋_GB2312" w:hAnsi="仿宋_GB2312" w:eastAsia="仿宋_GB2312" w:cs="仿宋_GB2312"/>
          <w:sz w:val="32"/>
          <w:szCs w:val="32"/>
        </w:rPr>
        <w:t>路路网安全保障能力，提升人民群众获得感、幸福感和安全感，满意度100%。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主要做法：在上级部门指导下，健全和完善了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水路</w:t>
      </w:r>
      <w:r>
        <w:rPr>
          <w:rFonts w:hint="eastAsia" w:ascii="仿宋_GB2312" w:hAnsi="仿宋_GB2312" w:eastAsia="仿宋_GB2312" w:cs="仿宋_GB2312"/>
          <w:sz w:val="32"/>
          <w:szCs w:val="32"/>
        </w:rPr>
        <w:t>交通运输领域的绩效指标体系和管理制度，加强了绩效管理人员业务培训。规范了绩效目标编审、绩效运行监控、绩效评价实施和绩效结果应用等绩效管理全过程，积极与县财政对接，及时掌握补助资金到位情况，根据资金筹措及安排，及时落实年度任务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存在问题分析：通过回头看，在202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年财政预算执行还存在一些问题：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是绩效管理人员缺乏专业知识，也缺少培训机会，容易在绩效管理工作中管理不到位，对现行的预算绩效管理不适应；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是部门整体预算编制的科学化、精细化、精准化还有待提高。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03AFFDC-AEFB-4C50-93A3-F6A708C73A9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1B196680-DA2F-40DF-BA93-E59E8320480A}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3B73E1B-1D43-4034-982D-82100B407BD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360EAEC-A01F-4F67-B027-76C716458431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9D2FAEC3-01F3-49EF-A5C1-C355138890E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2167C07F-E053-44E7-9ABB-CE593BA6F3F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ind w:left="574"/>
      <w:rPr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zZDM5N2MyYTk4NWFlNTlkNWQyZWNkZWJmMjVmNzgifQ=="/>
    <w:docVar w:name="KSO_WPS_MARK_KEY" w:val="2867cb4a-b85f-4214-ab45-6aa5a55831a0"/>
  </w:docVars>
  <w:rsids>
    <w:rsidRoot w:val="00000000"/>
    <w:rsid w:val="0FB71393"/>
    <w:rsid w:val="1CD94BA9"/>
    <w:rsid w:val="2E2270BF"/>
    <w:rsid w:val="304F0AE2"/>
    <w:rsid w:val="3DE874F5"/>
    <w:rsid w:val="4C451CF4"/>
    <w:rsid w:val="52FE62DE"/>
    <w:rsid w:val="54841AB9"/>
    <w:rsid w:val="5D173AE7"/>
    <w:rsid w:val="66F569D4"/>
    <w:rsid w:val="781A1483"/>
    <w:rsid w:val="7E72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680" w:lineRule="exact"/>
      <w:outlineLvl w:val="0"/>
    </w:pPr>
    <w:rPr>
      <w:rFonts w:ascii="方正粗黑宋简体" w:hAnsi="方正粗黑宋简体" w:eastAsiaTheme="majorEastAsia"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10">
    <w:name w:val="样式2"/>
    <w:basedOn w:val="1"/>
    <w:qFormat/>
    <w:uiPriority w:val="0"/>
    <w:pPr>
      <w:spacing w:before="560" w:line="580" w:lineRule="exact"/>
      <w:ind w:firstLine="600"/>
      <w:jc w:val="center"/>
    </w:pPr>
    <w:rPr>
      <w:rFonts w:hint="eastAsia" w:ascii="方正小标宋简体" w:hAnsi="方正小标宋简体" w:eastAsia="方正小标宋简体" w:cs="方正小标宋简体"/>
      <w:b/>
      <w:color w:val="000000"/>
      <w:sz w:val="44"/>
      <w:szCs w:val="44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1166</Words>
  <Characters>1217</Characters>
  <Lines>0</Lines>
  <Paragraphs>0</Paragraphs>
  <TotalTime>0</TotalTime>
  <ScaleCrop>false</ScaleCrop>
  <LinksUpToDate>false</LinksUpToDate>
  <CharactersWithSpaces>1218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婷  </cp:lastModifiedBy>
  <dcterms:modified xsi:type="dcterms:W3CDTF">2024-05-30T00:26:52Z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E821EC1392E24F28B4F795474E21D92C</vt:lpwstr>
  </property>
</Properties>
</file>