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23" w:line="218" w:lineRule="auto"/>
        <w:jc w:val="center"/>
        <w:rPr>
          <w:rFonts w:hint="eastAsia" w:ascii="方正小标宋简体" w:hAnsi="方正小标宋简体" w:eastAsia="方正小标宋简体" w:cs="方正小标宋简体"/>
          <w:spacing w:val="-1"/>
          <w:sz w:val="56"/>
          <w:szCs w:val="56"/>
        </w:rPr>
      </w:pPr>
    </w:p>
    <w:p>
      <w:pPr>
        <w:spacing w:before="223" w:line="218" w:lineRule="auto"/>
        <w:jc w:val="center"/>
        <w:rPr>
          <w:rFonts w:hint="eastAsia" w:ascii="方正小标宋简体" w:hAnsi="方正小标宋简体" w:eastAsia="方正小标宋简体" w:cs="方正小标宋简体"/>
          <w:spacing w:val="-1"/>
          <w:sz w:val="56"/>
          <w:szCs w:val="56"/>
        </w:rPr>
      </w:pPr>
    </w:p>
    <w:p>
      <w:pPr>
        <w:spacing w:before="223" w:line="218" w:lineRule="auto"/>
        <w:jc w:val="center"/>
        <w:rPr>
          <w:rFonts w:hint="eastAsia" w:ascii="方正小标宋简体" w:hAnsi="方正小标宋简体" w:eastAsia="方正小标宋简体" w:cs="方正小标宋简体"/>
          <w:spacing w:val="-1"/>
          <w:sz w:val="56"/>
          <w:szCs w:val="5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pacing w:val="-1"/>
          <w:sz w:val="56"/>
          <w:szCs w:val="56"/>
        </w:rPr>
        <w:t>2023年度</w:t>
      </w:r>
      <w:r>
        <w:rPr>
          <w:rFonts w:hint="eastAsia" w:ascii="方正小标宋简体" w:hAnsi="方正小标宋简体" w:eastAsia="方正小标宋简体" w:cs="方正小标宋简体"/>
          <w:spacing w:val="-1"/>
          <w:sz w:val="56"/>
          <w:szCs w:val="56"/>
          <w:lang w:eastAsia="zh-CN"/>
        </w:rPr>
        <w:t>华容县水运事务中心</w:t>
      </w:r>
    </w:p>
    <w:p>
      <w:pPr>
        <w:spacing w:before="223" w:line="218" w:lineRule="auto"/>
        <w:jc w:val="center"/>
        <w:rPr>
          <w:rFonts w:hint="eastAsia" w:ascii="方正小标宋简体" w:hAnsi="方正小标宋简体" w:eastAsia="方正小标宋简体" w:cs="方正小标宋简体"/>
          <w:sz w:val="56"/>
          <w:szCs w:val="56"/>
        </w:rPr>
      </w:pPr>
      <w:r>
        <w:rPr>
          <w:rFonts w:hint="eastAsia" w:ascii="方正小标宋简体" w:hAnsi="方正小标宋简体" w:eastAsia="方正小标宋简体" w:cs="方正小标宋简体"/>
          <w:spacing w:val="-1"/>
          <w:sz w:val="56"/>
          <w:szCs w:val="56"/>
          <w:lang w:eastAsia="zh-CN"/>
        </w:rPr>
        <w:t>部门</w:t>
      </w:r>
      <w:r>
        <w:rPr>
          <w:rFonts w:hint="eastAsia" w:ascii="方正小标宋简体" w:hAnsi="方正小标宋简体" w:eastAsia="方正小标宋简体" w:cs="方正小标宋简体"/>
          <w:spacing w:val="-1"/>
          <w:sz w:val="56"/>
          <w:szCs w:val="56"/>
        </w:rPr>
        <w:t>整体支出</w:t>
      </w:r>
      <w:r>
        <w:rPr>
          <w:rFonts w:hint="eastAsia" w:ascii="方正小标宋简体" w:hAnsi="方正小标宋简体" w:eastAsia="方正小标宋简体" w:cs="方正小标宋简体"/>
          <w:spacing w:val="-3"/>
          <w:sz w:val="56"/>
          <w:szCs w:val="56"/>
        </w:rPr>
        <w:t>绩效自评报告</w:t>
      </w: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pStyle w:val="7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line="221" w:lineRule="auto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 w:color="auto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部门（单位）名称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  <w:u w:val="none" w:color="auto"/>
          <w:lang w:eastAsia="zh-CN"/>
        </w:rPr>
        <w:t>华容县水运事务中心</w:t>
      </w:r>
    </w:p>
    <w:p>
      <w:pPr>
        <w:spacing w:before="228" w:line="222" w:lineRule="auto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8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pacing w:val="-8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pacing w:val="21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21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pacing w:val="-8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pacing w:val="43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43"/>
          <w:sz w:val="32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spacing w:val="-8"/>
          <w:sz w:val="32"/>
          <w:szCs w:val="32"/>
        </w:rPr>
        <w:t>日</w:t>
      </w:r>
    </w:p>
    <w:p>
      <w:pPr>
        <w:spacing w:line="335" w:lineRule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ectPr>
          <w:footerReference r:id="rId3" w:type="default"/>
          <w:pgSz w:w="11905" w:h="16838"/>
          <w:pgMar w:top="1984" w:right="1701" w:bottom="1984" w:left="1701" w:header="850" w:footer="1587" w:gutter="0"/>
          <w:pgNumType w:fmt="numberInDash" w:start="7"/>
          <w:cols w:space="0" w:num="1"/>
          <w:rtlGutter w:val="0"/>
          <w:docGrid w:type="lines" w:linePitch="314" w:charSpace="0"/>
        </w:sectPr>
      </w:pPr>
      <w: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0" w:firstLineChars="0"/>
        <w:jc w:val="both"/>
        <w:textAlignment w:val="auto"/>
        <w:rPr>
          <w:rFonts w:hint="eastAsia" w:ascii="方正小标宋简体" w:hAnsi="方正小标宋简体" w:eastAsia="方正小标宋简体" w:cs="方正小标宋简体"/>
          <w:spacing w:val="6"/>
          <w:sz w:val="44"/>
          <w:szCs w:val="44"/>
        </w:rPr>
      </w:pPr>
    </w:p>
    <w:p>
      <w:pPr>
        <w:pStyle w:val="7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pacing w:val="6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pacing w:val="6"/>
          <w:sz w:val="44"/>
          <w:szCs w:val="44"/>
        </w:rPr>
        <w:t>2023年度</w:t>
      </w:r>
      <w:r>
        <w:rPr>
          <w:rFonts w:hint="eastAsia" w:ascii="方正小标宋简体" w:hAnsi="方正小标宋简体" w:eastAsia="方正小标宋简体" w:cs="方正小标宋简体"/>
          <w:spacing w:val="6"/>
          <w:sz w:val="44"/>
          <w:szCs w:val="44"/>
          <w:lang w:eastAsia="zh-CN"/>
        </w:rPr>
        <w:t>华容县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6"/>
          <w:sz w:val="44"/>
          <w:szCs w:val="44"/>
          <w:lang w:eastAsia="zh-CN"/>
        </w:rPr>
        <w:t>部门</w:t>
      </w:r>
      <w:r>
        <w:rPr>
          <w:rFonts w:hint="eastAsia" w:ascii="方正小标宋简体" w:hAnsi="方正小标宋简体" w:eastAsia="方正小标宋简体" w:cs="方正小标宋简体"/>
          <w:spacing w:val="6"/>
          <w:sz w:val="44"/>
          <w:szCs w:val="44"/>
        </w:rPr>
        <w:t>整体支出</w:t>
      </w:r>
      <w:r>
        <w:rPr>
          <w:rFonts w:hint="eastAsia" w:ascii="方正小标宋简体" w:hAnsi="方正小标宋简体" w:eastAsia="方正小标宋简体" w:cs="方正小标宋简体"/>
          <w:spacing w:val="7"/>
          <w:sz w:val="44"/>
          <w:szCs w:val="44"/>
        </w:rPr>
        <w:t>绩效自评报告</w:t>
      </w:r>
    </w:p>
    <w:p>
      <w:pPr>
        <w:spacing w:line="283" w:lineRule="auto"/>
        <w:rPr>
          <w:rFonts w:ascii="Arial"/>
          <w:sz w:val="21"/>
        </w:rPr>
      </w:pPr>
    </w:p>
    <w:p>
      <w:pPr>
        <w:spacing w:line="284" w:lineRule="auto"/>
        <w:rPr>
          <w:rFonts w:ascii="Arial"/>
          <w:sz w:val="21"/>
        </w:rPr>
      </w:pPr>
    </w:p>
    <w:p>
      <w:pPr>
        <w:pStyle w:val="7"/>
      </w:pPr>
    </w:p>
    <w:p>
      <w:pPr>
        <w:numPr>
          <w:ilvl w:val="0"/>
          <w:numId w:val="1"/>
        </w:numPr>
        <w:spacing w:before="101" w:line="228" w:lineRule="auto"/>
        <w:ind w:left="648"/>
        <w:rPr>
          <w:rFonts w:hint="eastAsia" w:ascii="黑体" w:hAnsi="黑体" w:eastAsia="黑体" w:cs="黑体"/>
          <w:spacing w:val="5"/>
          <w:sz w:val="32"/>
          <w:szCs w:val="32"/>
        </w:rPr>
      </w:pPr>
      <w:r>
        <w:rPr>
          <w:rFonts w:hint="eastAsia" w:ascii="黑体" w:hAnsi="黑体" w:eastAsia="黑体" w:cs="黑体"/>
          <w:spacing w:val="5"/>
          <w:sz w:val="32"/>
          <w:szCs w:val="32"/>
        </w:rPr>
        <w:t>部门基本情况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  <w:lang w:val="en-US" w:eastAsia="zh-CN"/>
        </w:rPr>
        <w:t>（一）单位基本情况：</w:t>
      </w:r>
      <w:r>
        <w:rPr>
          <w:rFonts w:hint="eastAsia" w:ascii="仿宋" w:hAnsi="仿宋" w:eastAsia="仿宋"/>
          <w:sz w:val="28"/>
          <w:szCs w:val="28"/>
        </w:rPr>
        <w:t>华容县水运事务中心系县财政全额预算拨款单位。</w:t>
      </w:r>
      <w:r>
        <w:rPr>
          <w:rFonts w:hint="eastAsia" w:ascii="仿宋" w:hAnsi="仿宋" w:eastAsia="仿宋"/>
          <w:color w:val="auto"/>
          <w:sz w:val="28"/>
          <w:szCs w:val="28"/>
        </w:rPr>
        <w:t>202</w:t>
      </w:r>
      <w:r>
        <w:rPr>
          <w:rFonts w:hint="eastAsia" w:ascii="仿宋" w:hAnsi="仿宋" w:eastAsia="仿宋"/>
          <w:color w:val="auto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/>
          <w:color w:val="auto"/>
          <w:sz w:val="28"/>
          <w:szCs w:val="28"/>
        </w:rPr>
        <w:t>年编制部门核实</w:t>
      </w:r>
      <w:r>
        <w:rPr>
          <w:rFonts w:hint="eastAsia" w:ascii="仿宋" w:hAnsi="仿宋" w:eastAsia="仿宋"/>
          <w:color w:val="auto"/>
          <w:sz w:val="28"/>
          <w:szCs w:val="28"/>
          <w:lang w:eastAsia="zh-CN"/>
        </w:rPr>
        <w:t>华容县水运事务中心</w:t>
      </w:r>
      <w:r>
        <w:rPr>
          <w:rFonts w:hint="eastAsia" w:ascii="仿宋" w:hAnsi="仿宋" w:eastAsia="仿宋"/>
          <w:color w:val="auto"/>
          <w:sz w:val="28"/>
          <w:szCs w:val="28"/>
        </w:rPr>
        <w:t>人员编制</w:t>
      </w:r>
      <w:r>
        <w:rPr>
          <w:rFonts w:hint="eastAsia" w:ascii="仿宋" w:hAnsi="仿宋" w:eastAsia="仿宋"/>
          <w:color w:val="auto"/>
          <w:sz w:val="28"/>
          <w:szCs w:val="28"/>
          <w:lang w:val="en-US" w:eastAsia="zh-CN"/>
        </w:rPr>
        <w:t>29</w:t>
      </w:r>
      <w:r>
        <w:rPr>
          <w:rFonts w:hint="eastAsia" w:ascii="仿宋" w:hAnsi="仿宋" w:eastAsia="仿宋"/>
          <w:color w:val="auto"/>
          <w:sz w:val="28"/>
          <w:szCs w:val="28"/>
        </w:rPr>
        <w:t>人，实有人数</w:t>
      </w:r>
      <w:r>
        <w:rPr>
          <w:rFonts w:hint="eastAsia" w:ascii="仿宋" w:hAnsi="仿宋" w:eastAsia="仿宋"/>
          <w:color w:val="auto"/>
          <w:sz w:val="28"/>
          <w:szCs w:val="28"/>
          <w:lang w:val="en-US" w:eastAsia="zh-CN"/>
        </w:rPr>
        <w:t>29</w:t>
      </w:r>
      <w:r>
        <w:rPr>
          <w:rFonts w:hint="eastAsia" w:ascii="仿宋" w:hAnsi="仿宋" w:eastAsia="仿宋"/>
          <w:color w:val="auto"/>
          <w:sz w:val="28"/>
          <w:szCs w:val="28"/>
        </w:rPr>
        <w:t>人。</w:t>
      </w:r>
      <w:r>
        <w:rPr>
          <w:rFonts w:hint="eastAsia" w:ascii="仿宋" w:hAnsi="仿宋" w:eastAsia="仿宋"/>
          <w:sz w:val="28"/>
          <w:szCs w:val="28"/>
        </w:rPr>
        <w:t>内设机构6个：办公室、港口股、财务股、法制</w:t>
      </w:r>
      <w:r>
        <w:rPr>
          <w:rFonts w:ascii="仿宋" w:hAnsi="仿宋" w:eastAsia="仿宋"/>
          <w:sz w:val="28"/>
          <w:szCs w:val="28"/>
        </w:rPr>
        <w:t>股</w:t>
      </w:r>
      <w:r>
        <w:rPr>
          <w:rFonts w:hint="eastAsia" w:ascii="仿宋" w:hAnsi="仿宋" w:eastAsia="仿宋"/>
          <w:sz w:val="28"/>
          <w:szCs w:val="28"/>
        </w:rPr>
        <w:t>、安全股、航道股。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  <w:lang w:val="en-US" w:eastAsia="zh-CN"/>
        </w:rPr>
        <w:t>（二）部门主要职能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：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负责编制全县港口、航道等水路交通发展规划和计划，编报内河、港口、航道的新建、改建（养护）工程项目年度计划并组织实施。负责水上航道及通航环境管理，港口码头及其作业污染水域管理，水上水下施工作业及涉水工程管理，负责水上搜救、沉船沉物打捞及水上应急救援等技术支撑工作。负责防汛抢险和水路战备运输等应急运输保障的行政辅助工作，协助监督实施行业职业道德和经营规范，协助处理行政执法事项。负责地方航道管理的行政辅助工作，负责地方航道通航条件影响。评价的技术支撑工作，负责所辖地方航道航标及助航标志的设置，参与协调水资源综合利用事务。负责全县水路领域安全巡查，宣传教育工作。负责发布航道通告和航道水情通报，向进出港船舶、船员发布航行有关安全信息和提供咨询服务等工作。承办县委、县政府和县交通运输局交办的其它事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leftChars="0" w:firstLine="420" w:firstLineChars="200"/>
        <w:jc w:val="both"/>
        <w:textAlignment w:val="baseline"/>
        <w:rPr>
          <w:rFonts w:hint="eastAsia"/>
        </w:rPr>
      </w:pPr>
    </w:p>
    <w:p>
      <w:pPr>
        <w:spacing w:before="216" w:line="226" w:lineRule="auto"/>
        <w:ind w:left="648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pacing w:val="-2"/>
          <w:sz w:val="32"/>
          <w:szCs w:val="32"/>
        </w:rPr>
        <w:t>二、一般公共预算支出情况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（一）基本支出情况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leftChars="0" w:firstLine="560" w:firstLineChars="200"/>
        <w:jc w:val="both"/>
        <w:textAlignment w:val="baseline"/>
        <w:rPr>
          <w:rFonts w:hint="eastAsia" w:ascii="仿宋" w:hAnsi="仿宋" w:eastAsia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lang w:val="en-US" w:eastAsia="zh-CN"/>
        </w:rPr>
        <w:t>2023年华容县水运事务中心全年基本支出473.77万元，其中：工资福利支出305.16万元，商品和服务支出132.63万元，对个人和家庭的补助支出35.98万元。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leftChars="0" w:firstLine="560" w:firstLineChars="200"/>
        <w:jc w:val="both"/>
        <w:textAlignment w:val="baseline"/>
        <w:rPr>
          <w:rFonts w:hint="eastAsia" w:ascii="仿宋" w:hAnsi="仿宋" w:eastAsia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lang w:val="en-US" w:eastAsia="zh-CN"/>
        </w:rPr>
        <w:t>2023年“三公”经费实际支出0.73万元，比2022年“三公”经费支出1.62万元减少0.89万元，下降54.94%，主要是厉行节俭，缩减三公经费开支。其中公务接待费0.73万元，无公务用车运维费。</w:t>
      </w:r>
    </w:p>
    <w:p>
      <w:pPr>
        <w:pStyle w:val="2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项目支出情况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color w:val="auto"/>
        </w:rPr>
      </w:pPr>
      <w:r>
        <w:rPr>
          <w:rFonts w:hint="eastAsia" w:ascii="仿宋" w:hAnsi="仿宋" w:eastAsia="仿宋"/>
          <w:color w:val="auto"/>
          <w:sz w:val="28"/>
          <w:szCs w:val="28"/>
          <w:lang w:val="en-US" w:eastAsia="zh-CN"/>
        </w:rPr>
        <w:t>2023年华容县水运事务中心全年项目支出114.58万元，其中：一般公共服务支出（2023年度船舶污染物免费接收政府购买服务）57.37万元，公共交通运营经费支出（农村水路客运油补资金）57.21万元。比2022年减少22.92万元，下降16.67%。</w:t>
      </w:r>
    </w:p>
    <w:p>
      <w:pPr>
        <w:spacing w:before="219" w:line="226" w:lineRule="auto"/>
        <w:ind w:left="653"/>
        <w:rPr>
          <w:rFonts w:hint="eastAsia" w:ascii="黑体" w:hAnsi="黑体" w:eastAsia="黑体" w:cs="黑体"/>
          <w:spacing w:val="8"/>
          <w:sz w:val="32"/>
          <w:szCs w:val="32"/>
        </w:rPr>
      </w:pPr>
      <w:r>
        <w:rPr>
          <w:rFonts w:hint="eastAsia" w:ascii="黑体" w:hAnsi="黑体" w:eastAsia="黑体" w:cs="黑体"/>
          <w:spacing w:val="8"/>
          <w:sz w:val="32"/>
          <w:szCs w:val="32"/>
          <w:lang w:eastAsia="zh-CN"/>
        </w:rPr>
        <w:t>三</w:t>
      </w:r>
      <w:r>
        <w:rPr>
          <w:rFonts w:hint="eastAsia" w:ascii="黑体" w:hAnsi="黑体" w:eastAsia="黑体" w:cs="黑体"/>
          <w:spacing w:val="8"/>
          <w:sz w:val="32"/>
          <w:szCs w:val="32"/>
        </w:rPr>
        <w:t>、部门整体支出绩效情况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leftChars="0" w:firstLine="562" w:firstLineChars="200"/>
        <w:jc w:val="both"/>
        <w:textAlignment w:val="baseline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bCs/>
          <w:sz w:val="28"/>
          <w:szCs w:val="28"/>
          <w:lang w:val="en-US" w:eastAsia="zh-CN"/>
        </w:rPr>
        <w:t>（一）严格预算支出管理。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在支出预算编制上，人员经费按照配置定额，逐人核定编制，公用经费分类分档，按定额编制；根据“总量控制、计划管理”的要求从严控制行政经费，严格控制“三公”经费，资产的配置严格政府采购，按照预算科目和项目资金的规定使用财政资金，保障部门整体支出的规范化、制度化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leftChars="0" w:firstLine="562" w:firstLineChars="200"/>
        <w:jc w:val="both"/>
        <w:textAlignment w:val="baseline"/>
        <w:rPr>
          <w:rFonts w:hint="eastAsia" w:ascii="仿宋" w:hAnsi="仿宋" w:eastAsia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sz w:val="28"/>
          <w:szCs w:val="28"/>
          <w:lang w:val="en-US" w:eastAsia="zh-CN"/>
        </w:rPr>
        <w:t>（二）财务管理上，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按照国家相关法律法规，制定了机关财务、</w:t>
      </w:r>
      <w:r>
        <w:rPr>
          <w:rFonts w:hint="eastAsia" w:ascii="仿宋" w:hAnsi="仿宋" w:eastAsia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公物购置使用、接待、会务、因公出国、车辆使用等管理制度，并严格按照制度管理和执行，防范风险，保证财政资金的安全和高效运行。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leftChars="0" w:firstLine="562" w:firstLineChars="200"/>
        <w:jc w:val="both"/>
        <w:textAlignment w:val="baseline"/>
        <w:rPr>
          <w:rFonts w:hint="eastAsia" w:ascii="仿宋" w:hAnsi="仿宋" w:eastAsia="仿宋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（三）整体支出绩效情况分析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leftChars="0" w:firstLine="560" w:firstLineChars="200"/>
        <w:jc w:val="both"/>
        <w:textAlignment w:val="baseline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2023年，根据年初工作规划和重点工作，围绕县委、县政府和县交通运输局的工作部署，积极履行职责，强化管理，较好地完成了年度工作目标，同时加强预算收支的管理，建立健全内部管理制度，部门整体支出管理得到了提升。2023年度部门整体支出绩效情况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leftChars="0" w:firstLine="560" w:firstLineChars="200"/>
        <w:jc w:val="both"/>
        <w:textAlignment w:val="baseline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1、预算执行方面，单位预算资金严格按规定管理使用。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leftChars="0" w:firstLine="560" w:firstLineChars="200"/>
        <w:jc w:val="both"/>
        <w:textAlignment w:val="baseline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2、预算管理方面，制定了切实有效的财务、资产管理制度，执行总体较为有效。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leftChars="0" w:firstLine="560" w:firstLineChars="200"/>
        <w:jc w:val="both"/>
        <w:textAlignment w:val="baseline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3、重点工作推进有力。</w:t>
      </w:r>
      <w:r>
        <w:rPr>
          <w:rFonts w:hint="eastAsia" w:ascii="仿宋" w:hAnsi="仿宋" w:eastAsia="仿宋"/>
          <w:b/>
          <w:bCs/>
          <w:sz w:val="28"/>
          <w:szCs w:val="28"/>
          <w:lang w:val="en-US" w:eastAsia="zh-CN"/>
        </w:rPr>
        <w:t>一是江河岸线管理方面：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共开展长江日常巡查24余次，组织承办巡河活动4次、召开县长江河长专题会议2次，发现问题11个，推进了一批突出问题得到有效整改，实现了长江河长制工作的常抓常新，提质提标。</w:t>
      </w:r>
      <w:r>
        <w:rPr>
          <w:rFonts w:hint="eastAsia" w:ascii="仿宋" w:hAnsi="仿宋" w:eastAsia="仿宋"/>
          <w:b/>
          <w:bCs/>
          <w:sz w:val="28"/>
          <w:szCs w:val="28"/>
          <w:lang w:val="en-US" w:eastAsia="zh-CN"/>
        </w:rPr>
        <w:t>二是港口管理方面：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服务好县域水运经济发展。我始终秉承“争做负责任的水运发展机构”的工作理念，围绕县内在建的华容铁水联运煤碳码头、塔市驿码头两大水运项目，跑审批、搞协调，开展全方位“保姆”式服务；同时紧扣环保、安全两大核心，高频率开展巡查检查、问题督办10多次，现场要求整改问题6个，下达整改通知书2份，为打造精品水运工程“站岗”、“吹哨”。</w:t>
      </w:r>
      <w:bookmarkStart w:id="0" w:name="_GoBack"/>
      <w:r>
        <w:rPr>
          <w:rFonts w:hint="eastAsia" w:ascii="仿宋" w:hAnsi="仿宋" w:eastAsia="仿宋"/>
          <w:b/>
          <w:bCs/>
          <w:sz w:val="28"/>
          <w:szCs w:val="28"/>
          <w:lang w:val="en-US" w:eastAsia="zh-CN"/>
        </w:rPr>
        <w:t>三是航道养护管理方面：</w:t>
      </w:r>
      <w:bookmarkEnd w:id="0"/>
      <w:r>
        <w:rPr>
          <w:rFonts w:hint="eastAsia" w:ascii="仿宋" w:hAnsi="仿宋" w:eastAsia="仿宋"/>
          <w:sz w:val="28"/>
          <w:szCs w:val="28"/>
          <w:lang w:val="en-US" w:eastAsia="zh-CN"/>
        </w:rPr>
        <w:t>管养航道里程共计274公里，通航期，对所设置的航标进行日常巡查20次，组织及时掌握航标动态，根据水位调整标位，对漂失、损毁移位的航标予以补设、校正，确保航标标位设置准确，正常发挥效能，引导船舶安全航行,组织协调处理南县大通湖蓄洪垸建设禹山凤山河段钢便桥、六门闸排灌项目围堰工程处的航标设置与现场安全监管和维护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before="220" w:line="600" w:lineRule="exact"/>
        <w:ind w:firstLine="676" w:firstLineChars="200"/>
        <w:rPr>
          <w:rFonts w:hint="eastAsia" w:ascii="黑体" w:hAnsi="黑体" w:eastAsia="黑体" w:cs="黑体"/>
          <w:color w:val="000000" w:themeColor="text1"/>
          <w:spacing w:val="9"/>
          <w:position w:val="2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pacing w:val="9"/>
          <w:position w:val="2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四、</w:t>
      </w:r>
      <w:r>
        <w:rPr>
          <w:rFonts w:hint="eastAsia" w:ascii="黑体" w:hAnsi="黑体" w:eastAsia="黑体" w:cs="黑体"/>
          <w:color w:val="000000" w:themeColor="text1"/>
          <w:spacing w:val="9"/>
          <w:position w:val="2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存在的问题及原因分析</w:t>
      </w:r>
    </w:p>
    <w:p>
      <w:pPr>
        <w:keepNext w:val="0"/>
        <w:keepLines w:val="0"/>
        <w:pageBreakBefore w:val="0"/>
        <w:widowControl w:val="0"/>
        <w:tabs>
          <w:tab w:val="left" w:pos="7525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560" w:firstLineChars="200"/>
        <w:jc w:val="both"/>
        <w:textAlignment w:val="baseline"/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Arial"/>
          <w:snapToGrid w:val="0"/>
          <w:color w:val="000000" w:themeColor="text1"/>
          <w:kern w:val="0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预算编制有待更严格执行，预算编制与实际支出项目有的存在差异。</w:t>
      </w:r>
    </w:p>
    <w:p>
      <w:pPr>
        <w:numPr>
          <w:ilvl w:val="0"/>
          <w:numId w:val="0"/>
        </w:numPr>
        <w:spacing w:line="227" w:lineRule="auto"/>
        <w:ind w:left="641" w:leftChars="0"/>
        <w:rPr>
          <w:rFonts w:hint="eastAsia" w:ascii="黑体" w:hAnsi="黑体" w:eastAsia="黑体" w:cs="黑体"/>
          <w:color w:val="000000" w:themeColor="text1"/>
          <w:spacing w:val="8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pacing w:val="8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五、</w:t>
      </w:r>
      <w:r>
        <w:rPr>
          <w:rFonts w:hint="eastAsia" w:ascii="黑体" w:hAnsi="黑体" w:eastAsia="黑体" w:cs="黑体"/>
          <w:color w:val="000000" w:themeColor="text1"/>
          <w:spacing w:val="8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下一步改进措施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leftChars="0" w:firstLine="560" w:firstLineChars="200"/>
        <w:jc w:val="both"/>
        <w:textAlignment w:val="baseline"/>
        <w:rPr>
          <w:rFonts w:hint="eastAsia" w:ascii="仿宋" w:hAnsi="仿宋" w:eastAsia="仿宋" w:cs="Arial"/>
          <w:snapToGrid w:val="0"/>
          <w:color w:val="000000" w:themeColor="text1"/>
          <w:kern w:val="0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Arial"/>
          <w:snapToGrid w:val="0"/>
          <w:color w:val="000000" w:themeColor="text1"/>
          <w:kern w:val="0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一是按照预算规定的项目和用途严格财务审核，经费支出严格按预算规定项目的财务支出内容进行财务核算，在预算金额内严格控制费用的支出。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leftChars="0" w:firstLine="560" w:firstLineChars="200"/>
        <w:jc w:val="both"/>
        <w:textAlignment w:val="baseline"/>
        <w:rPr>
          <w:rFonts w:hint="eastAsia" w:ascii="仿宋" w:hAnsi="仿宋" w:eastAsia="仿宋" w:cs="Arial"/>
          <w:snapToGrid w:val="0"/>
          <w:color w:val="000000" w:themeColor="text1"/>
          <w:kern w:val="0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Arial"/>
          <w:snapToGrid w:val="0"/>
          <w:color w:val="000000" w:themeColor="text1"/>
          <w:kern w:val="0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二是预算财务分析常态化，定期做好预算支出财务分析，做好部门整体支出预算评价工作。</w:t>
      </w:r>
    </w:p>
    <w:p>
      <w:pPr>
        <w:pStyle w:val="2"/>
        <w:numPr>
          <w:ilvl w:val="0"/>
          <w:numId w:val="0"/>
        </w:numPr>
        <w:ind w:left="641" w:leftChars="0"/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>
      <w:pPr>
        <w:ind w:firstLine="420" w:firstLineChars="200"/>
      </w:pPr>
    </w:p>
    <w:sectPr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before="1" w:line="174" w:lineRule="auto"/>
      <w:jc w:val="center"/>
      <w:rPr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before="1" w:line="174" w:lineRule="auto"/>
      <w:ind w:left="8576"/>
      <w:rPr>
        <w:sz w:val="28"/>
        <w:szCs w:val="28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AD88973"/>
    <w:multiLevelType w:val="singleLevel"/>
    <w:tmpl w:val="2AD8897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6A9A14EA"/>
    <w:multiLevelType w:val="singleLevel"/>
    <w:tmpl w:val="6A9A14E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zZDM5N2MyYTk4NWFlNTlkNWQyZWNkZWJmMjVmNzgifQ=="/>
    <w:docVar w:name="KSO_WPS_MARK_KEY" w:val="dd296ea0-83d0-401a-8f64-1cedd8ef2ebb"/>
  </w:docVars>
  <w:rsids>
    <w:rsidRoot w:val="00000000"/>
    <w:rsid w:val="011E77FB"/>
    <w:rsid w:val="07F80070"/>
    <w:rsid w:val="0FB71393"/>
    <w:rsid w:val="0FEC2CD5"/>
    <w:rsid w:val="18A62B4E"/>
    <w:rsid w:val="2E2270BF"/>
    <w:rsid w:val="39777772"/>
    <w:rsid w:val="53D55A7E"/>
    <w:rsid w:val="550629FB"/>
    <w:rsid w:val="5D6D6DA8"/>
    <w:rsid w:val="6A3940C3"/>
    <w:rsid w:val="767D64B9"/>
    <w:rsid w:val="771163FC"/>
    <w:rsid w:val="781A1483"/>
    <w:rsid w:val="7E724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100" w:beforeLines="100" w:beforeAutospacing="0" w:after="100" w:afterLines="100" w:afterAutospacing="0" w:line="680" w:lineRule="exact"/>
      <w:outlineLvl w:val="0"/>
    </w:pPr>
    <w:rPr>
      <w:rFonts w:ascii="方正粗黑宋简体" w:hAnsi="方正粗黑宋简体" w:eastAsiaTheme="majorEastAsia"/>
      <w:kern w:val="44"/>
      <w:sz w:val="4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4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footnote text"/>
    <w:basedOn w:val="1"/>
    <w:next w:val="1"/>
    <w:qFormat/>
    <w:uiPriority w:val="0"/>
    <w:pPr>
      <w:snapToGrid w:val="0"/>
      <w:jc w:val="left"/>
    </w:pPr>
    <w:rPr>
      <w:sz w:val="18"/>
      <w:szCs w:val="18"/>
    </w:rPr>
  </w:style>
  <w:style w:type="paragraph" w:customStyle="1" w:styleId="10">
    <w:name w:val="样式2"/>
    <w:basedOn w:val="1"/>
    <w:qFormat/>
    <w:uiPriority w:val="0"/>
    <w:pPr>
      <w:spacing w:before="560" w:line="580" w:lineRule="exact"/>
      <w:ind w:firstLine="600"/>
      <w:jc w:val="center"/>
    </w:pPr>
    <w:rPr>
      <w:rFonts w:hint="eastAsia" w:ascii="方正小标宋简体" w:hAnsi="方正小标宋简体" w:eastAsia="方正小标宋简体" w:cs="方正小标宋简体"/>
      <w:b/>
      <w:color w:val="000000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1805</Words>
  <Characters>1908</Characters>
  <Lines>0</Lines>
  <Paragraphs>0</Paragraphs>
  <TotalTime>6</TotalTime>
  <ScaleCrop>false</ScaleCrop>
  <LinksUpToDate>false</LinksUpToDate>
  <CharactersWithSpaces>1910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asus</dc:creator>
  <cp:lastModifiedBy>婷  </cp:lastModifiedBy>
  <cp:lastPrinted>2024-05-30T03:19:00Z</cp:lastPrinted>
  <dcterms:modified xsi:type="dcterms:W3CDTF">2024-05-30T05:13:35Z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92614E6CAAAA4AC085C8C8C11F2B4A15</vt:lpwstr>
  </property>
</Properties>
</file>