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2023年度部门整体支出绩效自评表</w:t>
      </w:r>
    </w:p>
    <w:p>
      <w:pPr>
        <w:spacing w:line="132" w:lineRule="exact"/>
      </w:pPr>
    </w:p>
    <w:tbl>
      <w:tblPr>
        <w:tblStyle w:val="7"/>
        <w:tblW w:w="5612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586"/>
        <w:gridCol w:w="906"/>
        <w:gridCol w:w="200"/>
        <w:gridCol w:w="1279"/>
        <w:gridCol w:w="556"/>
        <w:gridCol w:w="1379"/>
        <w:gridCol w:w="1041"/>
        <w:gridCol w:w="555"/>
        <w:gridCol w:w="601"/>
        <w:gridCol w:w="15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251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级预算部门、单位名称</w:t>
            </w:r>
          </w:p>
        </w:tc>
        <w:tc>
          <w:tcPr>
            <w:tcW w:w="3748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华容县水运事务中心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344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年度预算申请（万元）</w:t>
            </w:r>
          </w:p>
        </w:tc>
        <w:tc>
          <w:tcPr>
            <w:tcW w:w="90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6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0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年度资金总额</w:t>
            </w:r>
          </w:p>
        </w:tc>
        <w:tc>
          <w:tcPr>
            <w:tcW w:w="68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397.8</w:t>
            </w:r>
          </w:p>
        </w:tc>
        <w:tc>
          <w:tcPr>
            <w:tcW w:w="103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588.36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588.36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58" w:firstLineChars="28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按收入性质分：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按支出性质分：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其中：一般公共预算：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557.41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10" w:firstLineChars="1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其中：基本支出：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473.78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政府性基金拨款：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项目支出：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114.58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纳入专户管理的非税收入拨款：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34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840" w:firstLineChars="4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30.95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344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体目标</w:t>
            </w: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344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629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eastAsia="仿宋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年度预算收支平衡，部门运转稳定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;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成品油价格补贴发放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；做好航道养护、港口渡口管理。</w:t>
            </w:r>
          </w:p>
        </w:tc>
        <w:tc>
          <w:tcPr>
            <w:tcW w:w="2025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年度收支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持平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，部门运转稳定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;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成品油价格补贴按时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足额</w:t>
            </w:r>
            <w:r>
              <w:rPr>
                <w:rFonts w:hint="eastAsia" w:eastAsia="宋体"/>
                <w:color w:val="auto"/>
                <w:sz w:val="18"/>
                <w:szCs w:val="18"/>
                <w:highlight w:val="none"/>
                <w:lang w:eastAsia="zh-CN"/>
              </w:rPr>
              <w:t>发放</w:t>
            </w: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；航道养护、港口渡口管理运行正常有序。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344" w:type="pct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7" w:lineRule="auto"/>
              <w:ind w:left="2814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  <w:t>标</w:t>
            </w:r>
          </w:p>
        </w:tc>
        <w:tc>
          <w:tcPr>
            <w:tcW w:w="3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6" w:lineRule="auto"/>
              <w:ind w:left="27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12"/>
                <w:sz w:val="21"/>
                <w:szCs w:val="21"/>
                <w:highlight w:val="none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27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9" w:lineRule="exact"/>
              <w:ind w:left="26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position w:val="4"/>
                <w:sz w:val="21"/>
                <w:szCs w:val="21"/>
                <w:highlight w:val="none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261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7" w:lineRule="auto"/>
              <w:ind w:left="36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  <w:highlight w:val="none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362"/>
              <w:jc w:val="center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7" w:lineRule="auto"/>
              <w:ind w:left="393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6"/>
                <w:sz w:val="21"/>
                <w:szCs w:val="21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93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指标值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9" w:lineRule="exact"/>
              <w:ind w:left="375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4"/>
                <w:position w:val="4"/>
                <w:sz w:val="21"/>
                <w:szCs w:val="21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265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完成值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176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分值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ind w:right="152"/>
              <w:jc w:val="both"/>
              <w:textAlignment w:val="baseline"/>
              <w:rPr>
                <w:rFonts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  <w:highlight w:val="none"/>
              </w:rPr>
              <w:t>偏差原</w:t>
            </w:r>
            <w:r>
              <w:rPr>
                <w:rFonts w:hint="eastAsia" w:ascii="宋体" w:hAnsi="宋体" w:cs="宋体"/>
                <w:color w:val="auto"/>
                <w:spacing w:val="-2"/>
                <w:sz w:val="21"/>
                <w:szCs w:val="21"/>
                <w:highlight w:val="none"/>
                <w:lang w:eastAsia="zh-CN"/>
              </w:rPr>
              <w:t>因</w:t>
            </w:r>
            <w:r>
              <w:rPr>
                <w:rFonts w:ascii="宋体" w:hAnsi="宋体" w:eastAsia="宋体" w:cs="宋体"/>
                <w:color w:val="auto"/>
                <w:spacing w:val="-2"/>
                <w:sz w:val="21"/>
                <w:szCs w:val="21"/>
                <w:highlight w:val="none"/>
              </w:rPr>
              <w:t>分析及</w:t>
            </w:r>
            <w:r>
              <w:rPr>
                <w:rFonts w:ascii="宋体" w:hAnsi="宋体" w:eastAsia="宋体" w:cs="宋体"/>
                <w:color w:val="auto"/>
                <w:spacing w:val="2"/>
                <w:sz w:val="21"/>
                <w:szCs w:val="21"/>
                <w:highlight w:val="none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产出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(50分)</w:t>
            </w: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日常正常运作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588.36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588.36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34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质量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资金使用合规性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4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时效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资金给付及时性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344" w:type="pct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314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预算执行率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4" w:type="pct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效益  指标  (30分)</w:t>
            </w:r>
          </w:p>
        </w:tc>
        <w:tc>
          <w:tcPr>
            <w:tcW w:w="4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经济效益指标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成品油补贴发放率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4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航道养护公里数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210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公里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210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公里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4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社会效益指标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航道畅通率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4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生态效益指标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航道环境保护管理水平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4" w:type="pct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满意度指标(10分)</w:t>
            </w:r>
          </w:p>
        </w:tc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服务对 象满意 度指标</w:t>
            </w: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344" w:type="pct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314" w:type="pct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5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91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受益群众满意度</w:t>
            </w:r>
          </w:p>
        </w:tc>
        <w:tc>
          <w:tcPr>
            <w:tcW w:w="7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3532" w:type="pct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  <w:t>总分</w:t>
            </w:r>
          </w:p>
        </w:tc>
        <w:tc>
          <w:tcPr>
            <w:tcW w:w="29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32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8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</w:tbl>
    <w:p>
      <w:pPr>
        <w:rPr>
          <w:rFonts w:hint="eastAsia"/>
        </w:rPr>
      </w:pPr>
      <w:r>
        <w:rPr>
          <w:rFonts w:ascii="宋体" w:hAnsi="宋体" w:eastAsia="宋体" w:cs="宋体"/>
          <w:color w:val="auto"/>
          <w:spacing w:val="3"/>
          <w:sz w:val="23"/>
          <w:szCs w:val="23"/>
        </w:rPr>
        <w:t>说明：以上数据参照202</w:t>
      </w:r>
      <w:r>
        <w:rPr>
          <w:rFonts w:hint="eastAsia" w:ascii="宋体" w:hAnsi="宋体" w:eastAsia="宋体" w:cs="宋体"/>
          <w:color w:val="auto"/>
          <w:spacing w:val="3"/>
          <w:sz w:val="23"/>
          <w:szCs w:val="23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3"/>
          <w:sz w:val="23"/>
          <w:szCs w:val="23"/>
        </w:rPr>
        <w:t>年部门决算报表中的“收入支出决算总表”(财</w:t>
      </w:r>
      <w:r>
        <w:rPr>
          <w:rFonts w:ascii="宋体" w:hAnsi="宋体" w:eastAsia="宋体" w:cs="宋体"/>
          <w:color w:val="auto"/>
          <w:spacing w:val="2"/>
          <w:sz w:val="23"/>
          <w:szCs w:val="23"/>
        </w:rPr>
        <w:t>决01表)。</w:t>
      </w:r>
    </w:p>
    <w:p>
      <w:pPr>
        <w:rPr>
          <w:rFonts w:hint="eastAsia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填表人：</w:t>
      </w:r>
      <w:r>
        <w:rPr>
          <w:rFonts w:hint="eastAsia"/>
          <w:lang w:eastAsia="zh-CN"/>
        </w:rPr>
        <w:t>兰蔚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填报日期：</w:t>
      </w:r>
      <w:r>
        <w:rPr>
          <w:rFonts w:hint="eastAsia"/>
          <w:lang w:val="en-US" w:eastAsia="zh-CN"/>
        </w:rPr>
        <w:t>2024.5.29</w:t>
      </w:r>
      <w:r>
        <w:rPr>
          <w:rFonts w:hint="eastAsia"/>
        </w:rPr>
        <w:t xml:space="preserve">     联系电话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4606100</w:t>
      </w:r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单位负责人签字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zZDM5N2MyYTk4NWFlNTlkNWQyZWNkZWJmMjVmNzgifQ=="/>
    <w:docVar w:name="KSO_WPS_MARK_KEY" w:val="14a578e8-f8f6-4283-8aab-d26e299ea9e6"/>
  </w:docVars>
  <w:rsids>
    <w:rsidRoot w:val="00000000"/>
    <w:rsid w:val="025A2278"/>
    <w:rsid w:val="0FB71393"/>
    <w:rsid w:val="18023926"/>
    <w:rsid w:val="184453FA"/>
    <w:rsid w:val="25F157AA"/>
    <w:rsid w:val="29881D8A"/>
    <w:rsid w:val="2DDB671C"/>
    <w:rsid w:val="2E2270BF"/>
    <w:rsid w:val="358128B0"/>
    <w:rsid w:val="40F814C2"/>
    <w:rsid w:val="54A20983"/>
    <w:rsid w:val="64A93D21"/>
    <w:rsid w:val="781A1483"/>
    <w:rsid w:val="7C405EA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6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673</Characters>
  <Lines>0</Lines>
  <Paragraphs>0</Paragraphs>
  <TotalTime>11</TotalTime>
  <ScaleCrop>false</ScaleCrop>
  <LinksUpToDate>false</LinksUpToDate>
  <CharactersWithSpaces>700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婷  </cp:lastModifiedBy>
  <dcterms:modified xsi:type="dcterms:W3CDTF">2024-05-30T05:17:38Z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