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6" w:lineRule="exact"/>
      </w:pPr>
    </w:p>
    <w:p>
      <w:pPr>
        <w:rPr>
          <w:rFonts w:hint="eastAsia" w:ascii="黑体" w:hAnsi="黑体" w:eastAsia="黑体" w:cs="黑体"/>
          <w:spacing w:val="-4"/>
          <w:sz w:val="31"/>
          <w:szCs w:val="31"/>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2</w:t>
      </w:r>
    </w:p>
    <w:p>
      <w:pPr>
        <w:keepNext w:val="0"/>
        <w:keepLines w:val="0"/>
        <w:pageBreakBefore w:val="0"/>
        <w:widowControl w:val="0"/>
        <w:kinsoku/>
        <w:wordWrap/>
        <w:overflowPunct/>
        <w:topLinePunct w:val="0"/>
        <w:autoSpaceDE/>
        <w:autoSpaceDN/>
        <w:bidi w:val="0"/>
        <w:adjustRightInd/>
        <w:snapToGrid/>
        <w:spacing w:line="300" w:lineRule="exact"/>
        <w:ind w:left="0"/>
        <w:textAlignment w:val="auto"/>
        <w:rPr>
          <w:rFonts w:hint="eastAsia" w:ascii="黑体" w:hAnsi="黑体" w:eastAsia="黑体" w:cs="黑体"/>
          <w:spacing w:val="-4"/>
          <w:sz w:val="31"/>
          <w:szCs w:val="31"/>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方正小标宋简体" w:hAnsi="方正小标宋简体" w:eastAsia="方正小标宋简体" w:cs="方正小标宋简体"/>
          <w:spacing w:val="0"/>
          <w:sz w:val="44"/>
          <w:szCs w:val="44"/>
        </w:rPr>
      </w:pPr>
      <w:r>
        <w:rPr>
          <w:rFonts w:hint="eastAsia" w:ascii="方正小标宋简体" w:hAnsi="方正小标宋简体" w:eastAsia="方正小标宋简体" w:cs="方正小标宋简体"/>
          <w:spacing w:val="0"/>
          <w:sz w:val="44"/>
          <w:szCs w:val="44"/>
        </w:rPr>
        <w:t>2023年度</w:t>
      </w:r>
      <w:r>
        <w:rPr>
          <w:rFonts w:hint="eastAsia" w:ascii="方正小标宋简体" w:hAnsi="方正小标宋简体" w:eastAsia="方正小标宋简体" w:cs="方正小标宋简体"/>
          <w:b/>
          <w:bCs/>
          <w:spacing w:val="0"/>
          <w:sz w:val="44"/>
          <w:szCs w:val="44"/>
          <w:lang w:eastAsia="zh-CN"/>
        </w:rPr>
        <w:t>水利局</w:t>
      </w:r>
      <w:r>
        <w:rPr>
          <w:rFonts w:hint="eastAsia" w:ascii="方正小标宋简体" w:hAnsi="方正小标宋简体" w:eastAsia="方正小标宋简体" w:cs="方正小标宋简体"/>
          <w:spacing w:val="0"/>
          <w:sz w:val="44"/>
          <w:szCs w:val="44"/>
        </w:rPr>
        <w:t>部门整体支出绩效评价</w:t>
      </w: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方正小标宋简体" w:hAnsi="方正小标宋简体" w:eastAsia="方正小标宋简体" w:cs="方正小标宋简体"/>
          <w:spacing w:val="0"/>
          <w:sz w:val="36"/>
          <w:szCs w:val="36"/>
        </w:rPr>
      </w:pPr>
      <w:r>
        <w:rPr>
          <w:rFonts w:hint="eastAsia" w:ascii="方正小标宋简体" w:hAnsi="方正小标宋简体" w:eastAsia="方正小标宋简体" w:cs="方正小标宋简体"/>
          <w:spacing w:val="0"/>
          <w:sz w:val="44"/>
          <w:szCs w:val="44"/>
        </w:rPr>
        <w:t>基础数据表</w:t>
      </w:r>
    </w:p>
    <w:p>
      <w:pPr>
        <w:keepNext w:val="0"/>
        <w:keepLines w:val="0"/>
        <w:pageBreakBefore w:val="0"/>
        <w:widowControl w:val="0"/>
        <w:kinsoku/>
        <w:wordWrap/>
        <w:overflowPunct/>
        <w:topLinePunct w:val="0"/>
        <w:autoSpaceDE/>
        <w:autoSpaceDN/>
        <w:bidi w:val="0"/>
        <w:adjustRightInd/>
        <w:snapToGrid/>
        <w:spacing w:line="300" w:lineRule="exact"/>
        <w:textAlignment w:val="auto"/>
      </w:pPr>
    </w:p>
    <w:tbl>
      <w:tblPr>
        <w:tblStyle w:val="17"/>
        <w:tblW w:w="9277"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419"/>
        <w:gridCol w:w="964"/>
        <w:gridCol w:w="965"/>
        <w:gridCol w:w="1"/>
        <w:gridCol w:w="985"/>
        <w:gridCol w:w="986"/>
        <w:gridCol w:w="978"/>
        <w:gridCol w:w="9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39"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财政供养人员情况（人）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编制数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2023年实际</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在职人数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62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60</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96.77%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经费控制情况（万元）</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2022年决算数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2023年预算数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2023年决算数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三公经费</w:t>
            </w:r>
            <w:r>
              <w:rPr>
                <w:rFonts w:hint="eastAsia" w:asciiTheme="minorEastAsia" w:hAnsiTheme="minorEastAsia" w:eastAsiaTheme="minorEastAsia" w:cstheme="minorEastAsia"/>
                <w:sz w:val="21"/>
                <w:szCs w:val="21"/>
                <w:lang w:eastAsia="zh-CN"/>
              </w:rPr>
              <w:t>：</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1、公务用车购置和维护经费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其中：公车购置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59" w:firstLineChars="695"/>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公车运行维护</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2、出国经费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3、公务接待</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6345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6345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事业发展资金</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32</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w:t>
            </w:r>
            <w:r>
              <w:rPr>
                <w:rFonts w:hint="eastAsia" w:asciiTheme="minorEastAsia" w:hAnsiTheme="minorEastAsia" w:eastAsiaTheme="minorEastAsia" w:cstheme="minorEastAsia"/>
                <w:sz w:val="21"/>
                <w:szCs w:val="21"/>
                <w:lang w:val="en-US" w:eastAsia="zh-CN"/>
              </w:rPr>
              <w:t>水利（含河长制）</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313</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313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4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3、水利建设支出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6000</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858" w:firstLineChars="409"/>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公用经费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其中：办公经费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4.32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14.96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水费、电费、差旅费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25.8</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27.6</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29.85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会议费、培训费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17.44</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12.75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12.37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政府采购金额</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4033.43</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4033.43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部门基本支出预算调整</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08"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楼堂馆所控制情况</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（2023年完工项目）</w:t>
            </w: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批复规模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实际规模（㎡）</w:t>
            </w: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控制率</w:t>
            </w: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预算投资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投资概算控制率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70"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厉行节约保障措施</w:t>
            </w:r>
          </w:p>
        </w:tc>
        <w:tc>
          <w:tcPr>
            <w:tcW w:w="5858" w:type="dxa"/>
            <w:gridSpan w:val="7"/>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1.加强宣传教育，引导在职职工养成节约习惯，提高节约意识。</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2.加强对资源的管理和调配，实现资源的最优化配置。建立精细化管理体系，加强资源的有效利用，降低资源浪费和损失。</w:t>
            </w:r>
          </w:p>
        </w:tc>
      </w:tr>
    </w:tbl>
    <w:p>
      <w:pPr>
        <w:rPr>
          <w:rFonts w:hint="eastAsia"/>
          <w:lang w:eastAsia="zh-CN"/>
        </w:rPr>
      </w:pPr>
      <w:r>
        <w:rPr>
          <w:rFonts w:hint="eastAsia"/>
        </w:rPr>
        <w:t>说明：“项目支出” 需要填报基本支出以外的所有项目支出情况，“公用经费”填报基本支出</w:t>
      </w:r>
      <w:r>
        <w:rPr>
          <w:rFonts w:hint="eastAsia"/>
          <w:lang w:eastAsia="zh-CN"/>
        </w:rPr>
        <w:t>中的一般商品和服务支出。</w:t>
      </w:r>
    </w:p>
    <w:p>
      <w:pPr>
        <w:rPr>
          <w:rFonts w:hint="eastAsia"/>
          <w:lang w:eastAsia="zh-CN"/>
        </w:rPr>
      </w:pPr>
    </w:p>
    <w:p>
      <w:r>
        <w:rPr>
          <w:rFonts w:hint="eastAsia"/>
        </w:rPr>
        <w:t>填表人：</w:t>
      </w:r>
      <w:r>
        <w:rPr>
          <w:rFonts w:hint="eastAsia"/>
          <w:lang w:eastAsia="zh-CN"/>
        </w:rPr>
        <w:t>吴涛</w:t>
      </w:r>
      <w:r>
        <w:rPr>
          <w:rFonts w:hint="eastAsia"/>
        </w:rPr>
        <w:t xml:space="preserve">  填报日期：</w:t>
      </w:r>
      <w:r>
        <w:rPr>
          <w:rFonts w:hint="eastAsia"/>
          <w:lang w:val="en-US" w:eastAsia="zh-CN"/>
        </w:rPr>
        <w:t>2024.5.28</w:t>
      </w:r>
      <w:r>
        <w:rPr>
          <w:rFonts w:hint="eastAsia"/>
        </w:rPr>
        <w:t xml:space="preserve">  </w:t>
      </w:r>
      <w:r>
        <w:rPr>
          <w:rFonts w:hint="eastAsia"/>
          <w:lang w:val="en-US" w:eastAsia="zh-CN"/>
        </w:rPr>
        <w:t xml:space="preserve"> </w:t>
      </w:r>
      <w:r>
        <w:rPr>
          <w:rFonts w:hint="eastAsia"/>
        </w:rPr>
        <w:t>联系电话：</w:t>
      </w:r>
      <w:r>
        <w:rPr>
          <w:rFonts w:hint="eastAsia"/>
          <w:lang w:val="en-US" w:eastAsia="zh-CN"/>
        </w:rPr>
        <w:t>15197065012</w:t>
      </w:r>
      <w:r>
        <w:rPr>
          <w:rFonts w:hint="eastAsia"/>
        </w:rPr>
        <w:t xml:space="preserve"> </w:t>
      </w:r>
      <w:r>
        <w:rPr>
          <w:rFonts w:hint="eastAsia"/>
          <w:lang w:val="en-US" w:eastAsia="zh-CN"/>
        </w:rPr>
        <w:t xml:space="preserve">  </w:t>
      </w:r>
      <w:r>
        <w:rPr>
          <w:rFonts w:hint="eastAsia"/>
        </w:rPr>
        <w:t>单位负责人签字：</w:t>
      </w:r>
      <w:r>
        <w:rPr>
          <w:rFonts w:hint="eastAsia"/>
          <w:lang w:eastAsia="zh-CN"/>
        </w:rPr>
        <w:t>季志刚</w:t>
      </w:r>
    </w:p>
    <w:p>
      <w:pPr>
        <w:rPr>
          <w:spacing w:val="-13"/>
          <w:sz w:val="22"/>
          <w:szCs w:val="22"/>
        </w:rPr>
      </w:pPr>
      <w:r>
        <w:rPr>
          <w:spacing w:val="-13"/>
          <w:sz w:val="22"/>
          <w:szCs w:val="22"/>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
      <w:bookmarkStart w:id="0" w:name="_GoBack"/>
      <w:r>
        <w:drawing>
          <wp:inline distT="0" distB="0" distL="114300" distR="114300">
            <wp:extent cx="5394325" cy="7418705"/>
            <wp:effectExtent l="0" t="0" r="15875" b="10795"/>
            <wp:docPr id="2" name="图片 2" descr="水利局整体绩效自评封面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水利局整体绩效自评封面 001"/>
                    <pic:cNvPicPr>
                      <a:picLocks noChangeAspect="1"/>
                    </pic:cNvPicPr>
                  </pic:nvPicPr>
                  <pic:blipFill>
                    <a:blip r:embed="rId7"/>
                    <a:stretch>
                      <a:fillRect/>
                    </a:stretch>
                  </pic:blipFill>
                  <pic:spPr>
                    <a:xfrm>
                      <a:off x="0" y="0"/>
                      <a:ext cx="5394325" cy="7418705"/>
                    </a:xfrm>
                    <a:prstGeom prst="rect">
                      <a:avLst/>
                    </a:prstGeom>
                  </pic:spPr>
                </pic:pic>
              </a:graphicData>
            </a:graphic>
          </wp:inline>
        </w:drawing>
      </w:r>
      <w:bookmarkEnd w:id="0"/>
      <w:r>
        <w:br w:type="page"/>
      </w:r>
    </w:p>
    <w:p>
      <w:pPr>
        <w:pStyle w:val="9"/>
        <w:sectPr>
          <w:footerReference r:id="rId3" w:type="default"/>
          <w:pgSz w:w="11905" w:h="16838"/>
          <w:pgMar w:top="1417" w:right="1701" w:bottom="1417" w:left="1701" w:header="850" w:footer="1587" w:gutter="0"/>
          <w:pgNumType w:fmt="numberInDash" w:start="7"/>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p>
    <w:p>
      <w:pPr>
        <w:pStyle w:val="9"/>
        <w:rPr>
          <w:rFonts w:hint="eastAsia"/>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6"/>
          <w:sz w:val="44"/>
          <w:szCs w:val="44"/>
        </w:rPr>
        <w:t>2023年度</w:t>
      </w:r>
      <w:r>
        <w:rPr>
          <w:rFonts w:hint="eastAsia" w:ascii="方正小标宋简体" w:hAnsi="方正小标宋简体" w:eastAsia="方正小标宋简体" w:cs="方正小标宋简体"/>
          <w:b/>
          <w:bCs/>
          <w:spacing w:val="6"/>
          <w:sz w:val="44"/>
          <w:szCs w:val="44"/>
          <w:lang w:eastAsia="zh-CN"/>
        </w:rPr>
        <w:t>水利局</w:t>
      </w:r>
      <w:r>
        <w:rPr>
          <w:rFonts w:hint="eastAsia" w:ascii="方正小标宋简体" w:hAnsi="方正小标宋简体" w:eastAsia="方正小标宋简体" w:cs="方正小标宋简体"/>
          <w:spacing w:val="6"/>
          <w:sz w:val="44"/>
          <w:szCs w:val="44"/>
        </w:rPr>
        <w:t>部门整体支出</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绩效自评报告</w:t>
      </w:r>
    </w:p>
    <w:p>
      <w:pPr>
        <w:spacing w:line="283" w:lineRule="auto"/>
        <w:rPr>
          <w:rFonts w:ascii="Arial"/>
          <w:sz w:val="21"/>
        </w:rPr>
      </w:pPr>
    </w:p>
    <w:p>
      <w:pPr>
        <w:spacing w:line="284" w:lineRule="auto"/>
        <w:rPr>
          <w:rFonts w:ascii="Arial"/>
          <w:sz w:val="21"/>
        </w:rPr>
      </w:pPr>
    </w:p>
    <w:p>
      <w:pPr>
        <w:pStyle w:val="9"/>
      </w:pPr>
    </w:p>
    <w:p>
      <w:pPr>
        <w:numPr>
          <w:ilvl w:val="0"/>
          <w:numId w:val="1"/>
        </w:numPr>
        <w:spacing w:before="101" w:line="228" w:lineRule="auto"/>
        <w:ind w:left="648"/>
        <w:rPr>
          <w:rFonts w:hint="eastAsia" w:ascii="黑体" w:hAnsi="黑体" w:eastAsia="黑体" w:cs="黑体"/>
          <w:spacing w:val="5"/>
          <w:sz w:val="32"/>
          <w:szCs w:val="32"/>
        </w:rPr>
      </w:pPr>
      <w:r>
        <w:rPr>
          <w:rFonts w:hint="eastAsia" w:ascii="黑体" w:hAnsi="黑体" w:eastAsia="黑体" w:cs="黑体"/>
          <w:spacing w:val="5"/>
          <w:sz w:val="32"/>
          <w:szCs w:val="32"/>
        </w:rPr>
        <w:t>部门基本情况</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（一）部门（单位）基本情况</w:t>
      </w:r>
    </w:p>
    <w:p>
      <w:pPr>
        <w:spacing w:line="560" w:lineRule="exact"/>
        <w:ind w:firstLine="600" w:firstLineChars="200"/>
        <w:rPr>
          <w:rFonts w:ascii="仿宋" w:hAnsi="仿宋" w:eastAsia="仿宋" w:cs="仿宋"/>
          <w:bCs/>
          <w:sz w:val="30"/>
          <w:szCs w:val="30"/>
        </w:rPr>
      </w:pPr>
      <w:r>
        <w:rPr>
          <w:rFonts w:hint="eastAsia" w:ascii="仿宋" w:hAnsi="仿宋" w:eastAsia="仿宋" w:cs="仿宋"/>
          <w:sz w:val="30"/>
          <w:szCs w:val="30"/>
        </w:rPr>
        <w:t>根据编委核定，2023年我单位设股室 </w:t>
      </w:r>
      <w:r>
        <w:rPr>
          <w:rFonts w:hint="eastAsia" w:ascii="仿宋" w:hAnsi="仿宋" w:eastAsia="仿宋" w:cs="仿宋"/>
          <w:sz w:val="30"/>
          <w:szCs w:val="30"/>
          <w:lang w:val="en-US" w:eastAsia="zh-CN"/>
        </w:rPr>
        <w:t>11</w:t>
      </w:r>
      <w:r>
        <w:rPr>
          <w:rFonts w:hint="eastAsia" w:ascii="仿宋" w:hAnsi="仿宋" w:eastAsia="仿宋" w:cs="仿宋"/>
          <w:sz w:val="30"/>
          <w:szCs w:val="30"/>
        </w:rPr>
        <w:t>个。2023年末，我单位共有编制</w:t>
      </w:r>
      <w:r>
        <w:rPr>
          <w:rFonts w:hint="eastAsia" w:ascii="仿宋" w:hAnsi="仿宋" w:eastAsia="仿宋" w:cs="仿宋"/>
          <w:sz w:val="30"/>
          <w:szCs w:val="30"/>
          <w:lang w:val="en-US" w:eastAsia="zh-CN"/>
        </w:rPr>
        <w:t>62</w:t>
      </w:r>
      <w:r>
        <w:rPr>
          <w:rFonts w:hint="eastAsia" w:ascii="仿宋" w:hAnsi="仿宋" w:eastAsia="仿宋" w:cs="仿宋"/>
          <w:sz w:val="30"/>
          <w:szCs w:val="30"/>
        </w:rPr>
        <w:t>人，其中行政编制</w:t>
      </w:r>
      <w:r>
        <w:rPr>
          <w:rFonts w:hint="eastAsia" w:ascii="仿宋" w:hAnsi="仿宋" w:eastAsia="仿宋" w:cs="仿宋"/>
          <w:sz w:val="30"/>
          <w:szCs w:val="30"/>
          <w:lang w:val="en-US" w:eastAsia="zh-CN"/>
        </w:rPr>
        <w:t>21</w:t>
      </w:r>
      <w:r>
        <w:rPr>
          <w:rFonts w:hint="eastAsia" w:ascii="仿宋" w:hAnsi="仿宋" w:eastAsia="仿宋" w:cs="仿宋"/>
          <w:sz w:val="30"/>
          <w:szCs w:val="30"/>
        </w:rPr>
        <w:t>人，</w:t>
      </w:r>
      <w:r>
        <w:rPr>
          <w:rFonts w:hint="eastAsia" w:ascii="仿宋" w:hAnsi="仿宋" w:eastAsia="仿宋" w:cs="仿宋"/>
          <w:sz w:val="30"/>
          <w:szCs w:val="30"/>
          <w:lang w:eastAsia="zh-CN"/>
        </w:rPr>
        <w:t>事业编制</w:t>
      </w:r>
      <w:r>
        <w:rPr>
          <w:rFonts w:hint="eastAsia" w:ascii="仿宋" w:hAnsi="仿宋" w:eastAsia="仿宋" w:cs="仿宋"/>
          <w:sz w:val="30"/>
          <w:szCs w:val="30"/>
          <w:lang w:val="en-US" w:eastAsia="zh-CN"/>
        </w:rPr>
        <w:t>41人。</w:t>
      </w:r>
      <w:r>
        <w:rPr>
          <w:rFonts w:hint="eastAsia" w:ascii="仿宋" w:hAnsi="仿宋" w:eastAsia="仿宋" w:cs="仿宋"/>
          <w:sz w:val="30"/>
          <w:szCs w:val="30"/>
        </w:rPr>
        <w:t>年末实有人数</w:t>
      </w:r>
      <w:r>
        <w:rPr>
          <w:rFonts w:hint="eastAsia" w:ascii="仿宋" w:hAnsi="仿宋" w:eastAsia="仿宋" w:cs="仿宋"/>
          <w:sz w:val="30"/>
          <w:szCs w:val="30"/>
          <w:lang w:val="en-US" w:eastAsia="zh-CN"/>
        </w:rPr>
        <w:t>60</w:t>
      </w:r>
      <w:r>
        <w:rPr>
          <w:rFonts w:hint="eastAsia" w:ascii="仿宋" w:hAnsi="仿宋" w:eastAsia="仿宋" w:cs="仿宋"/>
          <w:sz w:val="30"/>
          <w:szCs w:val="30"/>
        </w:rPr>
        <w:t>人</w:t>
      </w:r>
      <w:r>
        <w:rPr>
          <w:rFonts w:hint="eastAsia" w:ascii="仿宋" w:hAnsi="仿宋" w:eastAsia="仿宋" w:cs="仿宋"/>
          <w:sz w:val="30"/>
          <w:szCs w:val="30"/>
          <w:lang w:eastAsia="zh-CN"/>
        </w:rPr>
        <w:t>，</w:t>
      </w:r>
      <w:r>
        <w:rPr>
          <w:rFonts w:hint="eastAsia" w:ascii="仿宋_GB2312" w:hAnsi="仿宋" w:eastAsia="仿宋_GB2312"/>
          <w:sz w:val="32"/>
          <w:szCs w:val="32"/>
        </w:rPr>
        <w:t>其中：行政人员</w:t>
      </w:r>
      <w:r>
        <w:rPr>
          <w:rFonts w:hint="eastAsia" w:ascii="仿宋_GB2312" w:hAnsi="仿宋" w:eastAsia="仿宋_GB2312"/>
          <w:sz w:val="32"/>
          <w:szCs w:val="32"/>
          <w:lang w:val="en-US" w:eastAsia="zh-CN"/>
        </w:rPr>
        <w:t>16</w:t>
      </w:r>
      <w:r>
        <w:rPr>
          <w:rFonts w:hint="eastAsia" w:ascii="仿宋_GB2312" w:hAnsi="仿宋" w:eastAsia="仿宋_GB2312"/>
          <w:sz w:val="32"/>
          <w:szCs w:val="32"/>
        </w:rPr>
        <w:t>人，事业人员</w:t>
      </w:r>
      <w:r>
        <w:rPr>
          <w:rFonts w:hint="eastAsia" w:ascii="仿宋_GB2312" w:hAnsi="仿宋" w:eastAsia="仿宋_GB2312"/>
          <w:sz w:val="32"/>
          <w:szCs w:val="32"/>
          <w:lang w:val="en-US" w:eastAsia="zh-CN"/>
        </w:rPr>
        <w:t>44</w:t>
      </w:r>
      <w:r>
        <w:rPr>
          <w:rFonts w:hint="eastAsia" w:ascii="仿宋_GB2312" w:hAnsi="仿宋" w:eastAsia="仿宋_GB2312"/>
          <w:sz w:val="32"/>
          <w:szCs w:val="32"/>
        </w:rPr>
        <w:t>人</w:t>
      </w:r>
      <w:r>
        <w:rPr>
          <w:rFonts w:hint="eastAsia" w:ascii="仿宋" w:hAnsi="仿宋" w:eastAsia="仿宋" w:cs="仿宋"/>
          <w:sz w:val="30"/>
          <w:szCs w:val="30"/>
          <w:lang w:eastAsia="zh-CN"/>
        </w:rPr>
        <w:t>。</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lang w:eastAsia="zh-CN"/>
        </w:rPr>
      </w:pP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lang w:eastAsia="zh-CN"/>
        </w:rPr>
        <w:t>（二）</w:t>
      </w:r>
      <w:r>
        <w:rPr>
          <w:rFonts w:hint="eastAsia" w:ascii="楷体_GB2312" w:hAnsi="楷体_GB2312" w:eastAsia="楷体_GB2312" w:cs="楷体_GB2312"/>
          <w:b/>
          <w:bCs/>
          <w:sz w:val="32"/>
          <w:szCs w:val="32"/>
        </w:rPr>
        <w:t>部门（单位）整体支出规模、使用方向和主要内容、涉及范围等</w:t>
      </w:r>
    </w:p>
    <w:p>
      <w:pPr>
        <w:spacing w:line="560" w:lineRule="exact"/>
        <w:ind w:firstLine="600" w:firstLineChars="200"/>
      </w:pPr>
      <w:r>
        <w:rPr>
          <w:rFonts w:hint="eastAsia" w:ascii="仿宋" w:hAnsi="仿宋" w:eastAsia="仿宋" w:cs="仿宋"/>
          <w:sz w:val="30"/>
          <w:szCs w:val="30"/>
        </w:rPr>
        <w:t xml:space="preserve"> 2023年本单位对财政拨入资金，首先严格按照财政“节约、低耗、高效”的原则开展工作，统筹安排，合理支出。保障和改善民生为重点，增加移民收入，增加移民自我发展能力为目标，维护库区和移民安置社会大局稳定，营造经济和谐发展良好环境。</w:t>
      </w:r>
    </w:p>
    <w:p>
      <w:pPr>
        <w:pStyle w:val="9"/>
        <w:numPr>
          <w:ilvl w:val="0"/>
          <w:numId w:val="0"/>
        </w:numPr>
        <w:rPr>
          <w:rFonts w:hint="eastAsia"/>
        </w:rPr>
      </w:pPr>
    </w:p>
    <w:p>
      <w:pPr>
        <w:spacing w:before="216" w:line="226" w:lineRule="auto"/>
        <w:ind w:left="648"/>
        <w:rPr>
          <w:rFonts w:hint="eastAsia" w:ascii="黑体" w:hAnsi="黑体" w:eastAsia="黑体" w:cs="黑体"/>
          <w:sz w:val="32"/>
          <w:szCs w:val="32"/>
        </w:rPr>
      </w:pPr>
      <w:r>
        <w:rPr>
          <w:rFonts w:hint="eastAsia" w:ascii="黑体" w:hAnsi="黑体" w:eastAsia="黑体" w:cs="黑体"/>
          <w:spacing w:val="-2"/>
          <w:sz w:val="32"/>
          <w:szCs w:val="32"/>
        </w:rPr>
        <w:t>二、一般公共预算支出情况</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（一）基本支出情况</w:t>
      </w:r>
    </w:p>
    <w:p>
      <w:pPr>
        <w:snapToGrid w:val="0"/>
        <w:spacing w:line="520" w:lineRule="exact"/>
        <w:ind w:firstLine="600" w:firstLineChars="200"/>
        <w:rPr>
          <w:rFonts w:ascii="仿宋" w:hAnsi="仿宋" w:eastAsia="仿宋" w:cs="仿宋"/>
          <w:sz w:val="30"/>
          <w:szCs w:val="30"/>
        </w:rPr>
      </w:pPr>
      <w:r>
        <w:rPr>
          <w:rFonts w:hint="eastAsia" w:ascii="仿宋" w:hAnsi="仿宋" w:eastAsia="仿宋" w:cs="仿宋"/>
          <w:sz w:val="30"/>
          <w:szCs w:val="30"/>
        </w:rPr>
        <w:t>202</w:t>
      </w:r>
      <w:r>
        <w:rPr>
          <w:rFonts w:hint="eastAsia" w:ascii="仿宋" w:hAnsi="仿宋" w:eastAsia="仿宋" w:cs="仿宋"/>
          <w:sz w:val="30"/>
          <w:szCs w:val="30"/>
          <w:lang w:val="en-US" w:eastAsia="zh-CN"/>
        </w:rPr>
        <w:t>3</w:t>
      </w:r>
      <w:r>
        <w:rPr>
          <w:rFonts w:hint="eastAsia" w:ascii="仿宋" w:hAnsi="仿宋" w:eastAsia="仿宋" w:cs="仿宋"/>
          <w:sz w:val="30"/>
          <w:szCs w:val="30"/>
        </w:rPr>
        <w:t>年我单位收入年初预算为</w:t>
      </w:r>
      <w:r>
        <w:rPr>
          <w:rFonts w:hint="eastAsia" w:ascii="仿宋" w:hAnsi="仿宋" w:eastAsia="仿宋" w:cs="仿宋"/>
          <w:sz w:val="30"/>
          <w:szCs w:val="30"/>
          <w:lang w:val="en-US" w:eastAsia="zh-CN"/>
        </w:rPr>
        <w:t>7200.54</w:t>
      </w:r>
      <w:r>
        <w:rPr>
          <w:rFonts w:hint="eastAsia" w:ascii="仿宋" w:hAnsi="仿宋" w:eastAsia="仿宋" w:cs="仿宋"/>
          <w:sz w:val="30"/>
          <w:szCs w:val="30"/>
        </w:rPr>
        <w:t>万元，与上年收入年初预算</w:t>
      </w:r>
      <w:r>
        <w:rPr>
          <w:rFonts w:hint="eastAsia" w:ascii="仿宋" w:hAnsi="仿宋" w:eastAsia="仿宋" w:cs="仿宋"/>
          <w:sz w:val="30"/>
          <w:szCs w:val="30"/>
          <w:lang w:val="en-US" w:eastAsia="zh-CN"/>
        </w:rPr>
        <w:t>788</w:t>
      </w:r>
      <w:r>
        <w:rPr>
          <w:rFonts w:hint="eastAsia" w:ascii="仿宋" w:hAnsi="仿宋" w:eastAsia="仿宋" w:cs="仿宋"/>
          <w:sz w:val="30"/>
          <w:szCs w:val="30"/>
        </w:rPr>
        <w:t>万元增加了</w:t>
      </w:r>
      <w:r>
        <w:rPr>
          <w:rFonts w:hint="eastAsia" w:ascii="仿宋" w:hAnsi="仿宋" w:eastAsia="仿宋" w:cs="仿宋"/>
          <w:sz w:val="30"/>
          <w:szCs w:val="30"/>
          <w:lang w:val="en-US" w:eastAsia="zh-CN"/>
        </w:rPr>
        <w:t>6412.54</w:t>
      </w:r>
      <w:r>
        <w:rPr>
          <w:rFonts w:hint="eastAsia" w:ascii="仿宋" w:hAnsi="仿宋" w:eastAsia="仿宋" w:cs="仿宋"/>
          <w:sz w:val="30"/>
          <w:szCs w:val="30"/>
        </w:rPr>
        <w:t>万元，增加</w:t>
      </w:r>
      <w:r>
        <w:rPr>
          <w:rFonts w:hint="eastAsia" w:ascii="仿宋" w:hAnsi="仿宋" w:eastAsia="仿宋" w:cs="仿宋"/>
          <w:sz w:val="30"/>
          <w:szCs w:val="30"/>
          <w:lang w:val="en-US" w:eastAsia="zh-CN"/>
        </w:rPr>
        <w:t>913</w:t>
      </w:r>
      <w:r>
        <w:rPr>
          <w:rFonts w:hint="eastAsia" w:ascii="仿宋" w:hAnsi="仿宋" w:eastAsia="仿宋" w:cs="仿宋"/>
          <w:sz w:val="30"/>
          <w:szCs w:val="30"/>
        </w:rPr>
        <w:t>%；收入全年预算数为</w:t>
      </w:r>
      <w:r>
        <w:rPr>
          <w:rFonts w:hint="eastAsia" w:ascii="仿宋" w:hAnsi="仿宋" w:eastAsia="仿宋" w:cs="仿宋"/>
          <w:sz w:val="30"/>
          <w:szCs w:val="30"/>
          <w:lang w:val="en-US" w:eastAsia="zh-CN"/>
        </w:rPr>
        <w:t>43345</w:t>
      </w:r>
      <w:r>
        <w:rPr>
          <w:rFonts w:hint="eastAsia" w:ascii="仿宋" w:hAnsi="仿宋" w:eastAsia="仿宋" w:cs="仿宋"/>
          <w:sz w:val="30"/>
          <w:szCs w:val="30"/>
        </w:rPr>
        <w:t>万元，与上年收入全年预算数</w:t>
      </w:r>
      <w:r>
        <w:rPr>
          <w:rFonts w:hint="eastAsia" w:ascii="仿宋" w:hAnsi="仿宋" w:eastAsia="仿宋" w:cs="仿宋"/>
          <w:sz w:val="30"/>
          <w:szCs w:val="30"/>
          <w:lang w:val="en-US" w:eastAsia="zh-CN"/>
        </w:rPr>
        <w:t>31465</w:t>
      </w:r>
      <w:r>
        <w:rPr>
          <w:rFonts w:hint="eastAsia" w:ascii="仿宋" w:hAnsi="仿宋" w:eastAsia="仿宋" w:cs="仿宋"/>
          <w:sz w:val="30"/>
          <w:szCs w:val="30"/>
        </w:rPr>
        <w:t>万元增长了</w:t>
      </w:r>
      <w:r>
        <w:rPr>
          <w:rFonts w:hint="eastAsia" w:ascii="仿宋" w:hAnsi="仿宋" w:eastAsia="仿宋" w:cs="仿宋"/>
          <w:sz w:val="30"/>
          <w:szCs w:val="30"/>
          <w:lang w:val="en-US" w:eastAsia="zh-CN"/>
        </w:rPr>
        <w:t>11880</w:t>
      </w:r>
      <w:r>
        <w:rPr>
          <w:rFonts w:hint="eastAsia" w:ascii="仿宋" w:hAnsi="仿宋" w:eastAsia="仿宋" w:cs="仿宋"/>
          <w:sz w:val="30"/>
          <w:szCs w:val="30"/>
        </w:rPr>
        <w:t>万元，增幅</w:t>
      </w:r>
      <w:r>
        <w:rPr>
          <w:rFonts w:hint="eastAsia" w:ascii="仿宋" w:hAnsi="仿宋" w:eastAsia="仿宋" w:cs="仿宋"/>
          <w:sz w:val="30"/>
          <w:szCs w:val="30"/>
          <w:lang w:val="en-US" w:eastAsia="zh-CN"/>
        </w:rPr>
        <w:t>37.75</w:t>
      </w:r>
      <w:r>
        <w:rPr>
          <w:rFonts w:hint="eastAsia" w:ascii="仿宋" w:hAnsi="仿宋" w:eastAsia="仿宋" w:cs="仿宋"/>
          <w:sz w:val="30"/>
          <w:szCs w:val="30"/>
        </w:rPr>
        <w:t>%；202</w:t>
      </w:r>
      <w:r>
        <w:rPr>
          <w:rFonts w:hint="eastAsia" w:ascii="仿宋" w:hAnsi="仿宋" w:eastAsia="仿宋" w:cs="仿宋"/>
          <w:sz w:val="30"/>
          <w:szCs w:val="30"/>
          <w:lang w:val="en-US" w:eastAsia="zh-CN"/>
        </w:rPr>
        <w:t>3</w:t>
      </w:r>
      <w:r>
        <w:rPr>
          <w:rFonts w:hint="eastAsia" w:ascii="仿宋" w:hAnsi="仿宋" w:eastAsia="仿宋" w:cs="仿宋"/>
          <w:sz w:val="30"/>
          <w:szCs w:val="30"/>
        </w:rPr>
        <w:t>年支出年初预算为</w:t>
      </w:r>
      <w:r>
        <w:rPr>
          <w:rFonts w:hint="eastAsia" w:ascii="仿宋" w:hAnsi="仿宋" w:eastAsia="仿宋" w:cs="仿宋"/>
          <w:sz w:val="30"/>
          <w:szCs w:val="30"/>
          <w:lang w:val="en-US" w:eastAsia="zh-CN"/>
        </w:rPr>
        <w:t>7200.54</w:t>
      </w:r>
      <w:r>
        <w:rPr>
          <w:rFonts w:hint="eastAsia" w:ascii="仿宋" w:hAnsi="仿宋" w:eastAsia="仿宋" w:cs="仿宋"/>
          <w:sz w:val="30"/>
          <w:szCs w:val="30"/>
        </w:rPr>
        <w:t>，与上年支出年初预算</w:t>
      </w:r>
      <w:r>
        <w:rPr>
          <w:rFonts w:hint="eastAsia" w:ascii="仿宋" w:hAnsi="仿宋" w:eastAsia="仿宋" w:cs="仿宋"/>
          <w:sz w:val="30"/>
          <w:szCs w:val="30"/>
          <w:lang w:val="en-US" w:eastAsia="zh-CN"/>
        </w:rPr>
        <w:t>788</w:t>
      </w:r>
      <w:r>
        <w:rPr>
          <w:rFonts w:hint="eastAsia" w:ascii="仿宋" w:hAnsi="仿宋" w:eastAsia="仿宋" w:cs="仿宋"/>
          <w:sz w:val="30"/>
          <w:szCs w:val="30"/>
        </w:rPr>
        <w:t>万元增加了</w:t>
      </w:r>
      <w:r>
        <w:rPr>
          <w:rFonts w:hint="eastAsia" w:ascii="仿宋" w:hAnsi="仿宋" w:eastAsia="仿宋" w:cs="仿宋"/>
          <w:sz w:val="30"/>
          <w:szCs w:val="30"/>
          <w:lang w:val="en-US" w:eastAsia="zh-CN"/>
        </w:rPr>
        <w:t>6412.54</w:t>
      </w:r>
      <w:r>
        <w:rPr>
          <w:rFonts w:hint="eastAsia" w:ascii="仿宋" w:hAnsi="仿宋" w:eastAsia="仿宋" w:cs="仿宋"/>
          <w:sz w:val="30"/>
          <w:szCs w:val="30"/>
        </w:rPr>
        <w:t>万元，增加</w:t>
      </w:r>
      <w:r>
        <w:rPr>
          <w:rFonts w:hint="eastAsia" w:ascii="仿宋" w:hAnsi="仿宋" w:eastAsia="仿宋" w:cs="仿宋"/>
          <w:sz w:val="30"/>
          <w:szCs w:val="30"/>
          <w:lang w:val="en-US" w:eastAsia="zh-CN"/>
        </w:rPr>
        <w:t>913</w:t>
      </w:r>
      <w:r>
        <w:rPr>
          <w:rFonts w:hint="eastAsia" w:ascii="仿宋" w:hAnsi="仿宋" w:eastAsia="仿宋" w:cs="仿宋"/>
          <w:sz w:val="30"/>
          <w:szCs w:val="30"/>
        </w:rPr>
        <w:t>%；支出全年预算数为</w:t>
      </w:r>
      <w:r>
        <w:rPr>
          <w:rFonts w:hint="eastAsia" w:ascii="仿宋" w:hAnsi="仿宋" w:eastAsia="仿宋" w:cs="仿宋"/>
          <w:sz w:val="30"/>
          <w:szCs w:val="30"/>
          <w:lang w:val="en-US" w:eastAsia="zh-CN"/>
        </w:rPr>
        <w:t>43345</w:t>
      </w:r>
      <w:r>
        <w:rPr>
          <w:rFonts w:hint="eastAsia" w:ascii="仿宋" w:hAnsi="仿宋" w:eastAsia="仿宋" w:cs="仿宋"/>
          <w:sz w:val="30"/>
          <w:szCs w:val="30"/>
        </w:rPr>
        <w:t>万元，与上年支出全年预算数</w:t>
      </w:r>
      <w:r>
        <w:rPr>
          <w:rFonts w:hint="eastAsia" w:ascii="仿宋" w:hAnsi="仿宋" w:eastAsia="仿宋" w:cs="仿宋"/>
          <w:sz w:val="30"/>
          <w:szCs w:val="30"/>
          <w:lang w:val="en-US" w:eastAsia="zh-CN"/>
        </w:rPr>
        <w:t>31465</w:t>
      </w:r>
      <w:r>
        <w:rPr>
          <w:rFonts w:hint="eastAsia" w:ascii="仿宋" w:hAnsi="仿宋" w:eastAsia="仿宋" w:cs="仿宋"/>
          <w:sz w:val="30"/>
          <w:szCs w:val="30"/>
        </w:rPr>
        <w:t>万元增长了</w:t>
      </w:r>
      <w:r>
        <w:rPr>
          <w:rFonts w:hint="eastAsia" w:ascii="仿宋" w:hAnsi="仿宋" w:eastAsia="仿宋" w:cs="仿宋"/>
          <w:sz w:val="30"/>
          <w:szCs w:val="30"/>
          <w:lang w:val="en-US" w:eastAsia="zh-CN"/>
        </w:rPr>
        <w:t>11880</w:t>
      </w:r>
      <w:r>
        <w:rPr>
          <w:rFonts w:hint="eastAsia" w:ascii="仿宋" w:hAnsi="仿宋" w:eastAsia="仿宋" w:cs="仿宋"/>
          <w:sz w:val="30"/>
          <w:szCs w:val="30"/>
        </w:rPr>
        <w:t>万元，增幅</w:t>
      </w:r>
      <w:r>
        <w:rPr>
          <w:rFonts w:hint="eastAsia" w:ascii="仿宋" w:hAnsi="仿宋" w:eastAsia="仿宋" w:cs="仿宋"/>
          <w:sz w:val="30"/>
          <w:szCs w:val="30"/>
          <w:lang w:val="en-US" w:eastAsia="zh-CN"/>
        </w:rPr>
        <w:t>37.75</w:t>
      </w:r>
      <w:r>
        <w:rPr>
          <w:rFonts w:hint="eastAsia" w:ascii="仿宋" w:hAnsi="仿宋" w:eastAsia="仿宋" w:cs="仿宋"/>
          <w:sz w:val="30"/>
          <w:szCs w:val="30"/>
        </w:rPr>
        <w:t>%，202</w:t>
      </w:r>
      <w:r>
        <w:rPr>
          <w:rFonts w:hint="eastAsia" w:ascii="仿宋" w:hAnsi="仿宋" w:eastAsia="仿宋" w:cs="仿宋"/>
          <w:sz w:val="30"/>
          <w:szCs w:val="30"/>
          <w:lang w:val="en-US" w:eastAsia="zh-CN"/>
        </w:rPr>
        <w:t>3</w:t>
      </w:r>
      <w:r>
        <w:rPr>
          <w:rFonts w:hint="eastAsia" w:ascii="仿宋" w:hAnsi="仿宋" w:eastAsia="仿宋" w:cs="仿宋"/>
          <w:sz w:val="30"/>
          <w:szCs w:val="30"/>
        </w:rPr>
        <w:t>年初结转结余0万元。年初预算与全年预算数产生差异的原因是202</w:t>
      </w:r>
      <w:r>
        <w:rPr>
          <w:rFonts w:hint="eastAsia" w:ascii="仿宋" w:hAnsi="仿宋" w:eastAsia="仿宋" w:cs="仿宋"/>
          <w:sz w:val="30"/>
          <w:szCs w:val="30"/>
          <w:lang w:val="en-US" w:eastAsia="zh-CN"/>
        </w:rPr>
        <w:t>3</w:t>
      </w:r>
      <w:r>
        <w:rPr>
          <w:rFonts w:hint="eastAsia" w:ascii="仿宋" w:hAnsi="仿宋" w:eastAsia="仿宋" w:cs="仿宋"/>
          <w:sz w:val="30"/>
          <w:szCs w:val="30"/>
        </w:rPr>
        <w:t>年初预算</w:t>
      </w:r>
      <w:r>
        <w:rPr>
          <w:rFonts w:hint="eastAsia" w:ascii="仿宋" w:hAnsi="仿宋" w:eastAsia="仿宋" w:cs="仿宋"/>
          <w:sz w:val="30"/>
          <w:szCs w:val="30"/>
          <w:lang w:eastAsia="zh-CN"/>
        </w:rPr>
        <w:t>只包含</w:t>
      </w:r>
      <w:r>
        <w:rPr>
          <w:rFonts w:hint="eastAsia" w:ascii="仿宋" w:hAnsi="仿宋" w:eastAsia="仿宋" w:cs="仿宋"/>
          <w:sz w:val="30"/>
          <w:szCs w:val="30"/>
        </w:rPr>
        <w:t>202</w:t>
      </w:r>
      <w:r>
        <w:rPr>
          <w:rFonts w:hint="eastAsia" w:ascii="仿宋" w:hAnsi="仿宋" w:eastAsia="仿宋" w:cs="仿宋"/>
          <w:sz w:val="30"/>
          <w:szCs w:val="30"/>
          <w:lang w:val="en-US" w:eastAsia="zh-CN"/>
        </w:rPr>
        <w:t>3</w:t>
      </w:r>
      <w:r>
        <w:rPr>
          <w:rFonts w:hint="eastAsia" w:ascii="仿宋" w:hAnsi="仿宋" w:eastAsia="仿宋" w:cs="仿宋"/>
          <w:sz w:val="30"/>
          <w:szCs w:val="30"/>
        </w:rPr>
        <w:t>年人员经费预算和</w:t>
      </w:r>
      <w:r>
        <w:rPr>
          <w:rFonts w:hint="eastAsia" w:ascii="仿宋" w:hAnsi="仿宋" w:eastAsia="仿宋" w:cs="仿宋"/>
          <w:sz w:val="30"/>
          <w:szCs w:val="30"/>
          <w:lang w:eastAsia="zh-CN"/>
        </w:rPr>
        <w:t>水利工程运转</w:t>
      </w:r>
      <w:r>
        <w:rPr>
          <w:rFonts w:hint="eastAsia" w:ascii="仿宋" w:hAnsi="仿宋" w:eastAsia="仿宋" w:cs="仿宋"/>
          <w:sz w:val="30"/>
          <w:szCs w:val="30"/>
        </w:rPr>
        <w:t>经费，未包括县财政局202</w:t>
      </w:r>
      <w:r>
        <w:rPr>
          <w:rFonts w:hint="eastAsia" w:ascii="仿宋" w:hAnsi="仿宋" w:eastAsia="仿宋" w:cs="仿宋"/>
          <w:sz w:val="30"/>
          <w:szCs w:val="30"/>
          <w:lang w:val="en-US" w:eastAsia="zh-CN"/>
        </w:rPr>
        <w:t>3</w:t>
      </w:r>
      <w:r>
        <w:rPr>
          <w:rFonts w:hint="eastAsia" w:ascii="仿宋" w:hAnsi="仿宋" w:eastAsia="仿宋" w:cs="仿宋"/>
          <w:sz w:val="30"/>
          <w:szCs w:val="30"/>
        </w:rPr>
        <w:t>年转拨各项目工程款</w:t>
      </w:r>
      <w:r>
        <w:rPr>
          <w:rFonts w:hint="eastAsia" w:ascii="仿宋" w:hAnsi="仿宋" w:eastAsia="仿宋" w:cs="仿宋"/>
          <w:sz w:val="30"/>
          <w:szCs w:val="30"/>
          <w:lang w:eastAsia="zh-CN"/>
        </w:rPr>
        <w:t>及其他运转经费</w:t>
      </w:r>
      <w:r>
        <w:rPr>
          <w:rFonts w:hint="eastAsia" w:ascii="仿宋" w:hAnsi="仿宋" w:eastAsia="仿宋" w:cs="仿宋"/>
          <w:sz w:val="30"/>
          <w:szCs w:val="30"/>
        </w:rPr>
        <w:t>。</w:t>
      </w:r>
    </w:p>
    <w:p>
      <w:pPr>
        <w:spacing w:line="560" w:lineRule="exact"/>
        <w:ind w:firstLine="600" w:firstLineChars="200"/>
      </w:pPr>
      <w:r>
        <w:rPr>
          <w:rFonts w:hint="eastAsia" w:ascii="仿宋" w:hAnsi="仿宋" w:eastAsia="仿宋" w:cs="仿宋"/>
          <w:sz w:val="30"/>
          <w:szCs w:val="30"/>
        </w:rPr>
        <w:t>三公”经费支出情况：2023年我单位“三公”经费支出</w:t>
      </w:r>
      <w:r>
        <w:rPr>
          <w:rFonts w:hint="eastAsia" w:ascii="仿宋" w:hAnsi="仿宋" w:eastAsia="仿宋" w:cs="仿宋"/>
          <w:sz w:val="30"/>
          <w:szCs w:val="30"/>
          <w:lang w:val="en-US" w:eastAsia="zh-CN"/>
        </w:rPr>
        <w:t>5</w:t>
      </w:r>
      <w:r>
        <w:rPr>
          <w:rFonts w:hint="eastAsia" w:ascii="仿宋" w:hAnsi="仿宋" w:eastAsia="仿宋" w:cs="仿宋"/>
          <w:sz w:val="30"/>
          <w:szCs w:val="30"/>
        </w:rPr>
        <w:t>万元，比上年</w:t>
      </w:r>
      <w:r>
        <w:rPr>
          <w:rFonts w:hint="eastAsia" w:ascii="仿宋" w:hAnsi="仿宋" w:eastAsia="仿宋" w:cs="仿宋"/>
          <w:sz w:val="30"/>
          <w:szCs w:val="30"/>
          <w:lang w:val="en-US" w:eastAsia="zh-CN"/>
        </w:rPr>
        <w:t>7.2</w:t>
      </w:r>
      <w:r>
        <w:rPr>
          <w:rFonts w:hint="eastAsia" w:ascii="仿宋" w:hAnsi="仿宋" w:eastAsia="仿宋" w:cs="仿宋"/>
          <w:sz w:val="30"/>
          <w:szCs w:val="30"/>
        </w:rPr>
        <w:t>万元增</w:t>
      </w:r>
      <w:r>
        <w:rPr>
          <w:rFonts w:hint="eastAsia" w:ascii="仿宋" w:hAnsi="仿宋" w:eastAsia="仿宋" w:cs="仿宋"/>
          <w:sz w:val="30"/>
          <w:szCs w:val="30"/>
          <w:lang w:eastAsia="zh-CN"/>
        </w:rPr>
        <w:t>减少</w:t>
      </w:r>
      <w:r>
        <w:rPr>
          <w:rFonts w:hint="eastAsia" w:ascii="仿宋" w:hAnsi="仿宋" w:eastAsia="仿宋" w:cs="仿宋"/>
          <w:sz w:val="30"/>
          <w:szCs w:val="30"/>
          <w:lang w:val="en-US" w:eastAsia="zh-CN"/>
        </w:rPr>
        <w:t>2.2</w:t>
      </w:r>
      <w:r>
        <w:rPr>
          <w:rFonts w:hint="eastAsia" w:ascii="仿宋" w:hAnsi="仿宋" w:eastAsia="仿宋" w:cs="仿宋"/>
          <w:sz w:val="30"/>
          <w:szCs w:val="30"/>
        </w:rPr>
        <w:t>万元，主要是严格按照财政“节约、低耗、高效”的原则开展工作。公务用车保有量0台，各类公务接待</w:t>
      </w:r>
      <w:r>
        <w:rPr>
          <w:rFonts w:hint="eastAsia" w:ascii="仿宋" w:hAnsi="仿宋" w:eastAsia="仿宋" w:cs="仿宋"/>
          <w:sz w:val="30"/>
          <w:szCs w:val="30"/>
          <w:lang w:val="en-US" w:eastAsia="zh-CN"/>
        </w:rPr>
        <w:t>41</w:t>
      </w:r>
      <w:r>
        <w:rPr>
          <w:rFonts w:hint="eastAsia" w:ascii="仿宋" w:hAnsi="仿宋" w:eastAsia="仿宋" w:cs="仿宋"/>
          <w:sz w:val="30"/>
          <w:szCs w:val="30"/>
        </w:rPr>
        <w:t>个批次，接待</w:t>
      </w:r>
      <w:r>
        <w:rPr>
          <w:rFonts w:hint="eastAsia" w:ascii="仿宋" w:hAnsi="仿宋" w:eastAsia="仿宋" w:cs="仿宋"/>
          <w:sz w:val="30"/>
          <w:szCs w:val="30"/>
          <w:lang w:val="en-US" w:eastAsia="zh-CN"/>
        </w:rPr>
        <w:t>350</w:t>
      </w:r>
      <w:r>
        <w:rPr>
          <w:rFonts w:hint="eastAsia" w:ascii="仿宋" w:hAnsi="仿宋" w:eastAsia="仿宋" w:cs="仿宋"/>
          <w:sz w:val="30"/>
          <w:szCs w:val="30"/>
        </w:rPr>
        <w:t>人次。</w:t>
      </w:r>
    </w:p>
    <w:p>
      <w:pPr>
        <w:pStyle w:val="2"/>
        <w:rPr>
          <w:rFonts w:hint="eastAsia"/>
        </w:rPr>
      </w:pP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（二）项目支出情况</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一是2023年度省级专项资金分配安排和使用管理情况：省级重大水利发展资金可分为①洞庭湖重点地区排涝能力建设项目10954万元（湘财农指〔2023〕59号、湘财建指〔2023〕94号）。主要建设内容为：新建1座4×1000千瓦的立式轴流泵站及新建引水渠、涵闸等配套设施；在我县三封、治河渡、北景港、禹山、万禹、注滋口、团洲、鲇鱼须、梅田湖、操军等11个乡镇改扩建38处泵站；拆除原六门闸，重建为2孔 6.0×9.0m开敞式水闸，设计排水流量286m3/s；新建排涝泵站，总装机6×1400KW，排水流量190m3/s。项目完成后，项目区灌溉面积得到改善，灌溉、排涝及防灾减灾能力有效提升。②水利工程维修养护省级补助资金230万元（湘财农指[2023]67号）、重点险工险段处置省级资金155万元（湘财农指[2023]71号），该项目完成后，项目区灌溉面积得到改善，灌溉、排涝及防灾减灾能力有效提升，增产增收综合经济效益显著。社会效益：通过项目的实施，保证汛期度汛安全，不发生安全生产事故，体现党和国家重视水利建设的政策，体现了水利、财政部门对社会主义新农村建设的支持，增加发农民群众农业生产安全感、幸福感，更加密切党和政府同人民群众的关系，有利于促进农村的社会稳定。③农业水价综合改革项目293万元（湘财农指〔2023〕59号）该项目实施后，对我县农业生产用水、节水起到了至关重要的作用，为我县农业生产的增产丰产提供了坚实的保障。④三大垸蓄洪工程安全建设一期工程6574万元（湘财农指〔2023〕59号、湘财农指〔2023〕71号），工程建设后，该项目建设蓄滞洪水约100亿m3的蓄滞洪区，不仅能大大缓解该处的防洪紧张局面，而且对洞庭湖的防洪和保护武汉市及荆江大堤的安全都将起到重要作用。⑤本次河湖管理专项资金45万元（湘财农指〔2023〕19号）、2023年真抓实干激励100万元（湘财农指〔2023〕49号）该项目建设后能够推进美丽河湖建设，加大河湖管理力度，泵站标准化管理建设提升管理能力和水平。</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en-US"/>
        </w:rPr>
      </w:pPr>
      <w:r>
        <w:rPr>
          <w:rFonts w:hint="eastAsia" w:ascii="仿宋" w:hAnsi="仿宋" w:eastAsia="仿宋" w:cs="仿宋"/>
          <w:sz w:val="30"/>
          <w:szCs w:val="30"/>
          <w:lang w:val="en-US" w:eastAsia="zh-CN"/>
        </w:rPr>
        <w:t>省级移民困难扶助专项资金分配安排和使用管理情况：根据省财政厅（湘财农指[2023]11号）和县财政局（华财农指[2023]011号）文件精神由华容县库区移民事务中心（华移发[2023]31号）下达移民困难扶助金8万元，该项目实施后，,计划救助困难移民50人次。截止2024年2月29日累计完成移民困难扶助金项目计划1个，通过财政部门按“一卡通”发放资金8万元，完成率100%，实际救助困难移民61人次, 完成率122%。及时解决了小型水库移民的生产生活困难，我县严格按照国家政策将这笔资金及时下拨到移民安置区，解决移民最迫切、最急需、最困难的问题。</w:t>
      </w:r>
      <w:r>
        <w:rPr>
          <w:rFonts w:hint="eastAsia" w:ascii="仿宋" w:hAnsi="仿宋" w:eastAsia="仿宋" w:cs="仿宋"/>
          <w:sz w:val="30"/>
          <w:szCs w:val="30"/>
          <w:lang w:val="en-US" w:eastAsia="en-US"/>
        </w:rPr>
        <w:t xml:space="preserve"> </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rPr>
      </w:pPr>
      <w:r>
        <w:rPr>
          <w:rFonts w:hint="eastAsia" w:ascii="仿宋" w:hAnsi="仿宋" w:eastAsia="仿宋" w:cs="仿宋"/>
          <w:sz w:val="30"/>
          <w:szCs w:val="30"/>
          <w:lang w:val="en-US" w:eastAsia="en-US"/>
        </w:rPr>
        <w:t>二是除省级专项资金以外的其他项目支出情况：</w:t>
      </w:r>
      <w:r>
        <w:rPr>
          <w:rFonts w:hint="eastAsia" w:ascii="仿宋" w:hAnsi="仿宋" w:eastAsia="仿宋" w:cs="仿宋"/>
          <w:sz w:val="30"/>
          <w:szCs w:val="30"/>
          <w:lang w:val="en-US" w:eastAsia="zh-CN"/>
        </w:rPr>
        <w:t>河湖长制</w:t>
      </w:r>
      <w:r>
        <w:rPr>
          <w:rFonts w:hint="eastAsia" w:ascii="仿宋" w:hAnsi="仿宋" w:eastAsia="仿宋" w:cs="仿宋"/>
          <w:sz w:val="30"/>
          <w:szCs w:val="30"/>
          <w:lang w:val="en-US" w:eastAsia="en-US"/>
        </w:rPr>
        <w:t>业务工作专项</w:t>
      </w:r>
      <w:r>
        <w:rPr>
          <w:rFonts w:hint="eastAsia" w:ascii="仿宋" w:hAnsi="仿宋" w:eastAsia="仿宋" w:cs="仿宋"/>
          <w:sz w:val="30"/>
          <w:szCs w:val="30"/>
          <w:lang w:val="en-US" w:eastAsia="zh-CN"/>
        </w:rPr>
        <w:t>资金：985万元。通过河长制专项资金，做好河湖长制工作宣传发动，建立党建护水新体系，打造幸福河湖，开好总河长现场会，为打造河湖长制亮点工作提供了坚实保障。县河湖长制工作真抓实干出成绩，华容县荣获2023年度推动河湖长制工作成效明显优秀县，让河湖长制工作更加有干劲。通过一系列举措，全县河湖环境面貌将显著改善。</w:t>
      </w:r>
    </w:p>
    <w:p>
      <w:pPr>
        <w:spacing w:before="224" w:line="227" w:lineRule="auto"/>
        <w:ind w:left="649"/>
        <w:rPr>
          <w:rFonts w:hint="eastAsia" w:ascii="黑体" w:hAnsi="黑体" w:eastAsia="黑体" w:cs="黑体"/>
          <w:spacing w:val="8"/>
          <w:sz w:val="32"/>
          <w:szCs w:val="32"/>
        </w:rPr>
      </w:pPr>
      <w:r>
        <w:rPr>
          <w:rFonts w:hint="eastAsia" w:ascii="黑体" w:hAnsi="黑体" w:eastAsia="黑体" w:cs="黑体"/>
          <w:spacing w:val="8"/>
          <w:sz w:val="32"/>
          <w:szCs w:val="32"/>
        </w:rPr>
        <w:t>三、政府性基金预算支出情况</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我单位2023年政府性基金财政拨款收入19674万元，支出19674万元。</w:t>
      </w:r>
    </w:p>
    <w:p>
      <w:pPr>
        <w:pStyle w:val="2"/>
        <w:rPr>
          <w:rFonts w:hint="eastAsia"/>
        </w:rPr>
      </w:pPr>
    </w:p>
    <w:p>
      <w:pPr>
        <w:numPr>
          <w:ilvl w:val="0"/>
          <w:numId w:val="2"/>
        </w:numPr>
        <w:spacing w:before="219" w:line="600" w:lineRule="exact"/>
        <w:ind w:left="662"/>
        <w:rPr>
          <w:rFonts w:hint="eastAsia" w:ascii="黑体" w:hAnsi="黑体" w:eastAsia="黑体" w:cs="黑体"/>
          <w:spacing w:val="7"/>
          <w:position w:val="21"/>
          <w:sz w:val="32"/>
          <w:szCs w:val="32"/>
        </w:rPr>
      </w:pPr>
      <w:r>
        <w:rPr>
          <w:rFonts w:hint="eastAsia" w:ascii="黑体" w:hAnsi="黑体" w:eastAsia="黑体" w:cs="黑体"/>
          <w:spacing w:val="7"/>
          <w:position w:val="21"/>
          <w:sz w:val="32"/>
          <w:szCs w:val="32"/>
        </w:rPr>
        <w:t>国有资本经营预算支出情况</w:t>
      </w:r>
    </w:p>
    <w:p>
      <w:pPr>
        <w:pStyle w:val="9"/>
        <w:numPr>
          <w:ilvl w:val="0"/>
          <w:numId w:val="0"/>
        </w:numPr>
        <w:rPr>
          <w:rFonts w:hint="eastAsia" w:ascii="仿宋" w:hAnsi="仿宋" w:eastAsia="仿宋" w:cs="仿宋"/>
          <w:kern w:val="2"/>
          <w:sz w:val="30"/>
          <w:szCs w:val="30"/>
          <w:lang w:val="en-US" w:eastAsia="zh-CN" w:bidi="ar-SA"/>
        </w:rPr>
      </w:pPr>
      <w:r>
        <w:rPr>
          <w:rFonts w:hint="eastAsia"/>
          <w:lang w:val="en-US" w:eastAsia="zh-CN"/>
        </w:rPr>
        <w:t xml:space="preserve">     </w:t>
      </w:r>
      <w:r>
        <w:rPr>
          <w:rFonts w:hint="eastAsia" w:ascii="仿宋" w:hAnsi="仿宋" w:eastAsia="仿宋" w:cs="仿宋"/>
          <w:kern w:val="2"/>
          <w:sz w:val="30"/>
          <w:szCs w:val="30"/>
          <w:lang w:val="en-US" w:eastAsia="zh-CN" w:bidi="ar-SA"/>
        </w:rPr>
        <w:t xml:space="preserve">  无</w:t>
      </w:r>
    </w:p>
    <w:p>
      <w:pPr>
        <w:numPr>
          <w:ilvl w:val="0"/>
          <w:numId w:val="2"/>
        </w:numPr>
        <w:spacing w:line="227" w:lineRule="auto"/>
        <w:ind w:left="662" w:leftChars="0" w:firstLine="0" w:firstLineChars="0"/>
        <w:rPr>
          <w:rFonts w:hint="eastAsia" w:ascii="黑体" w:hAnsi="黑体" w:eastAsia="黑体" w:cs="黑体"/>
          <w:spacing w:val="8"/>
          <w:sz w:val="32"/>
          <w:szCs w:val="32"/>
        </w:rPr>
      </w:pPr>
      <w:r>
        <w:rPr>
          <w:rFonts w:hint="eastAsia" w:ascii="黑体" w:hAnsi="黑体" w:eastAsia="黑体" w:cs="黑体"/>
          <w:spacing w:val="8"/>
          <w:sz w:val="32"/>
          <w:szCs w:val="32"/>
        </w:rPr>
        <w:t>社会保险基金预算支出情况</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无</w:t>
      </w:r>
    </w:p>
    <w:p>
      <w:pPr>
        <w:numPr>
          <w:ilvl w:val="0"/>
          <w:numId w:val="2"/>
        </w:numPr>
        <w:spacing w:before="219" w:line="226" w:lineRule="auto"/>
        <w:ind w:left="662" w:leftChars="0" w:firstLine="0" w:firstLineChars="0"/>
        <w:rPr>
          <w:rFonts w:hint="eastAsia" w:ascii="黑体" w:hAnsi="黑体" w:eastAsia="黑体" w:cs="黑体"/>
          <w:spacing w:val="8"/>
          <w:sz w:val="32"/>
          <w:szCs w:val="32"/>
        </w:rPr>
      </w:pPr>
      <w:r>
        <w:rPr>
          <w:rFonts w:hint="eastAsia" w:ascii="黑体" w:hAnsi="黑体" w:eastAsia="黑体" w:cs="黑体"/>
          <w:spacing w:val="8"/>
          <w:sz w:val="32"/>
          <w:szCs w:val="32"/>
        </w:rPr>
        <w:t>部门整体支出绩效情况</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我单位2023年总收入43345万元，主要为一般公共预算拨款23671万元，占总收入的54.6%；政府性基金财政拨款收入19674万元，占总收入的45.4%。2023年总支出43345万元，主要为201一般公共服务支出46.9万元，占总支出在0.11%；212城乡社区支出60万元，占总支出在0.14%；213农林水支出19776万元，占总支出的45.62%；220自然资源海洋气象等支出3780，占总支出在8.72%；222粮油物资储备支出2万元，占总支出在0.006%；224灾害防治及应急管理支出5.7万元，占总支出的0.014%。229其他支出19674万元，占总支出45.39%。</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en-US"/>
        </w:rPr>
        <w:t>根据预算绩效管理要求，组织对单位开展整体支出绩效评价，涉及一般公共预算支出</w:t>
      </w:r>
      <w:r>
        <w:rPr>
          <w:rFonts w:hint="eastAsia" w:ascii="仿宋" w:hAnsi="仿宋" w:eastAsia="仿宋" w:cs="仿宋"/>
          <w:sz w:val="30"/>
          <w:szCs w:val="30"/>
          <w:lang w:val="en-US" w:eastAsia="zh-CN"/>
        </w:rPr>
        <w:t>23671</w:t>
      </w:r>
      <w:r>
        <w:rPr>
          <w:rFonts w:hint="eastAsia" w:ascii="仿宋" w:hAnsi="仿宋" w:eastAsia="仿宋" w:cs="仿宋"/>
          <w:sz w:val="30"/>
          <w:szCs w:val="30"/>
          <w:lang w:val="en-US" w:eastAsia="en-US"/>
        </w:rPr>
        <w:t>万元，政府性基金预算支出</w:t>
      </w:r>
      <w:r>
        <w:rPr>
          <w:rFonts w:hint="eastAsia" w:ascii="仿宋" w:hAnsi="仿宋" w:eastAsia="仿宋" w:cs="仿宋"/>
          <w:sz w:val="30"/>
          <w:szCs w:val="30"/>
          <w:lang w:val="en-US" w:eastAsia="zh-CN"/>
        </w:rPr>
        <w:t>19674</w:t>
      </w:r>
      <w:r>
        <w:rPr>
          <w:rFonts w:hint="eastAsia" w:ascii="仿宋" w:hAnsi="仿宋" w:eastAsia="仿宋" w:cs="仿宋"/>
          <w:sz w:val="30"/>
          <w:szCs w:val="30"/>
          <w:lang w:val="en-US" w:eastAsia="en-US"/>
        </w:rPr>
        <w:t>万元。从评价情况来看，单位根据年初工作规划和重点工作，围绕县委、县政府的工作部署，积极履行职责，强化管理，较好地完成了年度工作目标，同时加强预算收支的管理，建立健全内部管理制度，严格内部管理流程，严控三公经费，厉行节约压减一般性支出，部门整体支出管理得到了提升。通过整体绩效评价结果显示202</w:t>
      </w:r>
      <w:r>
        <w:rPr>
          <w:rFonts w:hint="eastAsia" w:ascii="仿宋" w:hAnsi="仿宋" w:eastAsia="仿宋" w:cs="仿宋"/>
          <w:sz w:val="30"/>
          <w:szCs w:val="30"/>
          <w:lang w:val="en-US" w:eastAsia="zh-CN"/>
        </w:rPr>
        <w:t>3</w:t>
      </w:r>
      <w:r>
        <w:rPr>
          <w:rFonts w:hint="eastAsia" w:ascii="仿宋" w:hAnsi="仿宋" w:eastAsia="仿宋" w:cs="仿宋"/>
          <w:sz w:val="30"/>
          <w:szCs w:val="30"/>
          <w:lang w:val="en-US" w:eastAsia="en-US"/>
        </w:rPr>
        <w:t>年度整体绩效目标完成情况较好。</w:t>
      </w:r>
    </w:p>
    <w:p>
      <w:pPr>
        <w:pStyle w:val="9"/>
        <w:numPr>
          <w:ilvl w:val="0"/>
          <w:numId w:val="0"/>
        </w:numPr>
        <w:ind w:left="662" w:leftChars="0"/>
        <w:rPr>
          <w:rFonts w:hint="eastAsia" w:eastAsia="宋体"/>
          <w:lang w:eastAsia="zh-CN"/>
        </w:rPr>
      </w:pPr>
    </w:p>
    <w:p>
      <w:pPr>
        <w:numPr>
          <w:ilvl w:val="0"/>
          <w:numId w:val="2"/>
        </w:numPr>
        <w:spacing w:before="220" w:line="600" w:lineRule="exact"/>
        <w:ind w:left="662" w:leftChars="0" w:firstLine="0" w:firstLineChars="0"/>
        <w:rPr>
          <w:rFonts w:hint="eastAsia" w:ascii="黑体" w:hAnsi="黑体" w:eastAsia="黑体" w:cs="黑体"/>
          <w:spacing w:val="9"/>
          <w:position w:val="21"/>
          <w:sz w:val="32"/>
          <w:szCs w:val="32"/>
        </w:rPr>
      </w:pPr>
      <w:r>
        <w:rPr>
          <w:rFonts w:hint="eastAsia" w:ascii="黑体" w:hAnsi="黑体" w:eastAsia="黑体" w:cs="黑体"/>
          <w:spacing w:val="9"/>
          <w:position w:val="21"/>
          <w:sz w:val="32"/>
          <w:szCs w:val="32"/>
        </w:rPr>
        <w:t>存在的问题及原因分析</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1.预算编制的合理性需要提高，预算执行力度还要进一步加强。</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2.绩效管理制度体系薄弱。</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3.因单位日常公用经费不足，导致实际支出相差不足。</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_GB2312" w:hAnsi="仿宋" w:eastAsia="仿宋_GB2312"/>
          <w:sz w:val="32"/>
          <w:szCs w:val="32"/>
        </w:rPr>
      </w:pPr>
      <w:r>
        <w:rPr>
          <w:rFonts w:hint="eastAsia" w:ascii="仿宋" w:hAnsi="仿宋" w:eastAsia="仿宋" w:cs="仿宋"/>
          <w:sz w:val="30"/>
          <w:szCs w:val="30"/>
          <w:lang w:val="en-US" w:eastAsia="zh-CN"/>
        </w:rPr>
        <w:t>4.公用经费控制有一定难度，基本为刚性支出。</w:t>
      </w:r>
    </w:p>
    <w:p>
      <w:pPr>
        <w:pStyle w:val="9"/>
        <w:numPr>
          <w:ilvl w:val="0"/>
          <w:numId w:val="0"/>
        </w:numPr>
        <w:ind w:left="662" w:leftChars="0"/>
        <w:rPr>
          <w:rFonts w:hint="eastAsia"/>
        </w:rPr>
      </w:pPr>
    </w:p>
    <w:p>
      <w:pPr>
        <w:spacing w:line="227" w:lineRule="auto"/>
        <w:ind w:left="643"/>
        <w:rPr>
          <w:rFonts w:hint="eastAsia" w:ascii="黑体" w:hAnsi="黑体" w:eastAsia="黑体" w:cs="黑体"/>
          <w:spacing w:val="8"/>
          <w:sz w:val="32"/>
          <w:szCs w:val="32"/>
        </w:rPr>
      </w:pPr>
      <w:r>
        <w:rPr>
          <w:rFonts w:hint="eastAsia" w:ascii="黑体" w:hAnsi="黑体" w:eastAsia="黑体" w:cs="黑体"/>
          <w:spacing w:val="8"/>
          <w:sz w:val="32"/>
          <w:szCs w:val="32"/>
        </w:rPr>
        <w:t>八、下一步改进措施</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针对上述存在的问题及对外整体支出绩效管理工作的需要，拟实施的改进措施如下：</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1.细化预算编制工作，编制范围尽可能全面、不漏项，进一步规范财务核算，加强预算执行情况的监管力度。</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2.进一步完善绩效管理制度，推进绩效管理制度落实。</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3.加强财务管理，严格财务审核。加强单位财务管理，健全单位财务管理制度体系，规范单位财务行为。在费用报账支付时，按照预算规定的费用项目和用途进行资金使用审核、列报支付、财务核算，杜绝超支现象的发生。</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4.对相关人员加强学习培训，切实提高部门预算收支管理水平。</w:t>
      </w:r>
    </w:p>
    <w:p>
      <w:pPr>
        <w:pStyle w:val="9"/>
        <w:rPr>
          <w:rFonts w:hint="eastAsia"/>
        </w:rPr>
      </w:pPr>
    </w:p>
    <w:p>
      <w:pPr>
        <w:numPr>
          <w:ilvl w:val="0"/>
          <w:numId w:val="3"/>
        </w:numPr>
        <w:spacing w:before="219" w:line="600" w:lineRule="exact"/>
        <w:ind w:left="650"/>
        <w:rPr>
          <w:rFonts w:hint="eastAsia" w:ascii="黑体" w:hAnsi="黑体" w:eastAsia="黑体" w:cs="黑体"/>
          <w:spacing w:val="8"/>
          <w:position w:val="21"/>
          <w:sz w:val="32"/>
          <w:szCs w:val="32"/>
        </w:rPr>
      </w:pPr>
      <w:r>
        <w:rPr>
          <w:rFonts w:hint="eastAsia" w:ascii="黑体" w:hAnsi="黑体" w:eastAsia="黑体" w:cs="黑体"/>
          <w:spacing w:val="9"/>
          <w:position w:val="21"/>
          <w:sz w:val="32"/>
          <w:szCs w:val="32"/>
        </w:rPr>
        <w:t>部门整体支出绩效自评结果拟应用和公开</w:t>
      </w:r>
      <w:r>
        <w:rPr>
          <w:rFonts w:hint="eastAsia" w:ascii="黑体" w:hAnsi="黑体" w:eastAsia="黑体" w:cs="黑体"/>
          <w:spacing w:val="8"/>
          <w:position w:val="21"/>
          <w:sz w:val="32"/>
          <w:szCs w:val="32"/>
        </w:rPr>
        <w:t>情况</w:t>
      </w:r>
    </w:p>
    <w:p>
      <w:pPr>
        <w:pStyle w:val="9"/>
        <w:numPr>
          <w:ilvl w:val="0"/>
          <w:numId w:val="0"/>
        </w:numPr>
        <w:tabs>
          <w:tab w:val="left" w:pos="630"/>
        </w:tabs>
        <w:ind w:firstLine="1200" w:firstLineChars="400"/>
        <w:rPr>
          <w:rFonts w:hint="eastAsia" w:ascii="仿宋" w:hAnsi="仿宋" w:eastAsia="仿宋" w:cs="仿宋"/>
          <w:kern w:val="2"/>
          <w:sz w:val="30"/>
          <w:szCs w:val="30"/>
          <w:lang w:val="en-US" w:eastAsia="zh-CN" w:bidi="ar-SA"/>
        </w:rPr>
      </w:pPr>
      <w:r>
        <w:rPr>
          <w:rFonts w:hint="eastAsia" w:ascii="仿宋" w:hAnsi="仿宋" w:eastAsia="仿宋" w:cs="仿宋"/>
          <w:kern w:val="2"/>
          <w:sz w:val="30"/>
          <w:szCs w:val="30"/>
          <w:lang w:val="en-US" w:eastAsia="zh-CN" w:bidi="ar-SA"/>
        </w:rPr>
        <w:t>2023年我部门整体支出绩效自评结果拟应用和公开。</w:t>
      </w:r>
    </w:p>
    <w:p>
      <w:pPr>
        <w:spacing w:line="226" w:lineRule="auto"/>
        <w:ind w:left="647"/>
        <w:rPr>
          <w:rFonts w:hint="eastAsia" w:ascii="黑体" w:hAnsi="黑体" w:eastAsia="黑体" w:cs="黑体"/>
          <w:spacing w:val="-3"/>
          <w:sz w:val="32"/>
          <w:szCs w:val="32"/>
        </w:rPr>
      </w:pPr>
      <w:r>
        <w:rPr>
          <w:rFonts w:hint="eastAsia" w:ascii="黑体" w:hAnsi="黑体" w:eastAsia="黑体" w:cs="黑体"/>
          <w:spacing w:val="-3"/>
          <w:sz w:val="32"/>
          <w:szCs w:val="32"/>
        </w:rPr>
        <w:t>十、其他需要说明的情况</w:t>
      </w:r>
    </w:p>
    <w:p>
      <w:pPr>
        <w:pStyle w:val="9"/>
        <w:numPr>
          <w:ilvl w:val="0"/>
          <w:numId w:val="0"/>
        </w:numPr>
        <w:ind w:firstLine="1200" w:firstLineChars="400"/>
        <w:rPr>
          <w:rFonts w:hint="eastAsia" w:ascii="仿宋" w:hAnsi="仿宋" w:eastAsia="仿宋" w:cs="仿宋"/>
          <w:kern w:val="2"/>
          <w:sz w:val="30"/>
          <w:szCs w:val="30"/>
          <w:lang w:val="en-US" w:eastAsia="zh-CN" w:bidi="ar-SA"/>
        </w:rPr>
      </w:pPr>
      <w:r>
        <w:rPr>
          <w:rFonts w:hint="eastAsia" w:ascii="仿宋" w:hAnsi="仿宋" w:eastAsia="仿宋" w:cs="仿宋"/>
          <w:kern w:val="2"/>
          <w:sz w:val="30"/>
          <w:szCs w:val="30"/>
          <w:lang w:val="en-US" w:eastAsia="zh-CN" w:bidi="ar-SA"/>
        </w:rPr>
        <w:t>无</w:t>
      </w:r>
    </w:p>
    <w:p>
      <w:pPr>
        <w:pStyle w:val="9"/>
        <w:numPr>
          <w:ilvl w:val="0"/>
          <w:numId w:val="0"/>
        </w:numPr>
        <w:rPr>
          <w:rFonts w:hint="default" w:ascii="仿宋" w:hAnsi="仿宋" w:eastAsia="仿宋" w:cs="仿宋"/>
          <w:kern w:val="2"/>
          <w:sz w:val="30"/>
          <w:szCs w:val="30"/>
          <w:lang w:val="en-US" w:eastAsia="zh-CN" w:bidi="ar-SA"/>
        </w:rPr>
        <w:sectPr>
          <w:footerReference r:id="rId4" w:type="default"/>
          <w:pgSz w:w="11905" w:h="16838"/>
          <w:pgMar w:top="1984" w:right="1701" w:bottom="1984" w:left="1701" w:header="850" w:footer="992" w:gutter="0"/>
          <w:pgNumType w:fmt="numberInDash"/>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4</w:t>
      </w:r>
    </w:p>
    <w:p>
      <w:pPr>
        <w:pStyle w:val="9"/>
        <w:keepNext w:val="0"/>
        <w:keepLines w:val="0"/>
        <w:pageBreakBefore w:val="0"/>
        <w:widowControl w:val="0"/>
        <w:kinsoku/>
        <w:wordWrap/>
        <w:overflowPunct/>
        <w:topLinePunct w:val="0"/>
        <w:autoSpaceDE/>
        <w:autoSpaceDN/>
        <w:bidi w:val="0"/>
        <w:adjustRightInd/>
        <w:snapToGrid w:val="0"/>
        <w:spacing w:line="580" w:lineRule="exact"/>
        <w:textAlignment w:val="auto"/>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r>
        <w:rPr>
          <w:rFonts w:hint="eastAsia" w:ascii="方正小标宋简体" w:hAnsi="方正小标宋简体" w:eastAsia="方正小标宋简体" w:cs="方正小标宋简体"/>
          <w:spacing w:val="6"/>
          <w:sz w:val="44"/>
          <w:szCs w:val="44"/>
        </w:rPr>
        <w:t>2023年度部门整体支出绩效自评表</w:t>
      </w:r>
    </w:p>
    <w:p>
      <w:pPr>
        <w:spacing w:line="132" w:lineRule="exact"/>
      </w:pPr>
    </w:p>
    <w:tbl>
      <w:tblPr>
        <w:tblStyle w:val="17"/>
        <w:tblW w:w="8548"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9"/>
        <w:gridCol w:w="992"/>
        <w:gridCol w:w="944"/>
        <w:gridCol w:w="51"/>
        <w:gridCol w:w="973"/>
        <w:gridCol w:w="22"/>
        <w:gridCol w:w="1021"/>
        <w:gridCol w:w="971"/>
        <w:gridCol w:w="699"/>
        <w:gridCol w:w="723"/>
        <w:gridCol w:w="132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901" w:hRule="atLeast"/>
          <w:jc w:val="center"/>
        </w:trPr>
        <w:tc>
          <w:tcPr>
            <w:tcW w:w="2765" w:type="dxa"/>
            <w:gridSpan w:val="3"/>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省级预算部门、单位名称</w:t>
            </w:r>
          </w:p>
        </w:tc>
        <w:tc>
          <w:tcPr>
            <w:tcW w:w="5783" w:type="dxa"/>
            <w:gridSpan w:val="8"/>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ascii="微软雅黑" w:hAnsi="微软雅黑" w:eastAsia="微软雅黑" w:cs="微软雅黑"/>
                <w:i w:val="0"/>
                <w:caps w:val="0"/>
                <w:color w:val="000000"/>
                <w:spacing w:val="0"/>
                <w:sz w:val="19"/>
                <w:szCs w:val="19"/>
                <w:shd w:val="clear" w:fill="F5F7FA"/>
              </w:rPr>
              <w:t>华容县水利局</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20" w:hRule="atLeast"/>
          <w:jc w:val="center"/>
        </w:trPr>
        <w:tc>
          <w:tcPr>
            <w:tcW w:w="82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年度预算申请（万元）</w:t>
            </w:r>
          </w:p>
        </w:tc>
        <w:tc>
          <w:tcPr>
            <w:tcW w:w="1936"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024"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年初</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104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执行数</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执行率</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1936"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年度资金总额</w:t>
            </w:r>
          </w:p>
        </w:tc>
        <w:tc>
          <w:tcPr>
            <w:tcW w:w="1024"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7200.54</w:t>
            </w:r>
          </w:p>
        </w:tc>
        <w:tc>
          <w:tcPr>
            <w:tcW w:w="104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4334</w:t>
            </w:r>
            <w:r>
              <w:rPr>
                <w:rFonts w:hint="eastAsia" w:asciiTheme="minorEastAsia" w:hAnsiTheme="minorEastAsia" w:eastAsiaTheme="minorEastAsia" w:cstheme="minorEastAsia"/>
                <w:sz w:val="21"/>
                <w:szCs w:val="21"/>
                <w:lang w:val="en-US" w:eastAsia="zh-CN"/>
              </w:rPr>
              <w:t>5</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4334</w:t>
            </w:r>
            <w:r>
              <w:rPr>
                <w:rFonts w:hint="eastAsia" w:asciiTheme="minorEastAsia" w:hAnsiTheme="minorEastAsia" w:eastAsiaTheme="minorEastAsia" w:cstheme="minorEastAsia"/>
                <w:sz w:val="21"/>
                <w:szCs w:val="21"/>
                <w:lang w:val="en-US" w:eastAsia="zh-CN"/>
              </w:rPr>
              <w:t>5</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58" w:firstLineChars="28"/>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按收入性质分：</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按支出性质分：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其中：一般公共预算：</w:t>
            </w:r>
            <w:r>
              <w:rPr>
                <w:rFonts w:hint="eastAsia" w:asciiTheme="minorEastAsia" w:hAnsiTheme="minorEastAsia" w:eastAsiaTheme="minorEastAsia" w:cstheme="minorEastAsia"/>
                <w:sz w:val="21"/>
                <w:szCs w:val="21"/>
                <w:lang w:val="en-US" w:eastAsia="zh-CN"/>
              </w:rPr>
              <w:t>23671</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其中：基本支出：</w:t>
            </w:r>
            <w:r>
              <w:rPr>
                <w:rFonts w:hint="eastAsia" w:asciiTheme="minorEastAsia" w:hAnsiTheme="minorEastAsia" w:eastAsiaTheme="minorEastAsia" w:cstheme="minorEastAsia"/>
                <w:sz w:val="21"/>
                <w:szCs w:val="21"/>
                <w:lang w:val="en-US" w:eastAsia="zh-CN"/>
              </w:rPr>
              <w:t>97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政府性基金拨款：</w:t>
            </w:r>
            <w:r>
              <w:rPr>
                <w:rFonts w:hint="eastAsia" w:asciiTheme="minorEastAsia" w:hAnsiTheme="minorEastAsia" w:eastAsiaTheme="minorEastAsia" w:cstheme="minorEastAsia"/>
                <w:sz w:val="21"/>
                <w:szCs w:val="21"/>
                <w:lang w:val="en-US" w:eastAsia="zh-CN"/>
              </w:rPr>
              <w:t>19674</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r>
              <w:rPr>
                <w:rFonts w:hint="eastAsia" w:asciiTheme="minorEastAsia" w:hAnsiTheme="minorEastAsia" w:eastAsiaTheme="minorEastAsia" w:cstheme="minorEastAsia"/>
                <w:sz w:val="21"/>
                <w:szCs w:val="21"/>
                <w:lang w:val="en-US" w:eastAsia="zh-CN"/>
              </w:rPr>
              <w:t>42371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纳入专户管理的非税收入拨款：</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其他资金：</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r>
              <w:rPr>
                <w:rFonts w:hint="eastAsia" w:ascii="黑体" w:hAnsi="黑体" w:eastAsia="黑体" w:cs="黑体"/>
                <w:sz w:val="21"/>
                <w:szCs w:val="21"/>
                <w:lang w:eastAsia="zh-CN"/>
              </w:rPr>
              <w:t>总</w:t>
            </w:r>
            <w:r>
              <w:rPr>
                <w:rFonts w:hint="eastAsia" w:ascii="黑体" w:hAnsi="黑体" w:eastAsia="黑体" w:cs="黑体"/>
                <w:sz w:val="21"/>
                <w:szCs w:val="21"/>
              </w:rPr>
              <w:t>体目标</w:t>
            </w: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预期目标</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2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03"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1、防汛抗旱，水利工程建设与管理，水资源管理与保护；</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2、水土保持监督，涉水事务管理，水行政执法；</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3、贯彻执行上级有关移民安置和后扶政策；</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4、负责大中型水库移民安置稳定、生产开发、技术培训、后期扶持配套项目规划编制，并确保项目实施和竣工验收；</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5、负责处理平垸行洪、移民建镇遗留问题。</w:t>
            </w:r>
          </w:p>
        </w:tc>
        <w:tc>
          <w:tcPr>
            <w:tcW w:w="3716"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宋体" w:hAnsi="宋体" w:cs="宋体"/>
                <w:color w:val="000000" w:themeColor="text1"/>
                <w:kern w:val="0"/>
                <w:sz w:val="20"/>
                <w:szCs w:val="21"/>
                <w14:textFill>
                  <w14:solidFill>
                    <w14:schemeClr w14:val="tx1"/>
                  </w14:solidFill>
                </w14:textFill>
              </w:rPr>
              <w:t>完成年度总体目标任务。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60" w:hRule="atLeast"/>
          <w:jc w:val="center"/>
        </w:trPr>
        <w:tc>
          <w:tcPr>
            <w:tcW w:w="829"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标</w:t>
            </w:r>
          </w:p>
        </w:tc>
        <w:tc>
          <w:tcPr>
            <w:tcW w:w="992" w:type="dxa"/>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一级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二级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三级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指标值</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完成值</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得分</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lang w:eastAsia="zh-CN"/>
              </w:rPr>
              <w:t>偏差原因分析</w:t>
            </w:r>
            <w:r>
              <w:rPr>
                <w:rFonts w:hint="eastAsia" w:ascii="黑体" w:hAnsi="黑体" w:eastAsia="黑体" w:cs="黑体"/>
                <w:sz w:val="21"/>
                <w:szCs w:val="21"/>
              </w:rPr>
              <w:t>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eastAsia="zh-CN"/>
              </w:rPr>
              <w:t>）</w:t>
            </w: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省级水利建设项目</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kern w:val="0"/>
                <w:sz w:val="20"/>
                <w:szCs w:val="21"/>
              </w:rPr>
              <w:t>≥</w:t>
            </w:r>
            <w:r>
              <w:rPr>
                <w:rFonts w:hint="eastAsia" w:asciiTheme="minorEastAsia" w:hAnsiTheme="minorEastAsia" w:eastAsiaTheme="minorEastAsia" w:cstheme="minorEastAsia"/>
                <w:kern w:val="0"/>
                <w:sz w:val="20"/>
                <w:szCs w:val="21"/>
                <w:lang w:val="en-US" w:eastAsia="zh-CN"/>
              </w:rPr>
              <w:t>10个</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14个</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中型灌区电子地图绘制</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kern w:val="0"/>
                <w:sz w:val="20"/>
                <w:szCs w:val="21"/>
              </w:rPr>
              <w:t>≥</w:t>
            </w:r>
            <w:r>
              <w:rPr>
                <w:rFonts w:hint="eastAsia" w:asciiTheme="minorEastAsia" w:hAnsiTheme="minorEastAsia" w:eastAsiaTheme="minorEastAsia" w:cstheme="minorEastAsia"/>
                <w:sz w:val="21"/>
                <w:szCs w:val="21"/>
                <w:lang w:val="en-US" w:eastAsia="zh-CN"/>
              </w:rPr>
              <w:t>19个</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19个</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质量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水政大队执法率</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时效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截至2023年底，项目资金完成率（%）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97</w:t>
            </w:r>
            <w:r>
              <w:rPr>
                <w:rFonts w:hint="eastAsia" w:asciiTheme="minorEastAsia" w:hAnsiTheme="minorEastAsia" w:eastAsiaTheme="minorEastAsia" w:cstheme="minorEastAsia"/>
                <w:sz w:val="21"/>
                <w:szCs w:val="21"/>
                <w:lang w:eastAsia="zh-CN"/>
              </w:rPr>
              <w:t>%</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10</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9</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标</w:t>
            </w:r>
          </w:p>
        </w:tc>
        <w:tc>
          <w:tcPr>
            <w:tcW w:w="992"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（30分）</w:t>
            </w: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争取职工工资福利满意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按要求按时发放职工工资等</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完成</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10</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10</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让农民丰衣足食</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满意度≧90%</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≧90%</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10</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10</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确保全县安全渡过防汛抗旱时期</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各乡镇水利设施冬春修维护</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完成</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做好河湖长制工作</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全县河湖环境面貌显著改善</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保持</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5</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5</w:t>
            </w:r>
          </w:p>
        </w:tc>
        <w:tc>
          <w:tcPr>
            <w:tcW w:w="1323"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可持续</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影响</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已建工程项目良性运行比例（%）</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5</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nil"/>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restart"/>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（10分）</w:t>
            </w:r>
          </w:p>
        </w:tc>
        <w:tc>
          <w:tcPr>
            <w:tcW w:w="995" w:type="dxa"/>
            <w:gridSpan w:val="2"/>
            <w:vMerge w:val="restart"/>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服务对象</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社会公共满意</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98%</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5</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4</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0"/>
                <w:sz w:val="20"/>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restart"/>
            <w:tcBorders>
              <w:top w:val="single" w:color="auto" w:sz="4" w:space="0"/>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成</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val="en-US" w:eastAsia="zh-CN"/>
              </w:rPr>
              <w:t>）</w:t>
            </w:r>
          </w:p>
        </w:tc>
        <w:tc>
          <w:tcPr>
            <w:tcW w:w="995" w:type="dxa"/>
            <w:gridSpan w:val="2"/>
            <w:vMerge w:val="restart"/>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项目支出控制在批复的预算范围内的项目比例（%）</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5</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水利设施维修资金标准符合率（%）</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5</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restart"/>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环境</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建设美丽河湖支出控制在预算范围内（%）</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100%</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5</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5</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2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2" w:type="dxa"/>
            <w:vMerge w:val="continue"/>
            <w:tcBorders>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vMerge w:val="continue"/>
            <w:tcBorders>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95"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w:t>
            </w:r>
          </w:p>
        </w:tc>
        <w:tc>
          <w:tcPr>
            <w:tcW w:w="102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5803" w:type="dxa"/>
            <w:gridSpan w:val="8"/>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总分</w:t>
            </w:r>
          </w:p>
        </w:tc>
        <w:tc>
          <w:tcPr>
            <w:tcW w:w="69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96</w:t>
            </w:r>
          </w:p>
        </w:tc>
        <w:tc>
          <w:tcPr>
            <w:tcW w:w="132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bl>
    <w:p>
      <w:pPr>
        <w:rPr>
          <w:rFonts w:hint="eastAsia"/>
        </w:rPr>
      </w:pPr>
    </w:p>
    <w:p>
      <w:pPr>
        <w:rPr>
          <w:rFonts w:hint="eastAsia"/>
        </w:rPr>
      </w:pPr>
      <w:r>
        <w:rPr>
          <w:rFonts w:hint="eastAsia"/>
        </w:rPr>
        <w:t>填表人：     填报日期：         联系电话：           单位负责人签字：</w:t>
      </w:r>
    </w:p>
    <w:p>
      <w:pPr>
        <w:rPr>
          <w:rFonts w:hint="eastAsia" w:ascii="黑体" w:hAnsi="黑体" w:eastAsia="黑体" w:cs="黑体"/>
          <w:sz w:val="21"/>
          <w:szCs w:val="21"/>
          <w:lang w:val="en-US" w:eastAsia="zh-CN"/>
        </w:rPr>
      </w:pPr>
    </w:p>
    <w:sectPr>
      <w:footerReference r:id="rId5"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E595264-FACE-4A2D-B8DE-9C0FCEF1B3A1}"/>
  </w:font>
  <w:font w:name="Arial">
    <w:panose1 w:val="020B0604020202020204"/>
    <w:charset w:val="01"/>
    <w:family w:val="swiss"/>
    <w:pitch w:val="default"/>
    <w:sig w:usb0="E0002AFF" w:usb1="C0007843" w:usb2="00000009" w:usb3="00000000" w:csb0="400001FF" w:csb1="FFFF0000"/>
    <w:embedRegular r:id="rId2" w:fontKey="{7BC7797C-33E2-4909-B838-B418DAADE0AA}"/>
  </w:font>
  <w:font w:name="黑体">
    <w:panose1 w:val="02010609060101010101"/>
    <w:charset w:val="86"/>
    <w:family w:val="auto"/>
    <w:pitch w:val="default"/>
    <w:sig w:usb0="800002BF" w:usb1="38CF7CFA" w:usb2="00000016" w:usb3="00000000" w:csb0="00040001" w:csb1="00000000"/>
    <w:embedRegular r:id="rId3" w:fontKey="{1933249A-3138-4F3E-B05A-50E8FB58DAF8}"/>
  </w:font>
  <w:font w:name="Courier New">
    <w:panose1 w:val="02070309020205020404"/>
    <w:charset w:val="01"/>
    <w:family w:val="modern"/>
    <w:pitch w:val="default"/>
    <w:sig w:usb0="E0002AFF" w:usb1="C0007843" w:usb2="00000009" w:usb3="00000000" w:csb0="400001FF" w:csb1="FFFF0000"/>
    <w:embedRegular r:id="rId4" w:fontKey="{74826141-77DB-4D63-B23E-3009BFDD4E30}"/>
  </w:font>
  <w:font w:name="Symbol">
    <w:panose1 w:val="05050102010706020507"/>
    <w:charset w:val="02"/>
    <w:family w:val="roman"/>
    <w:pitch w:val="default"/>
    <w:sig w:usb0="00000000" w:usb1="00000000" w:usb2="00000000" w:usb3="00000000" w:csb0="80000000" w:csb1="00000000"/>
    <w:embedRegular r:id="rId5" w:fontKey="{7053F165-2CCF-4454-9336-20980E4073D0}"/>
  </w:font>
  <w:font w:name="Cambria">
    <w:panose1 w:val="02040503050406030204"/>
    <w:charset w:val="00"/>
    <w:family w:val="roman"/>
    <w:pitch w:val="default"/>
    <w:sig w:usb0="E00002FF" w:usb1="400004FF" w:usb2="00000000" w:usb3="00000000" w:csb0="2000019F" w:csb1="00000000"/>
    <w:embedRegular r:id="rId6" w:fontKey="{82117731-31C6-47D1-962F-459AC7EFF665}"/>
  </w:font>
  <w:font w:name="Calibri">
    <w:panose1 w:val="020F0502020204030204"/>
    <w:charset w:val="00"/>
    <w:family w:val="swiss"/>
    <w:pitch w:val="default"/>
    <w:sig w:usb0="E00002FF" w:usb1="4000ACFF" w:usb2="00000001" w:usb3="00000000" w:csb0="2000019F" w:csb1="00000000"/>
    <w:embedRegular r:id="rId7" w:fontKey="{08B1EA75-E731-496F-A0C8-4EDFA524D5F2}"/>
  </w:font>
  <w:font w:name="仿宋">
    <w:panose1 w:val="02010609060101010101"/>
    <w:charset w:val="86"/>
    <w:family w:val="auto"/>
    <w:pitch w:val="default"/>
    <w:sig w:usb0="800002BF" w:usb1="38CF7CFA" w:usb2="00000016" w:usb3="00000000" w:csb0="00040001" w:csb1="00000000"/>
    <w:embedRegular r:id="rId8" w:fontKey="{E752897B-0CE4-4ACC-8369-BB582D0510A9}"/>
  </w:font>
  <w:font w:name="仿宋_GB2312">
    <w:panose1 w:val="02010609030101010101"/>
    <w:charset w:val="86"/>
    <w:family w:val="auto"/>
    <w:pitch w:val="default"/>
    <w:sig w:usb0="00000000" w:usb1="00000000" w:usb2="00000000" w:usb3="00000000" w:csb0="00000000" w:csb1="00000000"/>
    <w:embedRegular r:id="rId9" w:fontKey="{CA967582-5E16-4DD3-8A6A-F6F125773D65}"/>
  </w:font>
  <w:font w:name="方正小标宋_GBK">
    <w:panose1 w:val="03000509000000000000"/>
    <w:charset w:val="86"/>
    <w:family w:val="script"/>
    <w:pitch w:val="default"/>
    <w:sig w:usb0="00000000" w:usb1="00000000" w:usb2="00000000" w:usb3="00000000" w:csb0="00000000" w:csb1="00000000"/>
  </w:font>
  <w:font w:name="楷体_GB2312">
    <w:panose1 w:val="02010609030101010101"/>
    <w:charset w:val="86"/>
    <w:family w:val="auto"/>
    <w:pitch w:val="default"/>
    <w:sig w:usb0="00000000" w:usb1="00000000" w:usb2="00000000" w:usb3="00000000" w:csb0="00000000" w:csb1="00000000"/>
    <w:embedRegular r:id="rId10" w:fontKey="{F66E1DB9-7BF2-4470-919E-C8463B9AA7A5}"/>
  </w:font>
  <w:font w:name="楷体">
    <w:panose1 w:val="02010609060101010101"/>
    <w:charset w:val="86"/>
    <w:family w:val="auto"/>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embedRegular r:id="rId11" w:fontKey="{61B328B3-C664-4F83-A383-FEE7C1323B82}"/>
  </w:font>
  <w:font w:name="方正小标宋简体">
    <w:panose1 w:val="03000509000000000000"/>
    <w:charset w:val="86"/>
    <w:family w:val="auto"/>
    <w:pitch w:val="default"/>
    <w:sig w:usb0="00000000" w:usb1="00000000" w:usb2="00000000" w:usb3="00000000" w:csb0="00000000" w:csb1="00000000"/>
    <w:embedRegular r:id="rId12" w:fontKey="{9238E85C-D8C8-4FF8-ACC4-8F5E5F83BC3F}"/>
  </w:font>
  <w:font w:name="微软雅黑">
    <w:panose1 w:val="020B0503020204020204"/>
    <w:charset w:val="86"/>
    <w:family w:val="auto"/>
    <w:pitch w:val="default"/>
    <w:sig w:usb0="80000287" w:usb1="280F3C52" w:usb2="00000016" w:usb3="00000000" w:csb0="0004001F" w:csb1="00000000"/>
    <w:embedRegular r:id="rId13" w:fontKey="{85FB6766-647B-46BE-B934-C4B04A6CA99E}"/>
  </w:font>
  <w:font w:name="Arial">
    <w:panose1 w:val="020B0604020202020204"/>
    <w:charset w:val="00"/>
    <w:family w:val="auto"/>
    <w:pitch w:val="default"/>
    <w:sig w:usb0="E0002AFF" w:usb1="C0007843" w:usb2="00000009" w:usb3="00000000" w:csb0="400001FF" w:csb1="FFFF0000"/>
    <w:embedRegular r:id="rId14" w:fontKey="{359CA1C7-A64C-4943-B924-F769B038ADFA}"/>
  </w:font>
  <w:font w:name="新宋体">
    <w:panose1 w:val="02010609030101010101"/>
    <w:charset w:val="86"/>
    <w:family w:val="modern"/>
    <w:pitch w:val="default"/>
    <w:sig w:usb0="00000003" w:usb1="288F0000" w:usb2="00000006" w:usb3="00000000" w:csb0="00040001" w:csb1="00000000"/>
  </w:font>
  <w:font w:name="Arial Unicode MS">
    <w:panose1 w:val="020B0604020202020204"/>
    <w:charset w:val="86"/>
    <w:family w:val="auto"/>
    <w:pitch w:val="default"/>
    <w:sig w:usb0="FFFFFFFF" w:usb1="E9FFFFFF" w:usb2="0000003F" w:usb3="00000000" w:csb0="603F01FF" w:csb1="FFFF0000"/>
  </w:font>
  <w:font w:name="Times New Toman">
    <w:altName w:val="Traditional Arabic"/>
    <w:panose1 w:val="02020603050405020304"/>
    <w:charset w:val="00"/>
    <w:family w:val="roman"/>
    <w:pitch w:val="default"/>
    <w:sig w:usb0="00000000" w:usb1="00000000" w:usb2="00000008" w:usb3="00000000" w:csb0="000001FF" w:csb1="00000000"/>
  </w:font>
  <w:font w:name="Arial">
    <w:panose1 w:val="020B0604020202020204"/>
    <w:charset w:val="86"/>
    <w:family w:val="auto"/>
    <w:pitch w:val="default"/>
    <w:sig w:usb0="E0002AFF" w:usb1="C0007843" w:usb2="00000009" w:usb3="00000000" w:csb0="400001FF" w:csb1="FFFF0000"/>
    <w:embedRegular r:id="rId15" w:fontKey="{A13A0760-C4A6-4082-8C95-656305DAE625}"/>
  </w:font>
  <w:font w:name="Microsoft JhengHei">
    <w:panose1 w:val="020B0604030504040204"/>
    <w:charset w:val="88"/>
    <w:family w:val="auto"/>
    <w:pitch w:val="default"/>
    <w:sig w:usb0="00000087" w:usb1="28AF4000" w:usb2="00000016" w:usb3="00000000" w:csb0="00100009" w:csb1="00000000"/>
  </w:font>
  <w:font w:name="Traditional Arabic">
    <w:panose1 w:val="02020603050405020304"/>
    <w:charset w:val="00"/>
    <w:family w:val="auto"/>
    <w:pitch w:val="default"/>
    <w:sig w:usb0="00006003" w:usb1="80000000" w:usb2="00000008" w:usb3="00000000" w:csb0="00000041" w:csb1="20080000"/>
    <w:embedRegular r:id="rId16" w:fontKey="{0FDBDB8A-7343-4743-A37B-21C61C3E2A4E}"/>
  </w:font>
  <w:font w:name="华文中宋">
    <w:panose1 w:val="02010600040101010101"/>
    <w:charset w:val="86"/>
    <w:family w:val="auto"/>
    <w:pitch w:val="default"/>
    <w:sig w:usb0="00000287" w:usb1="080F0000" w:usb2="00000000" w:usb3="00000000" w:csb0="0004009F" w:csb1="DFD70000"/>
  </w:font>
  <w:font w:name="MS PGothic">
    <w:panose1 w:val="020B0600070205080204"/>
    <w:charset w:val="80"/>
    <w:family w:val="auto"/>
    <w:pitch w:val="default"/>
    <w:sig w:usb0="E00002FF" w:usb1="6AC7FDFB" w:usb2="00000012" w:usb3="00000000" w:csb0="4002009F" w:csb1="DFD70000"/>
  </w:font>
  <w:font w:name="仿宋_GB2312">
    <w:panose1 w:val="02010609030101010101"/>
    <w:charset w:val="00"/>
    <w:family w:val="auto"/>
    <w:pitch w:val="default"/>
    <w:sig w:usb0="00000000" w:usb1="00000000" w:usb2="00000000" w:usb3="00000000" w:csb0="00000000" w:csb1="00000000"/>
  </w:font>
  <w:font w:name="方正仿宋_GBK">
    <w:altName w:val="Arial Unicode MS"/>
    <w:panose1 w:val="03000509000000000000"/>
    <w:charset w:val="86"/>
    <w:family w:val="auto"/>
    <w:pitch w:val="default"/>
    <w:sig w:usb0="00000000" w:usb1="00000000" w:usb2="00000000" w:usb3="00000000" w:csb0="00040000" w:csb1="00000000"/>
  </w:font>
  <w:font w:name="方正楷体_GBK">
    <w:altName w:val="Arial Unicode MS"/>
    <w:panose1 w:val="02000000000000000000"/>
    <w:charset w:val="86"/>
    <w:family w:val="auto"/>
    <w:pitch w:val="default"/>
    <w:sig w:usb0="00000000" w:usb1="00000000" w:usb2="00000000" w:usb3="00000000" w:csb0="00040000" w:csb1="00000000"/>
  </w:font>
  <w:font w:name="-apple-system">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embedRegular r:id="rId17" w:fontKey="{A4D9D4CF-D8C6-43A3-A8C1-D547CACDED6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before="1" w:line="174" w:lineRule="auto"/>
      <w:jc w:val="center"/>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I3F45UVAgAAFQQAAA4AAAAAAAAA&#10;AQAgAAAAHwEAAGRycy9lMm9Eb2MueG1sUEsFBgAAAAAGAAYAWQEAAKYFAAAAAA==&#10;">
              <v:fill on="f" focussize="0,0"/>
              <v:stroke on="f" weight="0.5pt"/>
              <v:imagedata o:title=""/>
              <o:lock v:ext="edit" aspectratio="f"/>
              <v:textbox inset="0mm,0mm,0mm,0mm" style="mso-fit-shape-to-text:t;">
                <w:txbxContent>
                  <w:p>
                    <w:pPr>
                      <w:pStyle w:val="7"/>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before="1" w:line="174" w:lineRule="auto"/>
      <w:ind w:left="8576"/>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9tdHoS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M9tdHoSAgAAFQQAAA4AAAAAAAAAAQAg&#10;AAAAHwEAAGRycy9lMm9Eb2MueG1sUEsFBgAAAAAGAAYAWQEAAKMFAAAAAA==&#10;">
              <v:fill on="f" focussize="0,0"/>
              <v:stroke on="f" weight="0.5pt"/>
              <v:imagedata o:title=""/>
              <o:lock v:ext="edit" aspectratio="f"/>
              <v:textbox inset="0mm,0mm,0mm,0mm" style="mso-fit-shape-to-text:t;">
                <w:txbxContent>
                  <w:p>
                    <w:pPr>
                      <w:pStyle w:val="7"/>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before="1" w:line="174" w:lineRule="auto"/>
      <w:ind w:left="574"/>
      <w:rPr>
        <w:sz w:val="28"/>
        <w:szCs w:val="28"/>
      </w:rPr>
    </w:pPr>
    <w:r>
      <w:rPr>
        <w:sz w:val="2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doX50U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RtKNFPY0enH99PPh9OvbwQ6ANRaP4PfxsIzdO9MB+dB76GMc3eV&#10;U/HGRAR2QH28wCu6QHgMmk6m0xwmDtvwQP7sMdw6H94Lo0gUCuqwvwQrO6x96F0Hl1hNm1UjZdqh&#10;1KQt6NXrt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B2hfnRQCAAAVBAAADgAAAAAAAAAB&#10;ACAAAAAfAQAAZHJzL2Uyb0RvYy54bWxQSwUGAAAAAAYABgBZAQAApQUAAAAA&#10;">
              <v:fill on="f" focussize="0,0"/>
              <v:stroke on="f" weight="0.5pt"/>
              <v:imagedata o:title=""/>
              <o:lock v:ext="edit" aspectratio="f"/>
              <v:textbox inset="0mm,0mm,0mm,0mm" style="mso-fit-shape-to-text:t;">
                <w:txbxContent>
                  <w:p>
                    <w:pPr>
                      <w:pStyle w:val="7"/>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85BD8C0"/>
    <w:multiLevelType w:val="singleLevel"/>
    <w:tmpl w:val="885BD8C0"/>
    <w:lvl w:ilvl="0" w:tentative="0">
      <w:start w:val="9"/>
      <w:numFmt w:val="chineseCounting"/>
      <w:suff w:val="nothing"/>
      <w:lvlText w:val="%1、"/>
      <w:lvlJc w:val="left"/>
      <w:rPr>
        <w:rFonts w:hint="eastAsia"/>
      </w:rPr>
    </w:lvl>
  </w:abstractNum>
  <w:abstractNum w:abstractNumId="1">
    <w:nsid w:val="0F45ECD4"/>
    <w:multiLevelType w:val="singleLevel"/>
    <w:tmpl w:val="0F45ECD4"/>
    <w:lvl w:ilvl="0" w:tentative="0">
      <w:start w:val="4"/>
      <w:numFmt w:val="chineseCounting"/>
      <w:suff w:val="nothing"/>
      <w:lvlText w:val="%1、"/>
      <w:lvlJc w:val="left"/>
      <w:rPr>
        <w:rFonts w:hint="eastAsia"/>
      </w:rPr>
    </w:lvl>
  </w:abstractNum>
  <w:abstractNum w:abstractNumId="2">
    <w:nsid w:val="1ADF65E3"/>
    <w:multiLevelType w:val="singleLevel"/>
    <w:tmpl w:val="1ADF65E3"/>
    <w:lvl w:ilvl="0" w:tentative="0">
      <w:start w:val="1"/>
      <w:numFmt w:val="chineseCounting"/>
      <w:suff w:val="nothing"/>
      <w:lvlText w:val="%1、"/>
      <w:lvlJc w:val="left"/>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QzZjc5NTllMGFiYmY5NmVhMTllZTJlYTQ3YTVjMjg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027865"/>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04A003A"/>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5D1959"/>
    <w:rsid w:val="1CA34935"/>
    <w:rsid w:val="1D5A640E"/>
    <w:rsid w:val="1E9351E5"/>
    <w:rsid w:val="1F7640EC"/>
    <w:rsid w:val="20176B8B"/>
    <w:rsid w:val="20B84A6E"/>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611667D"/>
    <w:rsid w:val="277A77CA"/>
    <w:rsid w:val="28043432"/>
    <w:rsid w:val="284A2254"/>
    <w:rsid w:val="289047B5"/>
    <w:rsid w:val="29165294"/>
    <w:rsid w:val="292F1467"/>
    <w:rsid w:val="29786927"/>
    <w:rsid w:val="297B51B4"/>
    <w:rsid w:val="29E40467"/>
    <w:rsid w:val="29F527E2"/>
    <w:rsid w:val="2A9A1E2C"/>
    <w:rsid w:val="2BF35971"/>
    <w:rsid w:val="2C487650"/>
    <w:rsid w:val="2C5A7AC4"/>
    <w:rsid w:val="2CE3052F"/>
    <w:rsid w:val="2DB15B86"/>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9D40F07"/>
    <w:rsid w:val="3A0F7AD4"/>
    <w:rsid w:val="3A53023B"/>
    <w:rsid w:val="3AF42D2D"/>
    <w:rsid w:val="3B062751"/>
    <w:rsid w:val="3B3A041F"/>
    <w:rsid w:val="3BAE6BF9"/>
    <w:rsid w:val="3BE408B2"/>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1A20CD"/>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6F31E1"/>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6C64A7"/>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0F5C57"/>
    <w:rsid w:val="6DFE5E04"/>
    <w:rsid w:val="6E0D1F7B"/>
    <w:rsid w:val="6E796921"/>
    <w:rsid w:val="6E87203D"/>
    <w:rsid w:val="6F9278BB"/>
    <w:rsid w:val="6FB7D4E3"/>
    <w:rsid w:val="6FBE0EF0"/>
    <w:rsid w:val="6FFF1C22"/>
    <w:rsid w:val="70EC5DDE"/>
    <w:rsid w:val="71572F19"/>
    <w:rsid w:val="719B7427"/>
    <w:rsid w:val="71E33685"/>
    <w:rsid w:val="71F326B3"/>
    <w:rsid w:val="723C60CE"/>
    <w:rsid w:val="724A6793"/>
    <w:rsid w:val="72647B59"/>
    <w:rsid w:val="72AB17F5"/>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qFormat/>
    <w:locked/>
    <w:uiPriority w:val="0"/>
    <w:pPr>
      <w:keepNext/>
      <w:keepLines/>
      <w:outlineLvl w:val="0"/>
    </w:pPr>
    <w:rPr>
      <w:rFonts w:eastAsia="黑体"/>
      <w:bCs/>
      <w:kern w:val="44"/>
      <w:szCs w:val="44"/>
    </w:rPr>
  </w:style>
  <w:style w:type="character" w:default="1" w:styleId="10">
    <w:name w:val="Default Paragraph Font"/>
    <w:semiHidden/>
    <w:qFormat/>
    <w:uiPriority w:val="99"/>
  </w:style>
  <w:style w:type="table" w:default="1" w:styleId="12">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2">
    <w:name w:val="Body Text First Indent 2"/>
    <w:basedOn w:val="3"/>
    <w:semiHidden/>
    <w:unhideWhenUsed/>
    <w:uiPriority w:val="99"/>
    <w:pPr>
      <w:spacing w:before="100" w:beforeAutospacing="1" w:after="0"/>
      <w:ind w:left="0" w:firstLine="420" w:firstLineChars="200"/>
    </w:pPr>
    <w:rPr>
      <w:rFonts w:ascii="Calibri" w:hAnsi="Calibri"/>
    </w:rPr>
  </w:style>
  <w:style w:type="paragraph" w:styleId="3">
    <w:name w:val="Body Text Indent"/>
    <w:basedOn w:val="1"/>
    <w:semiHidden/>
    <w:unhideWhenUsed/>
    <w:uiPriority w:val="99"/>
    <w:pPr>
      <w:spacing w:after="120"/>
      <w:ind w:left="420" w:leftChars="200"/>
    </w:pPr>
  </w:style>
  <w:style w:type="paragraph" w:styleId="5">
    <w:name w:val="Normal Indent"/>
    <w:basedOn w:val="1"/>
    <w:semiHidden/>
    <w:unhideWhenUsed/>
    <w:qFormat/>
    <w:uiPriority w:val="99"/>
    <w:pPr>
      <w:ind w:firstLine="420" w:firstLineChars="200"/>
    </w:pPr>
  </w:style>
  <w:style w:type="paragraph" w:styleId="6">
    <w:name w:val="Body Text"/>
    <w:basedOn w:val="1"/>
    <w:semiHidden/>
    <w:qFormat/>
    <w:uiPriority w:val="0"/>
    <w:rPr>
      <w:rFonts w:ascii="仿宋" w:hAnsi="仿宋" w:eastAsia="仿宋" w:cs="仿宋"/>
      <w:sz w:val="31"/>
      <w:szCs w:val="31"/>
      <w:lang w:val="en-US" w:eastAsia="en-US" w:bidi="ar-SA"/>
    </w:rPr>
  </w:style>
  <w:style w:type="paragraph" w:styleId="7">
    <w:name w:val="footer"/>
    <w:basedOn w:val="1"/>
    <w:link w:val="14"/>
    <w:qFormat/>
    <w:uiPriority w:val="99"/>
    <w:pPr>
      <w:tabs>
        <w:tab w:val="center" w:pos="4153"/>
        <w:tab w:val="right" w:pos="8306"/>
      </w:tabs>
      <w:snapToGrid w:val="0"/>
      <w:jc w:val="left"/>
    </w:pPr>
    <w:rPr>
      <w:sz w:val="18"/>
      <w:szCs w:val="18"/>
    </w:rPr>
  </w:style>
  <w:style w:type="paragraph" w:styleId="8">
    <w:name w:val="header"/>
    <w:basedOn w:val="1"/>
    <w:link w:val="15"/>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footnote text"/>
    <w:basedOn w:val="1"/>
    <w:next w:val="1"/>
    <w:qFormat/>
    <w:uiPriority w:val="0"/>
    <w:pPr>
      <w:snapToGrid w:val="0"/>
      <w:jc w:val="left"/>
    </w:pPr>
    <w:rPr>
      <w:sz w:val="18"/>
      <w:szCs w:val="18"/>
    </w:rPr>
  </w:style>
  <w:style w:type="character" w:styleId="11">
    <w:name w:val="page number"/>
    <w:basedOn w:val="10"/>
    <w:qFormat/>
    <w:uiPriority w:val="99"/>
    <w:rPr>
      <w:rFonts w:cs="Times New Roman"/>
    </w:rPr>
  </w:style>
  <w:style w:type="table" w:styleId="13">
    <w:name w:val="Table Grid"/>
    <w:basedOn w:val="12"/>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4">
    <w:name w:val="Footer Char"/>
    <w:basedOn w:val="10"/>
    <w:link w:val="7"/>
    <w:semiHidden/>
    <w:qFormat/>
    <w:uiPriority w:val="99"/>
    <w:rPr>
      <w:sz w:val="18"/>
      <w:szCs w:val="18"/>
    </w:rPr>
  </w:style>
  <w:style w:type="character" w:customStyle="1" w:styleId="15">
    <w:name w:val="Header Char"/>
    <w:basedOn w:val="10"/>
    <w:link w:val="8"/>
    <w:semiHidden/>
    <w:qFormat/>
    <w:uiPriority w:val="99"/>
    <w:rPr>
      <w:sz w:val="18"/>
      <w:szCs w:val="18"/>
    </w:rPr>
  </w:style>
  <w:style w:type="paragraph" w:styleId="16">
    <w:name w:val="List Paragraph"/>
    <w:basedOn w:val="1"/>
    <w:qFormat/>
    <w:uiPriority w:val="99"/>
    <w:pPr>
      <w:ind w:firstLine="420" w:firstLineChars="200"/>
    </w:pPr>
    <w:rPr>
      <w:rFonts w:ascii="Calibri" w:hAnsi="Calibri"/>
      <w:szCs w:val="22"/>
    </w:rPr>
  </w:style>
  <w:style w:type="table" w:customStyle="1" w:styleId="17">
    <w:name w:val="Table Normal"/>
    <w:semiHidden/>
    <w:unhideWhenUsed/>
    <w:qFormat/>
    <w:uiPriority w:val="0"/>
    <w:tblPr>
      <w:tblLayout w:type="fixed"/>
      <w:tblCellMar>
        <w:top w:w="0" w:type="dxa"/>
        <w:left w:w="0" w:type="dxa"/>
        <w:bottom w:w="0" w:type="dxa"/>
        <w:right w:w="0" w:type="dxa"/>
      </w:tblCellMar>
    </w:tblPr>
  </w:style>
  <w:style w:type="paragraph" w:customStyle="1" w:styleId="18">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12</Pages>
  <Words>4354</Words>
  <Characters>4599</Characters>
  <Lines>0</Lines>
  <Paragraphs>0</Paragraphs>
  <ScaleCrop>false</ScaleCrop>
  <LinksUpToDate>false</LinksUpToDate>
  <CharactersWithSpaces>4995</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Administrator</cp:lastModifiedBy>
  <cp:lastPrinted>2024-05-31T01:12:00Z</cp:lastPrinted>
  <dcterms:modified xsi:type="dcterms:W3CDTF">2024-05-31T03:38:30Z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y fmtid="{D5CDD505-2E9C-101B-9397-08002B2CF9AE}" pid="3" name="KSOSaveFontToCloudKey">
    <vt:lpwstr>386772509_embed</vt:lpwstr>
  </property>
  <property fmtid="{D5CDD505-2E9C-101B-9397-08002B2CF9AE}" pid="4" name="ICV">
    <vt:lpwstr>F96CC6F13C934D6E834055B675BCA8AB_13</vt:lpwstr>
  </property>
</Properties>
</file>