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ascii="仿宋_GB2312" w:hAnsi="仿宋_GB2312" w:eastAsia="仿宋_GB2312" w:cs="仿宋_GB2312"/>
          <w:spacing w:val="-4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pacing w:val="-4"/>
          <w:sz w:val="32"/>
          <w:szCs w:val="32"/>
        </w:rPr>
        <w:drawing>
          <wp:inline distT="0" distB="0" distL="114300" distR="114300">
            <wp:extent cx="5394325" cy="7418705"/>
            <wp:effectExtent l="0" t="0" r="15875" b="10795"/>
            <wp:docPr id="1" name="图片 1" descr="河湖长制专项资金绩效自评封面 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河湖长制专项资金绩效自评封面 00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394325" cy="7418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rPr>
          <w:rFonts w:hint="eastAsia" w:ascii="仿宋_GB2312" w:hAnsi="仿宋_GB2312" w:eastAsia="仿宋_GB2312" w:cs="仿宋_GB2312"/>
          <w:spacing w:val="8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8"/>
          <w:sz w:val="32"/>
          <w:szCs w:val="32"/>
        </w:rPr>
        <w:br w:type="page"/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jc w:val="center"/>
        <w:textAlignment w:val="auto"/>
        <w:rPr>
          <w:rFonts w:hint="eastAsia" w:ascii="方正小标宋简体" w:hAnsi="方正小标宋简体" w:eastAsia="方正小标宋简体" w:cs="方正小标宋简体"/>
          <w:b/>
          <w:bCs/>
          <w:sz w:val="44"/>
          <w:szCs w:val="44"/>
          <w:lang w:eastAsia="zh-CN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202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  <w:lang w:val="en-US" w:eastAsia="zh-CN"/>
        </w:rPr>
        <w:t>3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年度</w:t>
      </w:r>
      <w:r>
        <w:rPr>
          <w:rFonts w:hint="eastAsia" w:ascii="方正小标宋简体" w:hAnsi="方正小标宋简体" w:eastAsia="方正小标宋简体" w:cs="方正小标宋简体"/>
          <w:b/>
          <w:bCs/>
          <w:sz w:val="44"/>
          <w:szCs w:val="44"/>
          <w:lang w:eastAsia="zh-CN"/>
        </w:rPr>
        <w:t>华容县水利局河湖长制专</w:t>
      </w:r>
      <w:r>
        <w:rPr>
          <w:rFonts w:hint="eastAsia" w:ascii="方正小标宋简体" w:hAnsi="方正小标宋简体" w:eastAsia="方正小标宋简体" w:cs="方正小标宋简体"/>
          <w:b w:val="0"/>
          <w:bCs w:val="0"/>
          <w:sz w:val="44"/>
          <w:szCs w:val="44"/>
          <w:lang w:eastAsia="zh-CN"/>
        </w:rPr>
        <w:t>项</w:t>
      </w:r>
      <w:r>
        <w:rPr>
          <w:rFonts w:hint="eastAsia" w:ascii="方正小标宋简体" w:hAnsi="方正小标宋简体" w:eastAsia="方正小标宋简体" w:cs="方正小标宋简体"/>
          <w:b/>
          <w:bCs/>
          <w:sz w:val="44"/>
          <w:szCs w:val="44"/>
          <w:lang w:eastAsia="zh-CN"/>
        </w:rPr>
        <w:t>资金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jc w:val="center"/>
        <w:textAlignment w:val="auto"/>
        <w:rPr>
          <w:rFonts w:hint="default" w:ascii="Times New Roman" w:hAnsi="Times New Roman" w:eastAsia="仿宋_GB2312" w:cs="Times New Roman"/>
          <w:sz w:val="32"/>
          <w:szCs w:val="32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  <w:lang w:eastAsia="zh-CN"/>
        </w:rPr>
        <w:t>项目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支出绩效自评报告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00" w:firstLineChars="200"/>
        <w:textAlignment w:val="auto"/>
        <w:rPr>
          <w:rFonts w:hint="eastAsia" w:ascii="黑体" w:hAnsi="黑体" w:eastAsia="黑体" w:cs="黑体"/>
          <w:sz w:val="30"/>
          <w:szCs w:val="30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>一、基本情况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660"/>
        <w:jc w:val="both"/>
        <w:textAlignment w:val="auto"/>
        <w:rPr>
          <w:rFonts w:hint="eastAsia" w:eastAsia="仿宋_GB2312"/>
          <w:sz w:val="32"/>
          <w:szCs w:val="32"/>
        </w:rPr>
      </w:pPr>
      <w:r>
        <w:rPr>
          <w:rFonts w:hint="eastAsia" w:eastAsia="仿宋_GB2312"/>
          <w:sz w:val="32"/>
          <w:szCs w:val="32"/>
          <w:lang w:eastAsia="zh-CN"/>
        </w:rPr>
        <w:t>（</w:t>
      </w:r>
      <w:r>
        <w:rPr>
          <w:rFonts w:hint="eastAsia" w:eastAsia="仿宋_GB2312"/>
          <w:sz w:val="32"/>
          <w:szCs w:val="32"/>
        </w:rPr>
        <w:t>一</w:t>
      </w:r>
      <w:r>
        <w:rPr>
          <w:rFonts w:hint="eastAsia" w:eastAsia="仿宋_GB2312"/>
          <w:sz w:val="32"/>
          <w:szCs w:val="32"/>
          <w:lang w:eastAsia="zh-CN"/>
        </w:rPr>
        <w:t>）</w:t>
      </w:r>
      <w:r>
        <w:rPr>
          <w:rFonts w:hint="eastAsia" w:eastAsia="仿宋_GB2312"/>
          <w:sz w:val="32"/>
          <w:szCs w:val="32"/>
        </w:rPr>
        <w:t>项目概况。包括项目背景、主要内容及实施情况、资金投入和使用情况等。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660"/>
        <w:jc w:val="both"/>
        <w:textAlignment w:val="auto"/>
        <w:rPr>
          <w:rFonts w:hint="eastAsia" w:ascii="仿宋" w:hAnsi="仿宋" w:eastAsia="仿宋" w:cs="仿宋"/>
          <w:kern w:val="2"/>
          <w:sz w:val="32"/>
          <w:szCs w:val="32"/>
          <w:lang w:val="en-US" w:eastAsia="zh-CN" w:bidi="ar-SA"/>
        </w:rPr>
      </w:pPr>
      <w:r>
        <w:rPr>
          <w:rFonts w:hint="eastAsia" w:ascii="仿宋" w:hAnsi="仿宋" w:eastAsia="仿宋" w:cs="仿宋"/>
          <w:kern w:val="2"/>
          <w:sz w:val="32"/>
          <w:szCs w:val="32"/>
          <w:lang w:val="en-US" w:eastAsia="zh-CN" w:bidi="ar-SA"/>
        </w:rPr>
        <w:t>2017年，党中央、国务院制定出台了《关于全面推行河长制的意见》。2018年，河长制升级为河湖长制，在全国江河湖泊全面推行，河湖长制构建责任明确、保护有力河湖管理保护机制。推行河湖长制，是党中央国务院作出的重大决策，是保护水生态环境的重大制度创新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660"/>
        <w:jc w:val="both"/>
        <w:textAlignment w:val="auto"/>
        <w:rPr>
          <w:rFonts w:hint="eastAsia" w:ascii="仿宋" w:hAnsi="仿宋" w:eastAsia="仿宋" w:cs="仿宋"/>
          <w:kern w:val="2"/>
          <w:sz w:val="32"/>
          <w:szCs w:val="32"/>
          <w:lang w:val="en-US" w:eastAsia="zh-CN" w:bidi="ar-SA"/>
        </w:rPr>
      </w:pPr>
      <w:r>
        <w:rPr>
          <w:rFonts w:hint="eastAsia" w:ascii="仿宋" w:hAnsi="仿宋" w:eastAsia="仿宋" w:cs="仿宋"/>
          <w:kern w:val="2"/>
          <w:sz w:val="32"/>
          <w:szCs w:val="32"/>
          <w:lang w:val="en-US" w:eastAsia="zh-CN" w:bidi="ar-SA"/>
        </w:rPr>
        <w:t>华容县是典型的“洞庭水乡”，境内有湖泊星布，沟渠密织。河流总长202.5公里，内湖、哑河、水库101个（500亩以上湖泊哑河30个、中小型水库61座），面宽5米以上沟渠140条、690.4公里。今年来，我县深入贯彻习近平生态文明思想，扛牢“守护好一江碧水”政治责任，在市委市政府的坚强领导下，认真落实省第9号、市第14号总河长令和省、市工作部署要求，扎实做好河湖长制工作，河湖管护效能进一步提升，河湖生态环境持续改善。</w:t>
      </w:r>
    </w:p>
    <w:p>
      <w:pPr>
        <w:keepNext w:val="0"/>
        <w:keepLines w:val="0"/>
        <w:pageBreakBefore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hint="eastAsia" w:ascii="仿宋" w:hAnsi="仿宋" w:eastAsia="仿宋" w:cs="仿宋"/>
          <w:kern w:val="2"/>
          <w:sz w:val="32"/>
          <w:szCs w:val="32"/>
          <w:lang w:val="en-US" w:eastAsia="zh-CN" w:bidi="ar-SA"/>
        </w:rPr>
      </w:pPr>
      <w:r>
        <w:rPr>
          <w:rFonts w:hint="eastAsia" w:eastAsia="仿宋_GB2312"/>
          <w:sz w:val="32"/>
          <w:szCs w:val="32"/>
        </w:rPr>
        <w:t>项目绩效目标。包括总体目标和阶段性目标。</w:t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hint="eastAsia" w:ascii="仿宋" w:hAnsi="仿宋" w:eastAsia="仿宋" w:cs="仿宋"/>
          <w:kern w:val="2"/>
          <w:sz w:val="32"/>
          <w:szCs w:val="32"/>
          <w:lang w:val="en-US" w:eastAsia="zh-CN" w:bidi="ar-SA"/>
        </w:rPr>
      </w:pPr>
      <w:r>
        <w:rPr>
          <w:rFonts w:hint="eastAsia" w:ascii="仿宋" w:hAnsi="仿宋" w:eastAsia="仿宋" w:cs="仿宋"/>
          <w:kern w:val="2"/>
          <w:sz w:val="32"/>
          <w:szCs w:val="32"/>
          <w:lang w:val="en-US" w:eastAsia="zh-CN" w:bidi="ar-SA"/>
        </w:rPr>
        <w:t>县河长制办公室对财政专项经费使用高度重视，严格监管。从项目资金安排、项目实施情况到资金拨付，必须经过集体研究决定，严格履行报批手续，实行专款专用、专人负责、专账管理、及时拨付，充分发挥财政专项资金效益，确保项目实施效果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>二、绩效评价工作开展情况</w:t>
      </w:r>
    </w:p>
    <w:p>
      <w:pPr>
        <w:spacing w:line="540" w:lineRule="exact"/>
        <w:ind w:firstLine="640" w:firstLineChars="200"/>
        <w:rPr>
          <w:rFonts w:hint="eastAsia" w:eastAsia="仿宋_GB2312"/>
          <w:sz w:val="32"/>
          <w:szCs w:val="32"/>
        </w:rPr>
      </w:pPr>
      <w:r>
        <w:rPr>
          <w:rFonts w:hint="eastAsia" w:eastAsia="仿宋_GB2312"/>
          <w:sz w:val="32"/>
          <w:szCs w:val="32"/>
          <w:lang w:eastAsia="zh-CN"/>
        </w:rPr>
        <w:t>（</w:t>
      </w:r>
      <w:r>
        <w:rPr>
          <w:rFonts w:hint="eastAsia" w:eastAsia="仿宋_GB2312"/>
          <w:sz w:val="32"/>
          <w:szCs w:val="32"/>
        </w:rPr>
        <w:t>一</w:t>
      </w:r>
      <w:r>
        <w:rPr>
          <w:rFonts w:hint="eastAsia" w:eastAsia="仿宋_GB2312"/>
          <w:sz w:val="32"/>
          <w:szCs w:val="32"/>
          <w:lang w:eastAsia="zh-CN"/>
        </w:rPr>
        <w:t>）</w:t>
      </w:r>
      <w:r>
        <w:rPr>
          <w:rFonts w:hint="eastAsia" w:eastAsia="仿宋_GB2312"/>
          <w:sz w:val="32"/>
          <w:szCs w:val="32"/>
        </w:rPr>
        <w:t>绩效评价目的、对象和范围。</w:t>
      </w:r>
    </w:p>
    <w:p>
      <w:pPr>
        <w:spacing w:line="540" w:lineRule="exact"/>
        <w:ind w:firstLine="600" w:firstLineChars="200"/>
        <w:rPr>
          <w:rFonts w:hint="eastAsia" w:asciiTheme="minorEastAsia" w:hAnsiTheme="minorEastAsia"/>
          <w:sz w:val="30"/>
          <w:szCs w:val="30"/>
        </w:rPr>
      </w:pPr>
      <w:r>
        <w:rPr>
          <w:rFonts w:hint="eastAsia" w:cs="仿宋" w:asciiTheme="minorEastAsia" w:hAnsiTheme="minorEastAsia"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t>绩效评价</w:t>
      </w:r>
      <w:r>
        <w:rPr>
          <w:rFonts w:hint="eastAsia" w:asciiTheme="minorEastAsia" w:hAnsiTheme="minorEastAsia"/>
          <w:sz w:val="30"/>
          <w:szCs w:val="30"/>
        </w:rPr>
        <w:t>目的是为了加强</w:t>
      </w:r>
      <w:r>
        <w:rPr>
          <w:rFonts w:hint="eastAsia" w:asciiTheme="minorEastAsia" w:hAnsiTheme="minorEastAsia"/>
          <w:sz w:val="30"/>
          <w:szCs w:val="30"/>
          <w:lang w:eastAsia="zh-CN"/>
        </w:rPr>
        <w:t>水利建设</w:t>
      </w:r>
      <w:r>
        <w:rPr>
          <w:rFonts w:hint="eastAsia" w:asciiTheme="minorEastAsia" w:hAnsiTheme="minorEastAsia"/>
          <w:sz w:val="30"/>
          <w:szCs w:val="30"/>
        </w:rPr>
        <w:t>资金支出管理，提高财政资金使用效益。</w:t>
      </w:r>
    </w:p>
    <w:p>
      <w:pPr>
        <w:spacing w:line="540" w:lineRule="exact"/>
        <w:ind w:firstLine="640" w:firstLineChars="200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eastAsia="仿宋_GB2312"/>
          <w:sz w:val="32"/>
          <w:szCs w:val="32"/>
          <w:lang w:eastAsia="zh-CN"/>
        </w:rPr>
        <w:t>（</w:t>
      </w:r>
      <w:r>
        <w:rPr>
          <w:rFonts w:hint="eastAsia" w:eastAsia="仿宋_GB2312"/>
          <w:sz w:val="32"/>
          <w:szCs w:val="32"/>
        </w:rPr>
        <w:t>二</w:t>
      </w:r>
      <w:r>
        <w:rPr>
          <w:rFonts w:hint="eastAsia" w:eastAsia="仿宋_GB2312"/>
          <w:sz w:val="32"/>
          <w:szCs w:val="32"/>
          <w:lang w:eastAsia="zh-CN"/>
        </w:rPr>
        <w:t>）</w:t>
      </w:r>
      <w:r>
        <w:rPr>
          <w:rFonts w:hint="eastAsia" w:eastAsia="仿宋_GB2312"/>
          <w:sz w:val="32"/>
          <w:szCs w:val="32"/>
        </w:rPr>
        <w:t>绩效评价原则、评价指标体系</w:t>
      </w:r>
      <w:r>
        <w:rPr>
          <w:rFonts w:hint="eastAsia" w:eastAsia="仿宋_GB2312"/>
          <w:sz w:val="32"/>
          <w:szCs w:val="32"/>
          <w:lang w:eastAsia="zh-CN"/>
        </w:rPr>
        <w:t>（</w:t>
      </w:r>
      <w:r>
        <w:rPr>
          <w:rFonts w:hint="eastAsia" w:eastAsia="仿宋_GB2312"/>
          <w:sz w:val="32"/>
          <w:szCs w:val="32"/>
        </w:rPr>
        <w:t>附表说明</w:t>
      </w:r>
      <w:r>
        <w:rPr>
          <w:rFonts w:hint="eastAsia" w:eastAsia="仿宋_GB2312"/>
          <w:sz w:val="32"/>
          <w:szCs w:val="32"/>
          <w:lang w:eastAsia="zh-CN"/>
        </w:rPr>
        <w:t>）</w:t>
      </w:r>
      <w:r>
        <w:rPr>
          <w:rFonts w:hint="eastAsia" w:eastAsia="仿宋_GB2312"/>
          <w:sz w:val="32"/>
          <w:szCs w:val="32"/>
        </w:rPr>
        <w:t>、评价</w:t>
      </w:r>
      <w:r>
        <w:rPr>
          <w:rFonts w:hint="eastAsia" w:eastAsia="仿宋_GB2312"/>
          <w:sz w:val="32"/>
          <w:szCs w:val="32"/>
          <w:lang w:val="en-US" w:eastAsia="zh-CN"/>
        </w:rPr>
        <w:t>方法、评价标准等。</w:t>
      </w:r>
    </w:p>
    <w:p>
      <w:pPr>
        <w:spacing w:line="540" w:lineRule="exact"/>
        <w:ind w:firstLine="640" w:firstLineChars="200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根据项目实际，再结合行业特点，进一步完善、量化、细化个性指标，形成本项目的指标体系。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hint="eastAsia" w:eastAsia="仿宋_GB2312"/>
          <w:sz w:val="32"/>
          <w:szCs w:val="32"/>
        </w:rPr>
      </w:pPr>
      <w:r>
        <w:rPr>
          <w:rFonts w:hint="eastAsia" w:eastAsia="仿宋_GB2312"/>
          <w:sz w:val="32"/>
          <w:szCs w:val="32"/>
          <w:lang w:eastAsia="zh-CN"/>
        </w:rPr>
        <w:t>（</w:t>
      </w:r>
      <w:r>
        <w:rPr>
          <w:rFonts w:hint="eastAsia" w:eastAsia="仿宋_GB2312"/>
          <w:sz w:val="32"/>
          <w:szCs w:val="32"/>
        </w:rPr>
        <w:t>三</w:t>
      </w:r>
      <w:r>
        <w:rPr>
          <w:rFonts w:hint="eastAsia" w:eastAsia="仿宋_GB2312"/>
          <w:sz w:val="32"/>
          <w:szCs w:val="32"/>
          <w:lang w:eastAsia="zh-CN"/>
        </w:rPr>
        <w:t>）</w:t>
      </w:r>
      <w:r>
        <w:rPr>
          <w:rFonts w:hint="eastAsia" w:eastAsia="仿宋_GB2312"/>
          <w:sz w:val="32"/>
          <w:szCs w:val="32"/>
        </w:rPr>
        <w:t>绩效评价工作过程。</w:t>
      </w:r>
    </w:p>
    <w:p>
      <w:pPr>
        <w:spacing w:line="540" w:lineRule="exact"/>
        <w:ind w:firstLine="640" w:firstLineChars="200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县河长办将严格规范财政河长制专项资金的使用，放大专项资金“四两拨千斤”的激励效应，充分发挥财政专项资金效率。确保河湖日常保洁、幸福河湖建设、“支部建在河道上”工作出色出彩，治水效率在真抓实干中彰显，让河湖长制工作迈上新台阶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>三、综合评价情况及评价结论</w:t>
      </w:r>
    </w:p>
    <w:p>
      <w:pPr>
        <w:pStyle w:val="2"/>
        <w:ind w:firstLine="640" w:firstLineChars="200"/>
        <w:rPr>
          <w:rFonts w:hint="eastAsia" w:ascii="仿宋" w:hAnsi="仿宋" w:eastAsia="仿宋" w:cs="仿宋"/>
          <w:kern w:val="2"/>
          <w:sz w:val="32"/>
          <w:szCs w:val="32"/>
          <w:lang w:val="en-US" w:eastAsia="zh-CN" w:bidi="ar-SA"/>
        </w:rPr>
      </w:pPr>
      <w:r>
        <w:rPr>
          <w:rFonts w:hint="eastAsia" w:ascii="仿宋" w:hAnsi="仿宋" w:eastAsia="仿宋" w:cs="仿宋"/>
          <w:kern w:val="2"/>
          <w:sz w:val="32"/>
          <w:szCs w:val="32"/>
          <w:lang w:val="en-US" w:eastAsia="zh-CN" w:bidi="ar-SA"/>
        </w:rPr>
        <w:t xml:space="preserve">按照县财政局有关文件要求，我们对2023年河湖长制工作专项资金使用绩效进行了自评，填写了《华容县财政支出项目绩效评价自评报告》、《支出项目绩效自评表》。自评得分98分，考核等级为“优秀”。 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>四、绩效评价指标分析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hint="eastAsia" w:eastAsia="仿宋_GB2312"/>
          <w:sz w:val="32"/>
          <w:szCs w:val="32"/>
        </w:rPr>
      </w:pPr>
      <w:r>
        <w:rPr>
          <w:rFonts w:hint="eastAsia" w:eastAsia="仿宋_GB2312"/>
          <w:sz w:val="32"/>
          <w:szCs w:val="32"/>
          <w:lang w:eastAsia="zh-CN"/>
        </w:rPr>
        <w:t>（</w:t>
      </w:r>
      <w:r>
        <w:rPr>
          <w:rFonts w:hint="eastAsia" w:eastAsia="仿宋_GB2312"/>
          <w:sz w:val="32"/>
          <w:szCs w:val="32"/>
        </w:rPr>
        <w:t>一</w:t>
      </w:r>
      <w:r>
        <w:rPr>
          <w:rFonts w:hint="eastAsia" w:eastAsia="仿宋_GB2312"/>
          <w:sz w:val="32"/>
          <w:szCs w:val="32"/>
          <w:lang w:eastAsia="zh-CN"/>
        </w:rPr>
        <w:t>）</w:t>
      </w:r>
      <w:r>
        <w:rPr>
          <w:rFonts w:hint="eastAsia" w:eastAsia="仿宋_GB2312"/>
          <w:sz w:val="32"/>
          <w:szCs w:val="32"/>
        </w:rPr>
        <w:t>项目决策情况。</w:t>
      </w:r>
    </w:p>
    <w:p>
      <w:pPr>
        <w:pStyle w:val="2"/>
        <w:ind w:firstLine="640" w:firstLineChars="200"/>
        <w:rPr>
          <w:rFonts w:hint="eastAsia" w:ascii="仿宋" w:hAnsi="仿宋" w:eastAsia="仿宋" w:cs="仿宋"/>
          <w:kern w:val="2"/>
          <w:sz w:val="32"/>
          <w:szCs w:val="32"/>
          <w:lang w:val="en-US" w:eastAsia="zh-CN" w:bidi="ar-SA"/>
        </w:rPr>
      </w:pPr>
      <w:r>
        <w:rPr>
          <w:rFonts w:hint="eastAsia" w:ascii="仿宋" w:hAnsi="仿宋" w:eastAsia="仿宋" w:cs="仿宋"/>
          <w:kern w:val="2"/>
          <w:sz w:val="32"/>
          <w:szCs w:val="32"/>
          <w:lang w:val="en-US" w:eastAsia="zh-CN" w:bidi="ar-SA"/>
        </w:rPr>
        <w:t>通过河长制专项资金，做好河湖长制工作宣传发动，建立党建护水新体系，打造幸福河湖，开好总河长现场会，为打造河湖长制亮点工作提供了坚实保障。</w:t>
      </w:r>
    </w:p>
    <w:p>
      <w:pPr>
        <w:keepNext w:val="0"/>
        <w:keepLines w:val="0"/>
        <w:pageBreakBefore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hint="eastAsia" w:eastAsia="仿宋_GB2312"/>
          <w:sz w:val="32"/>
          <w:szCs w:val="32"/>
        </w:rPr>
      </w:pPr>
      <w:r>
        <w:rPr>
          <w:rFonts w:hint="eastAsia" w:eastAsia="仿宋_GB2312"/>
          <w:sz w:val="32"/>
          <w:szCs w:val="32"/>
        </w:rPr>
        <w:t>项目过程情况。</w:t>
      </w:r>
    </w:p>
    <w:p>
      <w:pPr>
        <w:pStyle w:val="2"/>
        <w:ind w:firstLine="640" w:firstLineChars="200"/>
        <w:rPr>
          <w:rFonts w:hint="eastAsia" w:ascii="仿宋" w:hAnsi="仿宋" w:eastAsia="仿宋" w:cs="仿宋"/>
          <w:kern w:val="2"/>
          <w:sz w:val="32"/>
          <w:szCs w:val="32"/>
          <w:lang w:val="en-US" w:eastAsia="zh-CN" w:bidi="ar-SA"/>
        </w:rPr>
      </w:pPr>
      <w:r>
        <w:rPr>
          <w:rFonts w:hint="eastAsia" w:ascii="仿宋" w:hAnsi="仿宋" w:eastAsia="仿宋" w:cs="仿宋"/>
          <w:kern w:val="2"/>
          <w:sz w:val="32"/>
          <w:szCs w:val="32"/>
          <w:lang w:val="en-US" w:eastAsia="zh-CN" w:bidi="ar-SA"/>
        </w:rPr>
        <w:t>县河湖长制工作真抓实干出成绩，华容县荣获2023年度推动河湖长制工作成效明显优秀县，让河湖长制工作更加有干劲。通过一系列举措，全县河湖环境面貌将显著改善。</w:t>
      </w:r>
    </w:p>
    <w:p>
      <w:pPr>
        <w:keepNext w:val="0"/>
        <w:keepLines w:val="0"/>
        <w:pageBreakBefore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left="0" w:leftChars="0" w:firstLine="640" w:firstLineChars="200"/>
        <w:textAlignment w:val="auto"/>
        <w:rPr>
          <w:rFonts w:hint="eastAsia" w:eastAsia="仿宋_GB2312"/>
          <w:sz w:val="32"/>
          <w:szCs w:val="32"/>
        </w:rPr>
      </w:pPr>
      <w:r>
        <w:rPr>
          <w:rFonts w:hint="eastAsia" w:eastAsia="仿宋_GB2312"/>
          <w:sz w:val="32"/>
          <w:szCs w:val="32"/>
        </w:rPr>
        <w:t>项目产出情况。</w:t>
      </w:r>
    </w:p>
    <w:p>
      <w:pPr>
        <w:pStyle w:val="2"/>
        <w:ind w:firstLine="640" w:firstLineChars="200"/>
        <w:rPr>
          <w:rFonts w:hint="eastAsia" w:ascii="仿宋" w:hAnsi="仿宋" w:eastAsia="仿宋" w:cs="仿宋"/>
          <w:kern w:val="2"/>
          <w:sz w:val="32"/>
          <w:szCs w:val="32"/>
          <w:lang w:val="en-US" w:eastAsia="zh-CN" w:bidi="ar-SA"/>
        </w:rPr>
      </w:pPr>
      <w:r>
        <w:rPr>
          <w:rFonts w:hint="eastAsia" w:ascii="仿宋" w:hAnsi="仿宋" w:eastAsia="仿宋" w:cs="仿宋"/>
          <w:kern w:val="2"/>
          <w:sz w:val="32"/>
          <w:szCs w:val="32"/>
          <w:lang w:val="en-US" w:eastAsia="zh-CN" w:bidi="ar-SA"/>
        </w:rPr>
        <w:t>创建样板河湖。通过河湖水环境整治，河湖面貌明显改善和提升。全县各乡镇每年打造乡镇样板河湖，其中治河渡镇严家河获评湖南省美丽河湖、东山水库、华一水库获评岳阳市美丽河湖。长江岸线整治、华容河突出问题整治和东湖水系水环境综合整治取得了显著成效，“河畅、水清、岸绿、景美”画卷徐徐展开，增强了广大群众良好生态环境获得感、幸福感。</w:t>
      </w:r>
    </w:p>
    <w:p>
      <w:pPr>
        <w:pStyle w:val="2"/>
        <w:rPr>
          <w:rFonts w:hint="eastAsia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hint="eastAsia" w:ascii="仿宋" w:hAnsi="仿宋" w:eastAsia="仿宋" w:cs="仿宋"/>
          <w:kern w:val="2"/>
          <w:sz w:val="32"/>
          <w:szCs w:val="32"/>
          <w:lang w:val="en-US" w:eastAsia="zh-CN" w:bidi="ar-SA"/>
        </w:rPr>
      </w:pPr>
      <w:r>
        <w:rPr>
          <w:rFonts w:hint="eastAsia" w:ascii="仿宋" w:hAnsi="仿宋" w:eastAsia="仿宋" w:cs="仿宋"/>
          <w:kern w:val="2"/>
          <w:sz w:val="32"/>
          <w:szCs w:val="32"/>
          <w:lang w:val="en-US" w:eastAsia="zh-CN" w:bidi="ar-SA"/>
        </w:rPr>
        <w:t>（四）项目效益情况。</w:t>
      </w:r>
    </w:p>
    <w:p>
      <w:pPr>
        <w:pStyle w:val="2"/>
        <w:ind w:firstLine="640" w:firstLineChars="200"/>
        <w:rPr>
          <w:rFonts w:hint="eastAsia" w:ascii="仿宋" w:hAnsi="仿宋" w:eastAsia="仿宋" w:cs="仿宋"/>
          <w:kern w:val="2"/>
          <w:sz w:val="32"/>
          <w:szCs w:val="32"/>
          <w:lang w:val="en-US" w:eastAsia="zh-CN" w:bidi="ar-SA"/>
        </w:rPr>
      </w:pPr>
      <w:r>
        <w:rPr>
          <w:rFonts w:hint="eastAsia" w:ascii="仿宋" w:hAnsi="仿宋" w:eastAsia="仿宋" w:cs="仿宋"/>
          <w:kern w:val="2"/>
          <w:sz w:val="32"/>
          <w:szCs w:val="32"/>
          <w:lang w:val="en-US" w:eastAsia="zh-CN" w:bidi="ar-SA"/>
        </w:rPr>
        <w:t>改善河湖水环境。通过开展河湖“清四乱”和常态保洁，清除了侵占河湖库渠岸线的违章违法建筑物、阻水物；清除了河道渠道网箱、拦网；清理了沟渠淤泥；及时清除沟渠水草杂物，增加了河湖库渠容量和水体流速，提高了排涝能力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>五、主要经验及做法、存在的问题及原因分析</w:t>
      </w:r>
    </w:p>
    <w:p>
      <w:pPr>
        <w:spacing w:line="540" w:lineRule="exact"/>
        <w:ind w:firstLine="640" w:firstLineChars="200"/>
        <w:rPr>
          <w:rFonts w:hint="eastAsia" w:ascii="黑体" w:hAnsi="黑体" w:eastAsia="黑体"/>
          <w:sz w:val="32"/>
          <w:szCs w:val="32"/>
        </w:rPr>
      </w:pPr>
      <w:r>
        <w:rPr>
          <w:rFonts w:hint="eastAsia" w:ascii="黑体" w:hAnsi="黑体" w:eastAsia="黑体"/>
          <w:sz w:val="32"/>
          <w:szCs w:val="32"/>
          <w:lang w:eastAsia="zh-CN"/>
        </w:rPr>
        <w:t>（一）</w:t>
      </w:r>
      <w:r>
        <w:rPr>
          <w:rFonts w:hint="eastAsia" w:ascii="黑体" w:hAnsi="黑体" w:eastAsia="黑体"/>
          <w:sz w:val="32"/>
          <w:szCs w:val="32"/>
        </w:rPr>
        <w:t>履职尽责，河湖长制迈上新台阶</w:t>
      </w:r>
    </w:p>
    <w:p>
      <w:pPr>
        <w:spacing w:line="540" w:lineRule="exact"/>
        <w:ind w:firstLine="640" w:firstLineChars="200"/>
        <w:rPr>
          <w:rFonts w:hint="eastAsia" w:ascii="仿宋_GB2312" w:eastAsia="仿宋_GB2312"/>
          <w:sz w:val="32"/>
          <w:szCs w:val="32"/>
        </w:rPr>
      </w:pPr>
      <w:r>
        <w:rPr>
          <w:rFonts w:hint="eastAsia" w:ascii="仿宋" w:hAnsi="仿宋" w:eastAsia="仿宋" w:cs="仿宋"/>
          <w:kern w:val="2"/>
          <w:sz w:val="32"/>
          <w:szCs w:val="32"/>
          <w:lang w:val="en-US" w:eastAsia="zh-CN" w:bidi="ar-SA"/>
        </w:rPr>
        <w:t>加强河湖长制组织领导，调整完善了县、乡、村三级河湖长体系，实行双总河长制，党政同责，由党政主要领导担任双总河长，全县河湖长共252名，辖区内4条省管、市管河湖，12条县管河湖由县级领导担任河湖长。一是突出巡河抓履职。今年，县委、县政府召开全县总河长会1次，县政府召开河湖长制工作推进会3次，发布县总河长令3个。落实水利部《河长湖长履职规范》，印发《关于务实巡河提升履职质效的通知》，压实河长管河治水职责。明确望、问、查、改“巡河四步法”和“五有”“六有”标准，做到脚踏实地尽责巡、水域岸上仔细查、问题交办闭环改。2022年，全县三级河湖长巡河湖8568次，县乡两级河湖长巡河湖APP打卡率100%。出台《华容县河长湖长履职评议办法》，组织县人大代表、政协委员、民间河长、社会人士，对乡级河湖长履职情况评议2次，开展了县级对乡级、乡级对村级河湖长工作评价，有效推动了河湖长履职尽责。二是夯实基础抓能效。加强河长办标准化建设，提升组织协调、督办落实能力。进一步健全了“一办两员”（河长办、办事员、保洁员）工作体系，提高了“六有”（有机构、有人员、有场所、有制度、有经费、有设备）标准，做到了乡镇河长办统一设在乡镇机关、河长办干事统一由乡镇政府行文明确、办公室内外统一宣传内容“三个统一”。各乡镇完善了河湖保洁制度，统筹农村人居环境河湖环境保洁工作，安排了专职保洁人员，各村将河湖长制纳入村规民约。组织乡镇和县河委会成员单位分管负责人、干事、联络员集中学习培训，“充电”赋能。我县乡镇河长办标准化建设工作在2022年全市总河长会议作了典型发言。三是严格督查抓落实。将河湖长制工作纳入县委、县政府绩效考核，制定并实施常态暗访督查、季度督查讲评、年度考核总评机制。今年，县河长办成立暗访督查专班，实行专人专职专设备、暗访全事项全覆盖全日制。暗访督查天天“在线”，发现问题“随手拍”，发到河湖长制工作微信群，及时通报。发现突出问题36个，摄制的暗访视频在全县总河长会上曝光，对问题整改不力的13名责任人员，县纪委监委进行了问责处理，有力推进了河湖长制走深走实。</w:t>
      </w:r>
    </w:p>
    <w:p>
      <w:pPr>
        <w:spacing w:line="540" w:lineRule="exact"/>
        <w:ind w:firstLine="640" w:firstLineChars="200"/>
        <w:rPr>
          <w:rFonts w:hint="eastAsia" w:ascii="黑体" w:hAnsi="黑体" w:eastAsia="黑体"/>
          <w:sz w:val="32"/>
          <w:szCs w:val="32"/>
        </w:rPr>
      </w:pPr>
      <w:r>
        <w:rPr>
          <w:rFonts w:hint="eastAsia" w:ascii="黑体" w:hAnsi="黑体" w:eastAsia="黑体"/>
          <w:sz w:val="32"/>
          <w:szCs w:val="32"/>
          <w:lang w:eastAsia="zh-CN"/>
        </w:rPr>
        <w:t>（二）</w:t>
      </w:r>
      <w:r>
        <w:rPr>
          <w:rFonts w:hint="eastAsia" w:ascii="黑体" w:hAnsi="黑体" w:eastAsia="黑体"/>
          <w:sz w:val="32"/>
          <w:szCs w:val="32"/>
        </w:rPr>
        <w:t>攻坚克难，河湖治理取得新成效</w:t>
      </w:r>
    </w:p>
    <w:p>
      <w:pPr>
        <w:spacing w:line="540" w:lineRule="exact"/>
        <w:ind w:firstLine="640" w:firstLineChars="200"/>
        <w:rPr>
          <w:rFonts w:hint="eastAsia" w:ascii="仿宋" w:hAnsi="仿宋" w:eastAsia="仿宋" w:cs="仿宋"/>
          <w:kern w:val="2"/>
          <w:sz w:val="32"/>
          <w:szCs w:val="32"/>
          <w:lang w:val="en-US" w:eastAsia="zh-CN" w:bidi="ar-SA"/>
        </w:rPr>
      </w:pPr>
      <w:r>
        <w:rPr>
          <w:rFonts w:hint="eastAsia" w:ascii="仿宋" w:hAnsi="仿宋" w:eastAsia="仿宋" w:cs="仿宋"/>
          <w:kern w:val="2"/>
          <w:sz w:val="32"/>
          <w:szCs w:val="32"/>
          <w:lang w:val="en-US" w:eastAsia="zh-CN" w:bidi="ar-SA"/>
        </w:rPr>
        <w:t>一是碍洪问题严查严治。落实省第8号市第13号总河长令，开展妨碍河道行洪突出问题排查整治，明确排查责任主体，排查做到横向到边、纵向到底、无死角、全覆盖。以“时时放心不下”的责任感，组织核查专班，全方位开展巡查，全县共排查出17个问题。组织相关职能部门和专家对碍洪问题逐个论证，存在行洪安全隐患的10个问题实行了立行立改，没有防洪安全隐患的2个问题落实管控措施，建立了问题、任务、责任“三个清单”，实行闭环管控。二是“清河净滩”保洁有力有效。以清理漂浮物、阻水物、垃圾、废弃物为重点，对河湖库渠塘全面开展“清河净滩”，全县组织志愿者宣传和开展“清河净滩”保洁行动32次。共投入劳动力23300多人次，出动车辆1900多台次，打捞漂浮物19600多吨，清理垃圾580多吨，清理淤泥8730多立方，清理河道渠道730多公里、大小湖泊29个。在治河渡辖区华容河重点堤段投入10多万元安装铁丝网，有效解决了牛羊上堤污染水质的问题。三是小微水体全治群治。印发《华容县全面推行“微河长”制实施方案》，招募“微河长”1898名，小微水体管护全覆盖，综合施治“一乡一方案”。在全县全面开展小微水体排查摸底建档，制定方案列出整治任务、措施、时限、责任人四张清单。实施“一渠一策”，出台了《入河入湖渠道小微水体整治工作方案》《入河入湖渠道生态治理技术方案》。指导各乡镇连村成片打造1个小微水体整治示范片，为小微水体整治打标立样；按照“自己的渠塘自己管护”原则，建立宅间渠塘跟宅走、田间渠塘跟田走、林间渠塘跟林走、其他渠塘跟村走的“四走”管护责任制，有效破解了小微水体管护难题。四是交办问题立行立改。今年省市交办我县9个问题和县本级暗访发现的36个问题，均以县总河长令向相关乡镇和县直单位交办，县河长办跟踪督办，省市交办问题整改销号率100%。对水利部河湖长制检查组交办问题，立行立改，并举一反三，已按要求进行整改。</w:t>
      </w:r>
    </w:p>
    <w:p>
      <w:pPr>
        <w:spacing w:line="540" w:lineRule="exact"/>
        <w:ind w:firstLine="640" w:firstLineChars="200"/>
        <w:rPr>
          <w:rFonts w:hint="eastAsia" w:ascii="黑体" w:hAnsi="黑体" w:eastAsia="黑体"/>
          <w:sz w:val="32"/>
          <w:szCs w:val="32"/>
        </w:rPr>
      </w:pPr>
      <w:r>
        <w:rPr>
          <w:rFonts w:hint="eastAsia" w:ascii="黑体" w:hAnsi="黑体" w:eastAsia="黑体"/>
          <w:sz w:val="32"/>
          <w:szCs w:val="32"/>
          <w:lang w:eastAsia="zh-CN"/>
        </w:rPr>
        <w:t>（三）</w:t>
      </w:r>
      <w:r>
        <w:rPr>
          <w:rFonts w:hint="eastAsia" w:ascii="黑体" w:hAnsi="黑体" w:eastAsia="黑体"/>
          <w:sz w:val="32"/>
          <w:szCs w:val="32"/>
        </w:rPr>
        <w:t>真抓实干，河湖保护开创新局面</w:t>
      </w:r>
    </w:p>
    <w:p>
      <w:pPr>
        <w:spacing w:line="540" w:lineRule="exact"/>
        <w:ind w:firstLine="640" w:firstLineChars="200"/>
        <w:rPr>
          <w:rFonts w:hint="eastAsia" w:ascii="仿宋" w:hAnsi="仿宋" w:eastAsia="仿宋" w:cs="仿宋"/>
          <w:kern w:val="2"/>
          <w:sz w:val="32"/>
          <w:szCs w:val="32"/>
          <w:lang w:val="en-US" w:eastAsia="zh-CN" w:bidi="ar-SA"/>
        </w:rPr>
      </w:pPr>
      <w:r>
        <w:rPr>
          <w:rFonts w:hint="eastAsia" w:ascii="仿宋" w:hAnsi="仿宋" w:eastAsia="仿宋" w:cs="仿宋"/>
          <w:kern w:val="2"/>
          <w:sz w:val="32"/>
          <w:szCs w:val="32"/>
          <w:lang w:val="en-US" w:eastAsia="zh-CN" w:bidi="ar-SA"/>
        </w:rPr>
        <w:t>一是推进跨省界河流联治。今年，我们与华容河上游的湖北省石首市、下游的君山区对接协商，建立华容河联防联控联治机制，湖南湖北两省三县市区签订了协作协议，开启了华容河由“分段治”到“全域治”新局面，推动华容河河长制工作迈上新台阶。二是深化部门协作联动。深化“河长+检察长”“河长+警长”协作机制。县检察院在县河长办设立“生态环境检察室”，参与巡河或处理涉水问题的警长（员）158人次，检察长（官）与县级河长巡河64次，县检察院向有关乡镇发出生态环境保护检察建议4个，向县人民法院提起公益诉讼案件4起，促进了河湖长制法制化，提升了河湖管护司法效能。三是创建省级示范河流。结合华容河治理项目，实施五大工程，创建省级示范河。河道治理工程方面，治理河道总长41.6公里，治理堤防总长56.525公里，完成清基7.75万方，粘土还坡7.84万方，块石反压平台8.46万方，恢复并优化了河道岸线形态。景观绿化工程方面，县城区河段栽植观赏植物，草皮护坡18.5万平方米，硬化黑化堤面11000米，架设路灯181杆5430米。滨水休闲工程方面，打造居民亲水空间，在城区两岸各建有1个大型滨水广场，修建游步道栈道4300米。河长制文化工程方面，在示范河核心区修建了1个河长制文化广场和1个河长制主题公园，通过体现河长制元素的彩绘、涂鸦和宣传窗，使河长制潜移默化，深入人心。社会群治工程方面，建立示范河长效管护机制，示范河段各村党支部设立“党员河长”，各社区组织志愿者认领管护河段竖立管护责任牌，公示政府河长、党员河长和民间河长管护区段，落实管护责任。目前，华容河省级示范河流创建任务圆满完成。四是建设美丽河湖亮点。出台细则“立标”，县河长办制订美丽河湖创建标准，各乡镇编制详细的创建方案。推广典型“树标”，组织参观学习湖南省“美丽河湖”、治河渡镇严家河、东山水库，全县对标对表开展美丽河湖亮点建设。务实创建“达标”，全县美丽河湖亮点建设做到有方案、有措施、有经费、有成效“四有”。把美丽河湖亮点建设纳入乡镇河湖长制工作重点督查考核内容，年底组织验收，对验收不合格的，挂牌督办，限期达标。今年全县15个美丽河湖建设亮点纷呈，圆满完成了省、市部署安排的河湖长制各项工作任务。</w:t>
      </w:r>
    </w:p>
    <w:p>
      <w:pPr>
        <w:pStyle w:val="2"/>
        <w:rPr>
          <w:rFonts w:hint="eastAsia"/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jc w:val="both"/>
        <w:textAlignment w:val="auto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  <w:lang w:eastAsia="zh-CN"/>
        </w:rPr>
        <w:t>六</w:t>
      </w:r>
      <w:r>
        <w:rPr>
          <w:rFonts w:hint="eastAsia" w:ascii="黑体" w:hAnsi="黑体" w:eastAsia="黑体" w:cs="黑体"/>
          <w:sz w:val="32"/>
          <w:szCs w:val="32"/>
        </w:rPr>
        <w:t>、其他需要说明的问题</w:t>
      </w:r>
    </w:p>
    <w:p>
      <w:pPr>
        <w:pStyle w:val="2"/>
        <w:rPr>
          <w:rFonts w:hint="eastAsia" w:eastAsia="黑体"/>
          <w:lang w:val="en-US" w:eastAsia="zh-CN"/>
        </w:rPr>
      </w:pP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 xml:space="preserve">        无</w:t>
      </w:r>
    </w:p>
    <w:p>
      <w:pPr>
        <w:rPr>
          <w:rFonts w:hint="eastAsia" w:ascii="黑体" w:hAnsi="黑体" w:eastAsia="黑体" w:cs="黑体"/>
          <w:sz w:val="30"/>
          <w:szCs w:val="30"/>
        </w:rPr>
      </w:pPr>
      <w:r>
        <w:rPr>
          <w:rFonts w:hint="eastAsia" w:ascii="黑体" w:hAnsi="黑体" w:eastAsia="黑体" w:cs="黑体"/>
          <w:sz w:val="30"/>
          <w:szCs w:val="30"/>
        </w:rPr>
        <w:br w:type="page"/>
      </w:r>
    </w:p>
    <w:p>
      <w:pPr>
        <w:spacing w:before="181" w:line="171" w:lineRule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附件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6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158" w:afterLines="50" w:line="580" w:lineRule="exact"/>
        <w:ind w:left="0"/>
        <w:jc w:val="center"/>
        <w:textAlignment w:val="auto"/>
        <w:rPr>
          <w:rFonts w:hint="eastAsia" w:ascii="方正小标宋简体" w:hAnsi="方正小标宋简体" w:eastAsia="方正小标宋简体" w:cs="方正小标宋简体"/>
          <w:b/>
          <w:bCs/>
          <w:sz w:val="44"/>
          <w:szCs w:val="44"/>
          <w:lang w:eastAsia="zh-CN"/>
        </w:rPr>
      </w:pPr>
      <w:r>
        <w:rPr>
          <w:rFonts w:hint="eastAsia" w:ascii="方正小标宋简体" w:hAnsi="方正小标宋简体" w:eastAsia="方正小标宋简体" w:cs="方正小标宋简体"/>
          <w:spacing w:val="7"/>
          <w:sz w:val="44"/>
          <w:szCs w:val="44"/>
        </w:rPr>
        <w:t>2023年度</w:t>
      </w:r>
      <w:r>
        <w:rPr>
          <w:rFonts w:hint="eastAsia" w:ascii="方正小标宋简体" w:hAnsi="方正小标宋简体" w:eastAsia="方正小标宋简体" w:cs="方正小标宋简体"/>
          <w:b/>
          <w:bCs/>
          <w:spacing w:val="7"/>
          <w:sz w:val="44"/>
          <w:szCs w:val="44"/>
          <w:lang w:eastAsia="zh-CN"/>
        </w:rPr>
        <w:t>水利局</w:t>
      </w:r>
      <w:r>
        <w:rPr>
          <w:rFonts w:hint="eastAsia" w:ascii="方正小标宋简体" w:hAnsi="方正小标宋简体" w:eastAsia="方正小标宋简体" w:cs="方正小标宋简体"/>
          <w:spacing w:val="7"/>
          <w:sz w:val="44"/>
          <w:szCs w:val="44"/>
          <w:lang w:eastAsia="zh-CN"/>
        </w:rPr>
        <w:t>部门</w:t>
      </w:r>
      <w:r>
        <w:rPr>
          <w:rFonts w:hint="eastAsia" w:ascii="方正小标宋简体" w:hAnsi="方正小标宋简体" w:eastAsia="方正小标宋简体" w:cs="方正小标宋简体"/>
          <w:b/>
          <w:bCs/>
          <w:sz w:val="44"/>
          <w:szCs w:val="44"/>
          <w:lang w:eastAsia="zh-CN"/>
        </w:rPr>
        <w:t>河湖长制专</w:t>
      </w:r>
      <w:r>
        <w:rPr>
          <w:rFonts w:hint="eastAsia" w:ascii="方正小标宋简体" w:hAnsi="方正小标宋简体" w:eastAsia="方正小标宋简体" w:cs="方正小标宋简体"/>
          <w:b w:val="0"/>
          <w:bCs w:val="0"/>
          <w:sz w:val="44"/>
          <w:szCs w:val="44"/>
          <w:lang w:eastAsia="zh-CN"/>
        </w:rPr>
        <w:t>项</w:t>
      </w:r>
      <w:r>
        <w:rPr>
          <w:rFonts w:hint="eastAsia" w:ascii="方正小标宋简体" w:hAnsi="方正小标宋简体" w:eastAsia="方正小标宋简体" w:cs="方正小标宋简体"/>
          <w:b/>
          <w:bCs/>
          <w:sz w:val="44"/>
          <w:szCs w:val="44"/>
          <w:lang w:eastAsia="zh-CN"/>
        </w:rPr>
        <w:t>资金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158" w:afterLines="50" w:line="580" w:lineRule="exact"/>
        <w:ind w:left="0"/>
        <w:jc w:val="center"/>
        <w:textAlignment w:val="auto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pacing w:val="7"/>
          <w:sz w:val="44"/>
          <w:szCs w:val="44"/>
        </w:rPr>
        <w:t>项目支出绩效自评表</w:t>
      </w:r>
    </w:p>
    <w:tbl>
      <w:tblPr>
        <w:tblStyle w:val="15"/>
        <w:tblW w:w="8543" w:type="dxa"/>
        <w:tblInd w:w="0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904"/>
        <w:gridCol w:w="900"/>
        <w:gridCol w:w="1104"/>
        <w:gridCol w:w="941"/>
        <w:gridCol w:w="976"/>
        <w:gridCol w:w="1102"/>
        <w:gridCol w:w="598"/>
        <w:gridCol w:w="702"/>
        <w:gridCol w:w="1316"/>
      </w:tblGrid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2908" w:type="dxa"/>
            <w:gridSpan w:val="3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项目支出名称</w:t>
            </w:r>
          </w:p>
        </w:tc>
        <w:tc>
          <w:tcPr>
            <w:tcW w:w="5635" w:type="dxa"/>
            <w:gridSpan w:val="6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eastAsia="仿宋_GB2312" w:cs="Times New Roman"/>
                <w:color w:val="000000"/>
                <w:sz w:val="20"/>
                <w:szCs w:val="20"/>
                <w:lang w:eastAsia="zh-CN"/>
              </w:rPr>
              <w:t>河湖长制工作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904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主管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部门</w:t>
            </w:r>
          </w:p>
        </w:tc>
        <w:tc>
          <w:tcPr>
            <w:tcW w:w="3921" w:type="dxa"/>
            <w:gridSpan w:val="4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eastAsia="仿宋_GB2312" w:cs="Times New Roman"/>
                <w:color w:val="000000"/>
                <w:sz w:val="20"/>
                <w:szCs w:val="20"/>
                <w:lang w:eastAsia="zh-CN"/>
              </w:rPr>
              <w:t>华容县河长制工作委员会办公室</w:t>
            </w:r>
          </w:p>
        </w:tc>
        <w:tc>
          <w:tcPr>
            <w:tcW w:w="1102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实施单位</w:t>
            </w:r>
          </w:p>
        </w:tc>
        <w:tc>
          <w:tcPr>
            <w:tcW w:w="2616" w:type="dxa"/>
            <w:gridSpan w:val="3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  <w:t>华容县水利局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904" w:type="dxa"/>
            <w:vMerge w:val="restart"/>
            <w:tcBorders>
              <w:bottom w:val="nil"/>
            </w:tcBorders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项目资金（万元）</w:t>
            </w:r>
          </w:p>
        </w:tc>
        <w:tc>
          <w:tcPr>
            <w:tcW w:w="2004" w:type="dxa"/>
            <w:gridSpan w:val="2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941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年初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预算数</w:t>
            </w:r>
          </w:p>
        </w:tc>
        <w:tc>
          <w:tcPr>
            <w:tcW w:w="976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全年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预算数</w:t>
            </w:r>
          </w:p>
        </w:tc>
        <w:tc>
          <w:tcPr>
            <w:tcW w:w="1102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全年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执行数</w:t>
            </w:r>
          </w:p>
        </w:tc>
        <w:tc>
          <w:tcPr>
            <w:tcW w:w="598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  <w:t>分值</w:t>
            </w:r>
          </w:p>
        </w:tc>
        <w:tc>
          <w:tcPr>
            <w:tcW w:w="702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执行率</w:t>
            </w:r>
          </w:p>
        </w:tc>
        <w:tc>
          <w:tcPr>
            <w:tcW w:w="1316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自评得分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904" w:type="dxa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2004" w:type="dxa"/>
            <w:gridSpan w:val="2"/>
            <w:vAlign w:val="center"/>
          </w:tcPr>
          <w:p>
            <w:pPr>
              <w:jc w:val="both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年度资金总额</w:t>
            </w:r>
          </w:p>
        </w:tc>
        <w:tc>
          <w:tcPr>
            <w:tcW w:w="941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90</w:t>
            </w:r>
          </w:p>
        </w:tc>
        <w:tc>
          <w:tcPr>
            <w:tcW w:w="97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90</w:t>
            </w:r>
          </w:p>
        </w:tc>
        <w:tc>
          <w:tcPr>
            <w:tcW w:w="110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90</w:t>
            </w:r>
          </w:p>
        </w:tc>
        <w:tc>
          <w:tcPr>
            <w:tcW w:w="598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10</w:t>
            </w:r>
          </w:p>
        </w:tc>
        <w:tc>
          <w:tcPr>
            <w:tcW w:w="70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100%</w:t>
            </w:r>
          </w:p>
        </w:tc>
        <w:tc>
          <w:tcPr>
            <w:tcW w:w="131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904" w:type="dxa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2004" w:type="dxa"/>
            <w:gridSpan w:val="2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其中：当年财政拨款</w:t>
            </w:r>
          </w:p>
        </w:tc>
        <w:tc>
          <w:tcPr>
            <w:tcW w:w="941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7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90</w:t>
            </w:r>
          </w:p>
        </w:tc>
        <w:tc>
          <w:tcPr>
            <w:tcW w:w="110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90</w:t>
            </w:r>
          </w:p>
        </w:tc>
        <w:tc>
          <w:tcPr>
            <w:tcW w:w="598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0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31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904" w:type="dxa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2004" w:type="dxa"/>
            <w:gridSpan w:val="2"/>
            <w:vAlign w:val="center"/>
          </w:tcPr>
          <w:p>
            <w:pPr>
              <w:ind w:left="0" w:leftChars="0" w:firstLine="619" w:firstLineChars="295"/>
              <w:jc w:val="both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上年结转资金</w:t>
            </w:r>
          </w:p>
        </w:tc>
        <w:tc>
          <w:tcPr>
            <w:tcW w:w="941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7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98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0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31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904" w:type="dxa"/>
            <w:vMerge w:val="continue"/>
            <w:tcBorders>
              <w:top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2004" w:type="dxa"/>
            <w:gridSpan w:val="2"/>
            <w:vAlign w:val="center"/>
          </w:tcPr>
          <w:p>
            <w:pPr>
              <w:ind w:left="0" w:leftChars="0" w:firstLine="619" w:firstLineChars="295"/>
              <w:jc w:val="both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其他资金</w:t>
            </w:r>
          </w:p>
        </w:tc>
        <w:tc>
          <w:tcPr>
            <w:tcW w:w="941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7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98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0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31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904" w:type="dxa"/>
            <w:vMerge w:val="restart"/>
            <w:tcBorders>
              <w:bottom w:val="nil"/>
            </w:tcBorders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年度总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  <w:t>体</w:t>
            </w:r>
            <w:r>
              <w:rPr>
                <w:rFonts w:hint="eastAsia" w:ascii="黑体" w:hAnsi="黑体" w:eastAsia="黑体" w:cs="黑体"/>
                <w:sz w:val="21"/>
                <w:szCs w:val="21"/>
              </w:rPr>
              <w:t>目标</w:t>
            </w:r>
          </w:p>
        </w:tc>
        <w:tc>
          <w:tcPr>
            <w:tcW w:w="3921" w:type="dxa"/>
            <w:gridSpan w:val="4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预期目标</w:t>
            </w:r>
          </w:p>
        </w:tc>
        <w:tc>
          <w:tcPr>
            <w:tcW w:w="3718" w:type="dxa"/>
            <w:gridSpan w:val="4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实际完成情况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904" w:type="dxa"/>
            <w:vMerge w:val="continue"/>
            <w:tcBorders>
              <w:top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921" w:type="dxa"/>
            <w:gridSpan w:val="4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718" w:type="dxa"/>
            <w:gridSpan w:val="4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68" w:hRule="atLeast"/>
        </w:trPr>
        <w:tc>
          <w:tcPr>
            <w:tcW w:w="904" w:type="dxa"/>
            <w:vMerge w:val="restar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绩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效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标</w:t>
            </w:r>
          </w:p>
        </w:tc>
        <w:tc>
          <w:tcPr>
            <w:tcW w:w="900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一级指标</w:t>
            </w:r>
          </w:p>
        </w:tc>
        <w:tc>
          <w:tcPr>
            <w:tcW w:w="1104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二级指标</w:t>
            </w:r>
          </w:p>
        </w:tc>
        <w:tc>
          <w:tcPr>
            <w:tcW w:w="941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三级指标</w:t>
            </w:r>
          </w:p>
        </w:tc>
        <w:tc>
          <w:tcPr>
            <w:tcW w:w="976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年度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指标值</w:t>
            </w:r>
          </w:p>
        </w:tc>
        <w:tc>
          <w:tcPr>
            <w:tcW w:w="1102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实际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完成值</w:t>
            </w:r>
          </w:p>
        </w:tc>
        <w:tc>
          <w:tcPr>
            <w:tcW w:w="598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分值</w:t>
            </w:r>
          </w:p>
        </w:tc>
        <w:tc>
          <w:tcPr>
            <w:tcW w:w="702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自评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得分</w:t>
            </w:r>
          </w:p>
        </w:tc>
        <w:tc>
          <w:tcPr>
            <w:tcW w:w="1316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偏差原因分析及改进措施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1" w:hRule="atLeast"/>
        </w:trPr>
        <w:tc>
          <w:tcPr>
            <w:tcW w:w="904" w:type="dxa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900" w:type="dxa"/>
            <w:vMerge w:val="restart"/>
            <w:tcBorders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产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出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(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3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0分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）</w:t>
            </w:r>
          </w:p>
        </w:tc>
        <w:tc>
          <w:tcPr>
            <w:tcW w:w="1104" w:type="dxa"/>
            <w:vMerge w:val="restart"/>
            <w:tcBorders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数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量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标</w:t>
            </w:r>
          </w:p>
        </w:tc>
        <w:tc>
          <w:tcPr>
            <w:tcW w:w="941" w:type="dxa"/>
            <w:vAlign w:val="center"/>
          </w:tcPr>
          <w:p>
            <w:pPr>
              <w:jc w:val="left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eastAsia="仿宋_GB2312" w:cs="Times New Roman"/>
                <w:color w:val="000000"/>
                <w:sz w:val="16"/>
                <w:szCs w:val="16"/>
                <w:lang w:val="en-US" w:eastAsia="zh-CN"/>
              </w:rPr>
              <w:t>设立“护水支部”小组</w:t>
            </w:r>
          </w:p>
        </w:tc>
        <w:tc>
          <w:tcPr>
            <w:tcW w:w="97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163个</w:t>
            </w:r>
          </w:p>
        </w:tc>
        <w:tc>
          <w:tcPr>
            <w:tcW w:w="110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完成</w:t>
            </w:r>
          </w:p>
        </w:tc>
        <w:tc>
          <w:tcPr>
            <w:tcW w:w="598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20</w:t>
            </w:r>
          </w:p>
        </w:tc>
        <w:tc>
          <w:tcPr>
            <w:tcW w:w="70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20</w:t>
            </w:r>
          </w:p>
        </w:tc>
        <w:tc>
          <w:tcPr>
            <w:tcW w:w="131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1" w:hRule="atLeast"/>
        </w:trPr>
        <w:tc>
          <w:tcPr>
            <w:tcW w:w="904" w:type="dxa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900" w:type="dxa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4" w:type="dxa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41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7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98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0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31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1" w:hRule="atLeast"/>
        </w:trPr>
        <w:tc>
          <w:tcPr>
            <w:tcW w:w="904" w:type="dxa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900" w:type="dxa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4" w:type="dxa"/>
            <w:vMerge w:val="continue"/>
            <w:tcBorders>
              <w:top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41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……</w:t>
            </w:r>
          </w:p>
        </w:tc>
        <w:tc>
          <w:tcPr>
            <w:tcW w:w="97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98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0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31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1" w:hRule="atLeast"/>
        </w:trPr>
        <w:tc>
          <w:tcPr>
            <w:tcW w:w="904" w:type="dxa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900" w:type="dxa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4" w:type="dxa"/>
            <w:vMerge w:val="restart"/>
            <w:tcBorders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质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量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标</w:t>
            </w:r>
          </w:p>
        </w:tc>
        <w:tc>
          <w:tcPr>
            <w:tcW w:w="941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eastAsia="仿宋_GB2312" w:cs="Times New Roman"/>
                <w:color w:val="000000"/>
                <w:sz w:val="16"/>
                <w:szCs w:val="16"/>
                <w:lang w:eastAsia="zh-CN"/>
              </w:rPr>
              <w:t>河湖建设、河湖保洁、河长制宣传等</w:t>
            </w:r>
          </w:p>
        </w:tc>
        <w:tc>
          <w:tcPr>
            <w:tcW w:w="97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eastAsia="仿宋_GB2312" w:cs="Times New Roman"/>
                <w:color w:val="000000"/>
                <w:sz w:val="20"/>
                <w:szCs w:val="20"/>
                <w:lang w:eastAsia="zh-CN"/>
              </w:rPr>
              <w:t>通过验收合格</w:t>
            </w:r>
          </w:p>
        </w:tc>
        <w:tc>
          <w:tcPr>
            <w:tcW w:w="1102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right="0"/>
              <w:jc w:val="center"/>
              <w:textAlignment w:val="auto"/>
              <w:rPr>
                <w:rFonts w:hint="eastAsia" w:eastAsia="仿宋_GB2312" w:cs="Times New Roman"/>
                <w:color w:val="000000"/>
                <w:sz w:val="20"/>
                <w:szCs w:val="20"/>
                <w:lang w:eastAsia="zh-CN"/>
              </w:rPr>
            </w:pPr>
            <w:r>
              <w:rPr>
                <w:rFonts w:hint="eastAsia" w:eastAsia="仿宋_GB2312" w:cs="Times New Roman"/>
                <w:color w:val="000000"/>
                <w:sz w:val="20"/>
                <w:szCs w:val="20"/>
                <w:lang w:eastAsia="zh-CN"/>
              </w:rPr>
              <w:t>验收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eastAsia="仿宋_GB2312" w:cs="Times New Roman"/>
                <w:color w:val="000000"/>
                <w:sz w:val="20"/>
                <w:szCs w:val="20"/>
                <w:lang w:eastAsia="zh-CN"/>
              </w:rPr>
              <w:t>合格</w:t>
            </w:r>
          </w:p>
        </w:tc>
        <w:tc>
          <w:tcPr>
            <w:tcW w:w="598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0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131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1" w:hRule="atLeast"/>
        </w:trPr>
        <w:tc>
          <w:tcPr>
            <w:tcW w:w="904" w:type="dxa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900" w:type="dxa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4" w:type="dxa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41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76" w:type="dxa"/>
            <w:vAlign w:val="center"/>
          </w:tcPr>
          <w:p>
            <w:pPr>
              <w:jc w:val="left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2" w:type="dxa"/>
            <w:vAlign w:val="center"/>
          </w:tcPr>
          <w:p>
            <w:pPr>
              <w:jc w:val="left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98" w:type="dxa"/>
            <w:vAlign w:val="center"/>
          </w:tcPr>
          <w:p>
            <w:pPr>
              <w:jc w:val="left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02" w:type="dxa"/>
            <w:vAlign w:val="center"/>
          </w:tcPr>
          <w:p>
            <w:pPr>
              <w:jc w:val="left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31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1" w:hRule="atLeast"/>
        </w:trPr>
        <w:tc>
          <w:tcPr>
            <w:tcW w:w="904" w:type="dxa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900" w:type="dxa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4" w:type="dxa"/>
            <w:vMerge w:val="continue"/>
            <w:tcBorders>
              <w:top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41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……</w:t>
            </w:r>
          </w:p>
        </w:tc>
        <w:tc>
          <w:tcPr>
            <w:tcW w:w="976" w:type="dxa"/>
            <w:vAlign w:val="center"/>
          </w:tcPr>
          <w:p>
            <w:pPr>
              <w:jc w:val="left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2" w:type="dxa"/>
            <w:vAlign w:val="center"/>
          </w:tcPr>
          <w:p>
            <w:pPr>
              <w:jc w:val="left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98" w:type="dxa"/>
            <w:vAlign w:val="center"/>
          </w:tcPr>
          <w:p>
            <w:pPr>
              <w:jc w:val="left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02" w:type="dxa"/>
            <w:vAlign w:val="center"/>
          </w:tcPr>
          <w:p>
            <w:pPr>
              <w:jc w:val="left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31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1" w:hRule="atLeast"/>
        </w:trPr>
        <w:tc>
          <w:tcPr>
            <w:tcW w:w="904" w:type="dxa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900" w:type="dxa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4" w:type="dxa"/>
            <w:vMerge w:val="restart"/>
            <w:tcBorders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时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标</w:t>
            </w:r>
          </w:p>
        </w:tc>
        <w:tc>
          <w:tcPr>
            <w:tcW w:w="941" w:type="dxa"/>
            <w:vAlign w:val="center"/>
          </w:tcPr>
          <w:p>
            <w:pPr>
              <w:jc w:val="both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eastAsia="仿宋_GB2312" w:cs="Times New Roman"/>
                <w:color w:val="000000"/>
                <w:sz w:val="16"/>
                <w:szCs w:val="16"/>
                <w:lang w:eastAsia="zh-CN"/>
              </w:rPr>
              <w:t>河湖建设、河湖保洁、河长制宣传等</w:t>
            </w:r>
          </w:p>
        </w:tc>
        <w:tc>
          <w:tcPr>
            <w:tcW w:w="97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2023全年</w:t>
            </w:r>
          </w:p>
        </w:tc>
        <w:tc>
          <w:tcPr>
            <w:tcW w:w="110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2023年内</w:t>
            </w:r>
          </w:p>
        </w:tc>
        <w:tc>
          <w:tcPr>
            <w:tcW w:w="598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0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131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1" w:hRule="atLeast"/>
        </w:trPr>
        <w:tc>
          <w:tcPr>
            <w:tcW w:w="904" w:type="dxa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900" w:type="dxa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4" w:type="dxa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41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76" w:type="dxa"/>
            <w:vAlign w:val="center"/>
          </w:tcPr>
          <w:p>
            <w:pPr>
              <w:jc w:val="left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2" w:type="dxa"/>
            <w:vAlign w:val="center"/>
          </w:tcPr>
          <w:p>
            <w:pPr>
              <w:jc w:val="left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98" w:type="dxa"/>
            <w:vAlign w:val="center"/>
          </w:tcPr>
          <w:p>
            <w:pPr>
              <w:jc w:val="left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02" w:type="dxa"/>
            <w:vAlign w:val="center"/>
          </w:tcPr>
          <w:p>
            <w:pPr>
              <w:jc w:val="left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31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1" w:hRule="atLeast"/>
        </w:trPr>
        <w:tc>
          <w:tcPr>
            <w:tcW w:w="904" w:type="dxa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900" w:type="dxa"/>
            <w:vMerge w:val="continue"/>
            <w:tcBorders>
              <w:top w:val="nil"/>
              <w:bottom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4" w:type="dxa"/>
            <w:vMerge w:val="continue"/>
            <w:tcBorders>
              <w:top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41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……</w:t>
            </w:r>
          </w:p>
        </w:tc>
        <w:tc>
          <w:tcPr>
            <w:tcW w:w="976" w:type="dxa"/>
            <w:vAlign w:val="center"/>
          </w:tcPr>
          <w:p>
            <w:pPr>
              <w:jc w:val="left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2" w:type="dxa"/>
            <w:vAlign w:val="center"/>
          </w:tcPr>
          <w:p>
            <w:pPr>
              <w:jc w:val="left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98" w:type="dxa"/>
            <w:vAlign w:val="center"/>
          </w:tcPr>
          <w:p>
            <w:pPr>
              <w:jc w:val="left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02" w:type="dxa"/>
            <w:vAlign w:val="center"/>
          </w:tcPr>
          <w:p>
            <w:pPr>
              <w:jc w:val="left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31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904" w:type="dxa"/>
            <w:vMerge w:val="restar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绩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效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标</w:t>
            </w:r>
          </w:p>
        </w:tc>
        <w:tc>
          <w:tcPr>
            <w:tcW w:w="900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益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（30分）</w:t>
            </w:r>
          </w:p>
        </w:tc>
        <w:tc>
          <w:tcPr>
            <w:tcW w:w="1104" w:type="dxa"/>
            <w:vMerge w:val="restart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经济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效益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941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eastAsia="仿宋_GB2312" w:cs="Times New Roman"/>
                <w:color w:val="000000"/>
                <w:sz w:val="16"/>
                <w:szCs w:val="16"/>
                <w:lang w:eastAsia="zh-CN"/>
              </w:rPr>
              <w:t>河湖建设、河湖保洁、河长制宣传等</w:t>
            </w:r>
          </w:p>
        </w:tc>
        <w:tc>
          <w:tcPr>
            <w:tcW w:w="976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right="0"/>
              <w:jc w:val="center"/>
              <w:textAlignment w:val="auto"/>
              <w:rPr>
                <w:rFonts w:hint="eastAsia" w:eastAsia="仿宋_GB2312" w:cs="Times New Roman"/>
                <w:color w:val="000000"/>
                <w:sz w:val="20"/>
                <w:szCs w:val="20"/>
                <w:lang w:eastAsia="zh-CN"/>
              </w:rPr>
            </w:pPr>
          </w:p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right="0"/>
              <w:jc w:val="center"/>
              <w:textAlignment w:val="auto"/>
              <w:rPr>
                <w:rFonts w:hint="eastAsia" w:eastAsia="仿宋_GB2312" w:cs="Times New Roman"/>
                <w:color w:val="000000"/>
                <w:sz w:val="20"/>
                <w:szCs w:val="20"/>
                <w:lang w:eastAsia="zh-CN"/>
              </w:rPr>
            </w:pPr>
            <w:r>
              <w:rPr>
                <w:rFonts w:hint="eastAsia" w:eastAsia="仿宋_GB2312" w:cs="Times New Roman"/>
                <w:color w:val="000000"/>
                <w:sz w:val="20"/>
                <w:szCs w:val="20"/>
                <w:lang w:eastAsia="zh-CN"/>
              </w:rPr>
              <w:t>河畅</w:t>
            </w:r>
          </w:p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right="0"/>
              <w:jc w:val="center"/>
              <w:textAlignment w:val="auto"/>
              <w:rPr>
                <w:rFonts w:hint="eastAsia" w:ascii="Times New Roman" w:hAnsi="Times New Roman" w:eastAsia="仿宋_GB2312" w:cs="Times New Roman"/>
                <w:color w:val="000000"/>
                <w:sz w:val="20"/>
                <w:szCs w:val="20"/>
                <w:lang w:eastAsia="zh-CN"/>
              </w:rPr>
            </w:pPr>
            <w:r>
              <w:rPr>
                <w:rFonts w:hint="eastAsia" w:eastAsia="仿宋_GB2312" w:cs="Times New Roman"/>
                <w:color w:val="000000"/>
                <w:sz w:val="20"/>
                <w:szCs w:val="20"/>
                <w:lang w:eastAsia="zh-CN"/>
              </w:rPr>
              <w:t>水清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eastAsia="仿宋_GB2312" w:cs="Times New Roman"/>
                <w:color w:val="000000"/>
                <w:sz w:val="20"/>
                <w:szCs w:val="20"/>
                <w:lang w:eastAsia="zh-CN"/>
              </w:rPr>
              <w:t>河湖管护效益明显</w:t>
            </w:r>
          </w:p>
        </w:tc>
        <w:tc>
          <w:tcPr>
            <w:tcW w:w="598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0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131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904" w:type="dxa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0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4" w:type="dxa"/>
            <w:vMerge w:val="continue"/>
            <w:tcBorders>
              <w:top w:val="nil"/>
              <w:left w:val="single" w:color="auto" w:sz="4" w:space="0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41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7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98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0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31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904" w:type="dxa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0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4" w:type="dxa"/>
            <w:vMerge w:val="continue"/>
            <w:tcBorders>
              <w:top w:val="nil"/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41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……</w:t>
            </w:r>
          </w:p>
        </w:tc>
        <w:tc>
          <w:tcPr>
            <w:tcW w:w="97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98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0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31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904" w:type="dxa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0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4" w:type="dxa"/>
            <w:vMerge w:val="restart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社会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效益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941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eastAsia="仿宋_GB2312" w:cs="Times New Roman"/>
                <w:color w:val="000000"/>
                <w:sz w:val="16"/>
                <w:szCs w:val="16"/>
                <w:lang w:eastAsia="zh-CN"/>
              </w:rPr>
              <w:t>河湖建设、河湖保洁、河长制宣传等</w:t>
            </w:r>
          </w:p>
        </w:tc>
        <w:tc>
          <w:tcPr>
            <w:tcW w:w="97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eastAsia="仿宋_GB2312" w:cs="Times New Roman"/>
                <w:color w:val="000000"/>
                <w:sz w:val="20"/>
                <w:szCs w:val="20"/>
                <w:lang w:eastAsia="zh-CN"/>
              </w:rPr>
              <w:t>提高百姓幸福指数</w:t>
            </w:r>
          </w:p>
        </w:tc>
        <w:tc>
          <w:tcPr>
            <w:tcW w:w="110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eastAsia="仿宋_GB2312" w:cs="Times New Roman"/>
                <w:color w:val="000000"/>
                <w:sz w:val="20"/>
                <w:szCs w:val="20"/>
                <w:lang w:eastAsia="zh-CN"/>
              </w:rPr>
              <w:t>河湖长制深入人心</w:t>
            </w:r>
          </w:p>
        </w:tc>
        <w:tc>
          <w:tcPr>
            <w:tcW w:w="598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0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131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904" w:type="dxa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0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4" w:type="dxa"/>
            <w:vMerge w:val="continue"/>
            <w:tcBorders>
              <w:top w:val="nil"/>
              <w:left w:val="single" w:color="auto" w:sz="4" w:space="0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41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7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98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0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31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904" w:type="dxa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0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4" w:type="dxa"/>
            <w:vMerge w:val="continue"/>
            <w:tcBorders>
              <w:top w:val="nil"/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41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……</w:t>
            </w:r>
          </w:p>
        </w:tc>
        <w:tc>
          <w:tcPr>
            <w:tcW w:w="97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98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0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31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904" w:type="dxa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0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4" w:type="dxa"/>
            <w:vMerge w:val="restart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生态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效益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941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eastAsia="仿宋_GB2312" w:cs="Times New Roman"/>
                <w:color w:val="000000"/>
                <w:sz w:val="16"/>
                <w:szCs w:val="16"/>
                <w:lang w:eastAsia="zh-CN"/>
              </w:rPr>
              <w:t>河湖建设、河湖保洁、河长制宣传等</w:t>
            </w:r>
          </w:p>
        </w:tc>
        <w:tc>
          <w:tcPr>
            <w:tcW w:w="976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right="0"/>
              <w:jc w:val="center"/>
              <w:textAlignment w:val="auto"/>
              <w:rPr>
                <w:rFonts w:hint="eastAsia" w:ascii="Times New Roman" w:hAnsi="Times New Roman" w:eastAsia="仿宋_GB2312" w:cs="Times New Roman"/>
                <w:color w:val="000000"/>
                <w:sz w:val="20"/>
                <w:szCs w:val="20"/>
                <w:lang w:eastAsia="zh-CN"/>
              </w:rPr>
            </w:pPr>
            <w:r>
              <w:rPr>
                <w:rFonts w:hint="eastAsia" w:eastAsia="仿宋_GB2312" w:cs="Times New Roman"/>
                <w:color w:val="000000"/>
                <w:sz w:val="20"/>
                <w:szCs w:val="20"/>
                <w:lang w:eastAsia="zh-CN"/>
              </w:rPr>
              <w:t>改善生态水环境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2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right="0"/>
              <w:jc w:val="center"/>
              <w:textAlignment w:val="auto"/>
              <w:rPr>
                <w:rFonts w:hint="eastAsia" w:ascii="Times New Roman" w:hAnsi="Times New Roman" w:eastAsia="仿宋_GB2312" w:cs="Times New Roman"/>
                <w:color w:val="000000"/>
                <w:sz w:val="20"/>
                <w:szCs w:val="20"/>
                <w:lang w:eastAsia="zh-CN"/>
              </w:rPr>
            </w:pPr>
            <w:r>
              <w:rPr>
                <w:rFonts w:hint="eastAsia" w:eastAsia="仿宋_GB2312" w:cs="Times New Roman"/>
                <w:color w:val="000000"/>
                <w:sz w:val="20"/>
                <w:szCs w:val="20"/>
                <w:lang w:eastAsia="zh-CN"/>
              </w:rPr>
              <w:t>环境、水质、水体逐渐向好</w:t>
            </w:r>
          </w:p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98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0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8</w:t>
            </w:r>
          </w:p>
        </w:tc>
        <w:tc>
          <w:tcPr>
            <w:tcW w:w="131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904" w:type="dxa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0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4" w:type="dxa"/>
            <w:vMerge w:val="continue"/>
            <w:tcBorders>
              <w:top w:val="nil"/>
              <w:left w:val="single" w:color="auto" w:sz="4" w:space="0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41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76" w:type="dxa"/>
            <w:vAlign w:val="center"/>
          </w:tcPr>
          <w:p>
            <w:pPr>
              <w:jc w:val="left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2" w:type="dxa"/>
            <w:vAlign w:val="center"/>
          </w:tcPr>
          <w:p>
            <w:pPr>
              <w:jc w:val="left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98" w:type="dxa"/>
            <w:vAlign w:val="center"/>
          </w:tcPr>
          <w:p>
            <w:pPr>
              <w:jc w:val="left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02" w:type="dxa"/>
            <w:vAlign w:val="center"/>
          </w:tcPr>
          <w:p>
            <w:pPr>
              <w:jc w:val="left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31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904" w:type="dxa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0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4" w:type="dxa"/>
            <w:vMerge w:val="continue"/>
            <w:tcBorders>
              <w:top w:val="nil"/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41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……</w:t>
            </w:r>
          </w:p>
        </w:tc>
        <w:tc>
          <w:tcPr>
            <w:tcW w:w="976" w:type="dxa"/>
            <w:vAlign w:val="center"/>
          </w:tcPr>
          <w:p>
            <w:pPr>
              <w:jc w:val="left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2" w:type="dxa"/>
            <w:vAlign w:val="center"/>
          </w:tcPr>
          <w:p>
            <w:pPr>
              <w:jc w:val="left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98" w:type="dxa"/>
            <w:vAlign w:val="center"/>
          </w:tcPr>
          <w:p>
            <w:pPr>
              <w:jc w:val="left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02" w:type="dxa"/>
            <w:vAlign w:val="center"/>
          </w:tcPr>
          <w:p>
            <w:pPr>
              <w:jc w:val="left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31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904" w:type="dxa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0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4" w:type="dxa"/>
            <w:vMerge w:val="restart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可持续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影响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941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eastAsia="仿宋_GB2312" w:cs="Times New Roman"/>
                <w:color w:val="000000"/>
                <w:sz w:val="16"/>
                <w:szCs w:val="16"/>
                <w:lang w:eastAsia="zh-CN"/>
              </w:rPr>
              <w:t>河湖建设、河湖保洁、河长制宣传等</w:t>
            </w:r>
          </w:p>
        </w:tc>
        <w:tc>
          <w:tcPr>
            <w:tcW w:w="976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right="0"/>
              <w:jc w:val="center"/>
              <w:textAlignment w:val="auto"/>
              <w:rPr>
                <w:rFonts w:hint="default" w:ascii="Times New Roman" w:hAnsi="Times New Roman" w:eastAsia="仿宋_GB2312" w:cs="Times New Roman"/>
                <w:color w:val="000000"/>
                <w:sz w:val="20"/>
                <w:szCs w:val="20"/>
              </w:rPr>
            </w:pPr>
          </w:p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right="0"/>
              <w:jc w:val="center"/>
              <w:textAlignment w:val="auto"/>
              <w:rPr>
                <w:rFonts w:hint="default" w:ascii="Times New Roman" w:hAnsi="Times New Roman" w:eastAsia="仿宋_GB2312" w:cs="Times New Roman"/>
                <w:color w:val="000000"/>
                <w:sz w:val="20"/>
                <w:szCs w:val="20"/>
              </w:rPr>
            </w:pPr>
            <w:r>
              <w:rPr>
                <w:rFonts w:hint="eastAsia" w:eastAsia="仿宋_GB2312" w:cs="Times New Roman"/>
                <w:color w:val="000000"/>
                <w:sz w:val="20"/>
                <w:szCs w:val="20"/>
                <w:lang w:val="en-US" w:eastAsia="zh-CN"/>
              </w:rPr>
              <w:t>100%</w:t>
            </w:r>
          </w:p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2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right="0"/>
              <w:jc w:val="center"/>
              <w:textAlignment w:val="auto"/>
              <w:rPr>
                <w:rFonts w:hint="default" w:ascii="Times New Roman" w:hAnsi="Times New Roman" w:eastAsia="仿宋_GB2312" w:cs="Times New Roman"/>
                <w:color w:val="000000"/>
                <w:sz w:val="20"/>
                <w:szCs w:val="20"/>
              </w:rPr>
            </w:pPr>
          </w:p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right="0"/>
              <w:jc w:val="center"/>
              <w:textAlignment w:val="auto"/>
              <w:rPr>
                <w:rFonts w:hint="default" w:ascii="Times New Roman" w:hAnsi="Times New Roman" w:eastAsia="仿宋_GB2312" w:cs="Times New Roman"/>
                <w:color w:val="000000"/>
                <w:sz w:val="20"/>
                <w:szCs w:val="20"/>
              </w:rPr>
            </w:pPr>
            <w:r>
              <w:rPr>
                <w:rFonts w:hint="eastAsia" w:eastAsia="仿宋_GB2312" w:cs="Times New Roman"/>
                <w:color w:val="000000"/>
                <w:sz w:val="20"/>
                <w:szCs w:val="20"/>
                <w:lang w:val="en-US" w:eastAsia="zh-CN"/>
              </w:rPr>
              <w:t>100%</w:t>
            </w:r>
          </w:p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98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right="0"/>
              <w:jc w:val="center"/>
              <w:textAlignment w:val="auto"/>
              <w:rPr>
                <w:rFonts w:hint="default" w:ascii="Times New Roman" w:hAnsi="Times New Roman" w:eastAsia="仿宋_GB2312" w:cs="Times New Roman"/>
                <w:color w:val="000000"/>
                <w:sz w:val="20"/>
                <w:szCs w:val="20"/>
                <w:lang w:val="en-US" w:eastAsia="zh-CN"/>
              </w:rPr>
            </w:pPr>
          </w:p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right="0"/>
              <w:jc w:val="center"/>
              <w:textAlignment w:val="auto"/>
              <w:rPr>
                <w:rFonts w:hint="default" w:ascii="Times New Roman" w:hAnsi="Times New Roman" w:eastAsia="仿宋_GB2312" w:cs="Times New Roman"/>
                <w:color w:val="000000"/>
                <w:sz w:val="20"/>
                <w:szCs w:val="20"/>
                <w:lang w:val="en-US" w:eastAsia="zh-CN"/>
              </w:rPr>
            </w:pPr>
            <w:r>
              <w:rPr>
                <w:rFonts w:hint="eastAsia" w:eastAsia="仿宋_GB2312" w:cs="Times New Roman"/>
                <w:color w:val="000000"/>
                <w:sz w:val="20"/>
                <w:szCs w:val="20"/>
                <w:lang w:val="en-US" w:eastAsia="zh-CN"/>
              </w:rPr>
              <w:t>10</w:t>
            </w:r>
          </w:p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02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right="0"/>
              <w:jc w:val="center"/>
              <w:textAlignment w:val="auto"/>
              <w:rPr>
                <w:rFonts w:hint="default" w:ascii="Times New Roman" w:hAnsi="Times New Roman" w:eastAsia="仿宋_GB2312" w:cs="Times New Roman"/>
                <w:color w:val="000000"/>
                <w:sz w:val="20"/>
                <w:szCs w:val="20"/>
              </w:rPr>
            </w:pPr>
          </w:p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right="0"/>
              <w:jc w:val="center"/>
              <w:textAlignment w:val="auto"/>
              <w:rPr>
                <w:rFonts w:hint="default" w:ascii="Times New Roman" w:hAnsi="Times New Roman" w:eastAsia="仿宋_GB2312" w:cs="Times New Roman"/>
                <w:color w:val="000000"/>
                <w:sz w:val="20"/>
                <w:szCs w:val="20"/>
                <w:lang w:val="en-US" w:eastAsia="zh-CN"/>
              </w:rPr>
            </w:pPr>
            <w:r>
              <w:rPr>
                <w:rFonts w:hint="eastAsia" w:eastAsia="仿宋_GB2312" w:cs="Times New Roman"/>
                <w:color w:val="000000"/>
                <w:sz w:val="20"/>
                <w:szCs w:val="20"/>
                <w:lang w:val="en-US" w:eastAsia="zh-CN"/>
              </w:rPr>
              <w:t>10</w:t>
            </w:r>
          </w:p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31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904" w:type="dxa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0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4" w:type="dxa"/>
            <w:vMerge w:val="continue"/>
            <w:tcBorders>
              <w:top w:val="nil"/>
              <w:left w:val="single" w:color="auto" w:sz="4" w:space="0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41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7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98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0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31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904" w:type="dxa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0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4" w:type="dxa"/>
            <w:vMerge w:val="continue"/>
            <w:tcBorders>
              <w:top w:val="nil"/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41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……</w:t>
            </w:r>
          </w:p>
        </w:tc>
        <w:tc>
          <w:tcPr>
            <w:tcW w:w="97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98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0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31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904" w:type="dxa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00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满意度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（10分）</w:t>
            </w:r>
          </w:p>
        </w:tc>
        <w:tc>
          <w:tcPr>
            <w:tcW w:w="1104" w:type="dxa"/>
            <w:vMerge w:val="restart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服务对象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满意度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941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服务对象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满意度</w:t>
            </w:r>
          </w:p>
        </w:tc>
        <w:tc>
          <w:tcPr>
            <w:tcW w:w="976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right="0"/>
              <w:jc w:val="center"/>
              <w:textAlignment w:val="auto"/>
              <w:rPr>
                <w:rFonts w:hint="default" w:ascii="Times New Roman" w:hAnsi="Times New Roman" w:eastAsia="仿宋_GB2312" w:cs="Times New Roman"/>
                <w:color w:val="000000"/>
                <w:sz w:val="20"/>
                <w:szCs w:val="20"/>
              </w:rPr>
            </w:pPr>
          </w:p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right="0"/>
              <w:jc w:val="center"/>
              <w:textAlignment w:val="auto"/>
              <w:rPr>
                <w:rFonts w:hint="default" w:ascii="Times New Roman" w:hAnsi="Times New Roman" w:eastAsia="仿宋_GB2312" w:cs="Times New Roman"/>
                <w:color w:val="000000"/>
                <w:sz w:val="20"/>
                <w:szCs w:val="20"/>
                <w:lang w:val="en-US" w:eastAsia="zh-CN"/>
              </w:rPr>
            </w:pPr>
            <w:r>
              <w:rPr>
                <w:rFonts w:hint="eastAsia" w:eastAsia="仿宋_GB2312" w:cs="Times New Roman"/>
                <w:color w:val="000000"/>
                <w:sz w:val="20"/>
                <w:szCs w:val="20"/>
                <w:lang w:val="en-US" w:eastAsia="zh-CN"/>
              </w:rPr>
              <w:t>90%</w:t>
            </w:r>
          </w:p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2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right="0"/>
              <w:jc w:val="center"/>
              <w:textAlignment w:val="auto"/>
              <w:rPr>
                <w:rFonts w:hint="default" w:ascii="Times New Roman" w:hAnsi="Times New Roman" w:eastAsia="仿宋_GB2312" w:cs="Times New Roman"/>
                <w:color w:val="000000"/>
                <w:sz w:val="20"/>
                <w:szCs w:val="20"/>
              </w:rPr>
            </w:pPr>
          </w:p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right="0"/>
              <w:jc w:val="center"/>
              <w:textAlignment w:val="auto"/>
              <w:rPr>
                <w:rFonts w:hint="default" w:ascii="Times New Roman" w:hAnsi="Times New Roman" w:eastAsia="仿宋_GB2312" w:cs="Times New Roman"/>
                <w:color w:val="000000"/>
                <w:sz w:val="20"/>
                <w:szCs w:val="20"/>
              </w:rPr>
            </w:pPr>
            <w:r>
              <w:rPr>
                <w:rFonts w:hint="eastAsia" w:eastAsia="仿宋_GB2312" w:cs="Times New Roman"/>
                <w:color w:val="000000"/>
                <w:sz w:val="20"/>
                <w:szCs w:val="20"/>
                <w:lang w:val="en-US" w:eastAsia="zh-CN"/>
              </w:rPr>
              <w:t>90%</w:t>
            </w:r>
          </w:p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98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right="0"/>
              <w:jc w:val="center"/>
              <w:textAlignment w:val="auto"/>
              <w:rPr>
                <w:rFonts w:hint="default" w:ascii="Times New Roman" w:hAnsi="Times New Roman" w:eastAsia="仿宋_GB2312" w:cs="Times New Roman"/>
                <w:color w:val="000000"/>
                <w:sz w:val="20"/>
                <w:szCs w:val="20"/>
              </w:rPr>
            </w:pPr>
          </w:p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right="0"/>
              <w:jc w:val="center"/>
              <w:textAlignment w:val="auto"/>
              <w:rPr>
                <w:rFonts w:hint="default" w:ascii="Times New Roman" w:hAnsi="Times New Roman" w:eastAsia="仿宋_GB2312" w:cs="Times New Roman"/>
                <w:color w:val="000000"/>
                <w:sz w:val="20"/>
                <w:szCs w:val="20"/>
                <w:lang w:val="en-US" w:eastAsia="zh-CN"/>
              </w:rPr>
            </w:pPr>
            <w:r>
              <w:rPr>
                <w:rFonts w:hint="eastAsia" w:eastAsia="仿宋_GB2312" w:cs="Times New Roman"/>
                <w:color w:val="000000"/>
                <w:sz w:val="20"/>
                <w:szCs w:val="20"/>
                <w:lang w:val="en-US" w:eastAsia="zh-CN"/>
              </w:rPr>
              <w:t>10</w:t>
            </w:r>
          </w:p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02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right="0"/>
              <w:jc w:val="center"/>
              <w:textAlignment w:val="auto"/>
              <w:rPr>
                <w:rFonts w:hint="default" w:ascii="Times New Roman" w:hAnsi="Times New Roman" w:eastAsia="仿宋_GB2312" w:cs="Times New Roman"/>
                <w:color w:val="000000"/>
                <w:sz w:val="20"/>
                <w:szCs w:val="20"/>
              </w:rPr>
            </w:pPr>
          </w:p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right="0"/>
              <w:jc w:val="center"/>
              <w:textAlignment w:val="auto"/>
              <w:rPr>
                <w:rFonts w:hint="default" w:ascii="Times New Roman" w:hAnsi="Times New Roman" w:eastAsia="仿宋_GB2312" w:cs="Times New Roman"/>
                <w:color w:val="000000"/>
                <w:sz w:val="20"/>
                <w:szCs w:val="20"/>
                <w:lang w:val="en-US" w:eastAsia="zh-CN"/>
              </w:rPr>
            </w:pPr>
            <w:r>
              <w:rPr>
                <w:rFonts w:hint="eastAsia" w:eastAsia="仿宋_GB2312" w:cs="Times New Roman"/>
                <w:color w:val="000000"/>
                <w:sz w:val="20"/>
                <w:szCs w:val="20"/>
                <w:lang w:val="en-US" w:eastAsia="zh-CN"/>
              </w:rPr>
              <w:t>10</w:t>
            </w:r>
          </w:p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31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904" w:type="dxa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0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4" w:type="dxa"/>
            <w:vMerge w:val="continue"/>
            <w:tcBorders>
              <w:top w:val="nil"/>
              <w:left w:val="single" w:color="auto" w:sz="4" w:space="0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41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76" w:type="dxa"/>
            <w:vAlign w:val="center"/>
          </w:tcPr>
          <w:p>
            <w:pPr>
              <w:jc w:val="left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2" w:type="dxa"/>
            <w:vAlign w:val="center"/>
          </w:tcPr>
          <w:p>
            <w:pPr>
              <w:jc w:val="left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98" w:type="dxa"/>
            <w:vAlign w:val="center"/>
          </w:tcPr>
          <w:p>
            <w:pPr>
              <w:jc w:val="left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02" w:type="dxa"/>
            <w:vAlign w:val="center"/>
          </w:tcPr>
          <w:p>
            <w:pPr>
              <w:jc w:val="left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31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904" w:type="dxa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0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4" w:type="dxa"/>
            <w:vMerge w:val="continue"/>
            <w:tcBorders>
              <w:top w:val="nil"/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41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……</w:t>
            </w:r>
          </w:p>
        </w:tc>
        <w:tc>
          <w:tcPr>
            <w:tcW w:w="976" w:type="dxa"/>
            <w:vAlign w:val="center"/>
          </w:tcPr>
          <w:p>
            <w:pPr>
              <w:jc w:val="left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2" w:type="dxa"/>
            <w:vAlign w:val="center"/>
          </w:tcPr>
          <w:p>
            <w:pPr>
              <w:jc w:val="left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98" w:type="dxa"/>
            <w:vAlign w:val="center"/>
          </w:tcPr>
          <w:p>
            <w:pPr>
              <w:jc w:val="left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02" w:type="dxa"/>
            <w:vAlign w:val="center"/>
          </w:tcPr>
          <w:p>
            <w:pPr>
              <w:jc w:val="left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31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904" w:type="dxa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00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成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本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（2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0分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）</w:t>
            </w:r>
          </w:p>
        </w:tc>
        <w:tc>
          <w:tcPr>
            <w:tcW w:w="1104" w:type="dxa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经济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成本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指标</w:t>
            </w:r>
          </w:p>
        </w:tc>
        <w:tc>
          <w:tcPr>
            <w:tcW w:w="941" w:type="dxa"/>
            <w:tcBorders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eastAsia="仿宋_GB2312" w:cs="Times New Roman"/>
                <w:color w:val="000000"/>
                <w:sz w:val="16"/>
                <w:szCs w:val="16"/>
                <w:lang w:eastAsia="zh-CN"/>
              </w:rPr>
              <w:t>河湖建设、河湖保洁、河长制宣传等</w:t>
            </w:r>
          </w:p>
        </w:tc>
        <w:tc>
          <w:tcPr>
            <w:tcW w:w="976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right="0"/>
              <w:jc w:val="center"/>
              <w:textAlignment w:val="auto"/>
              <w:rPr>
                <w:rFonts w:hint="default" w:ascii="Times New Roman" w:hAnsi="Times New Roman" w:eastAsia="仿宋_GB2312" w:cs="Times New Roman"/>
                <w:color w:val="000000"/>
                <w:sz w:val="20"/>
                <w:szCs w:val="20"/>
              </w:rPr>
            </w:pPr>
          </w:p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right="0"/>
              <w:jc w:val="center"/>
              <w:textAlignment w:val="auto"/>
              <w:rPr>
                <w:rFonts w:hint="default" w:ascii="Times New Roman" w:hAnsi="Times New Roman" w:eastAsia="仿宋_GB2312" w:cs="Times New Roman"/>
                <w:color w:val="000000"/>
                <w:sz w:val="20"/>
                <w:szCs w:val="20"/>
              </w:rPr>
            </w:pPr>
            <w:r>
              <w:rPr>
                <w:rFonts w:hint="eastAsia" w:eastAsia="仿宋_GB2312" w:cs="Times New Roman"/>
                <w:color w:val="000000"/>
                <w:sz w:val="20"/>
                <w:szCs w:val="20"/>
                <w:lang w:val="en-US" w:eastAsia="zh-CN"/>
              </w:rPr>
              <w:t>90万元</w:t>
            </w:r>
          </w:p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2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right="0"/>
              <w:jc w:val="center"/>
              <w:textAlignment w:val="auto"/>
              <w:rPr>
                <w:rFonts w:hint="default" w:ascii="Times New Roman" w:hAnsi="Times New Roman" w:eastAsia="仿宋_GB2312" w:cs="Times New Roman"/>
                <w:color w:val="000000"/>
                <w:sz w:val="20"/>
                <w:szCs w:val="20"/>
              </w:rPr>
            </w:pPr>
          </w:p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right="0"/>
              <w:jc w:val="center"/>
              <w:textAlignment w:val="auto"/>
              <w:rPr>
                <w:rFonts w:hint="default" w:ascii="Times New Roman" w:hAnsi="Times New Roman" w:eastAsia="仿宋_GB2312" w:cs="Times New Roman"/>
                <w:color w:val="000000"/>
                <w:sz w:val="20"/>
                <w:szCs w:val="20"/>
              </w:rPr>
            </w:pPr>
            <w:r>
              <w:rPr>
                <w:rFonts w:hint="eastAsia" w:eastAsia="仿宋_GB2312" w:cs="Times New Roman"/>
                <w:color w:val="000000"/>
                <w:sz w:val="20"/>
                <w:szCs w:val="20"/>
                <w:lang w:val="en-US" w:eastAsia="zh-CN"/>
              </w:rPr>
              <w:t>90万元</w:t>
            </w:r>
          </w:p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98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right="0"/>
              <w:jc w:val="center"/>
              <w:textAlignment w:val="auto"/>
              <w:rPr>
                <w:rFonts w:hint="default" w:ascii="Times New Roman" w:hAnsi="Times New Roman" w:eastAsia="仿宋_GB2312" w:cs="Times New Roman"/>
                <w:color w:val="000000"/>
                <w:sz w:val="20"/>
                <w:szCs w:val="20"/>
              </w:rPr>
            </w:pPr>
          </w:p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right="0"/>
              <w:jc w:val="center"/>
              <w:textAlignment w:val="auto"/>
              <w:rPr>
                <w:rFonts w:hint="default" w:ascii="Times New Roman" w:hAnsi="Times New Roman" w:eastAsia="仿宋_GB2312" w:cs="Times New Roman"/>
                <w:color w:val="000000"/>
                <w:sz w:val="20"/>
                <w:szCs w:val="20"/>
                <w:lang w:val="en-US" w:eastAsia="zh-CN"/>
              </w:rPr>
            </w:pPr>
            <w:r>
              <w:rPr>
                <w:rFonts w:hint="eastAsia" w:eastAsia="仿宋_GB2312" w:cs="Times New Roman"/>
                <w:color w:val="000000"/>
                <w:sz w:val="20"/>
                <w:szCs w:val="20"/>
                <w:lang w:val="en-US" w:eastAsia="zh-CN"/>
              </w:rPr>
              <w:t>10</w:t>
            </w:r>
          </w:p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02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right="0"/>
              <w:jc w:val="center"/>
              <w:textAlignment w:val="auto"/>
              <w:rPr>
                <w:rFonts w:hint="default" w:ascii="Times New Roman" w:hAnsi="Times New Roman" w:eastAsia="仿宋_GB2312" w:cs="Times New Roman"/>
                <w:color w:val="000000"/>
                <w:sz w:val="20"/>
                <w:szCs w:val="20"/>
              </w:rPr>
            </w:pPr>
          </w:p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right="0"/>
              <w:jc w:val="center"/>
              <w:textAlignment w:val="auto"/>
              <w:rPr>
                <w:rFonts w:hint="default" w:ascii="Times New Roman" w:hAnsi="Times New Roman" w:eastAsia="仿宋_GB2312" w:cs="Times New Roman"/>
                <w:color w:val="000000"/>
                <w:sz w:val="20"/>
                <w:szCs w:val="20"/>
                <w:lang w:val="en-US" w:eastAsia="zh-CN"/>
              </w:rPr>
            </w:pPr>
            <w:r>
              <w:rPr>
                <w:rFonts w:hint="eastAsia" w:eastAsia="仿宋_GB2312" w:cs="Times New Roman"/>
                <w:color w:val="000000"/>
                <w:sz w:val="20"/>
                <w:szCs w:val="20"/>
                <w:lang w:val="en-US" w:eastAsia="zh-CN"/>
              </w:rPr>
              <w:t>10</w:t>
            </w:r>
          </w:p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exact"/>
              <w:ind w:left="0" w:leftChars="0" w:right="0" w:right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31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904" w:type="dxa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0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4" w:type="dxa"/>
            <w:vMerge w:val="continue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41" w:type="dxa"/>
            <w:tcBorders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……</w:t>
            </w:r>
          </w:p>
        </w:tc>
        <w:tc>
          <w:tcPr>
            <w:tcW w:w="97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98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0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31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904" w:type="dxa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0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4" w:type="dxa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社会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成本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指标</w:t>
            </w:r>
          </w:p>
        </w:tc>
        <w:tc>
          <w:tcPr>
            <w:tcW w:w="941" w:type="dxa"/>
            <w:tcBorders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</w:p>
        </w:tc>
        <w:tc>
          <w:tcPr>
            <w:tcW w:w="97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98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0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31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904" w:type="dxa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0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4" w:type="dxa"/>
            <w:vMerge w:val="continue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41" w:type="dxa"/>
            <w:tcBorders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……</w:t>
            </w:r>
          </w:p>
        </w:tc>
        <w:tc>
          <w:tcPr>
            <w:tcW w:w="97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98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0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31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904" w:type="dxa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0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4" w:type="dxa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生态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环境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成本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指标</w:t>
            </w:r>
          </w:p>
        </w:tc>
        <w:tc>
          <w:tcPr>
            <w:tcW w:w="941" w:type="dxa"/>
            <w:tcBorders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</w:p>
        </w:tc>
        <w:tc>
          <w:tcPr>
            <w:tcW w:w="97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98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0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31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904" w:type="dxa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0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4" w:type="dxa"/>
            <w:vMerge w:val="continue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41" w:type="dxa"/>
            <w:tcBorders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……</w:t>
            </w:r>
          </w:p>
        </w:tc>
        <w:tc>
          <w:tcPr>
            <w:tcW w:w="97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0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98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0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31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927" w:type="dxa"/>
            <w:gridSpan w:val="6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总分</w:t>
            </w:r>
          </w:p>
        </w:tc>
        <w:tc>
          <w:tcPr>
            <w:tcW w:w="598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100</w:t>
            </w:r>
          </w:p>
        </w:tc>
        <w:tc>
          <w:tcPr>
            <w:tcW w:w="70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98</w:t>
            </w:r>
          </w:p>
        </w:tc>
        <w:tc>
          <w:tcPr>
            <w:tcW w:w="131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</w:tbl>
    <w:p>
      <w:pPr>
        <w:rPr>
          <w:rFonts w:hint="eastAsia"/>
        </w:rPr>
      </w:pPr>
      <w:r>
        <w:rPr>
          <w:rFonts w:hint="eastAsia"/>
        </w:rPr>
        <w:t>备注：每个一级项目支出一张表。如，业务工作经费，运行维护经费，其他事业发展类资金各一张表。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填表人：</w:t>
      </w:r>
      <w:r>
        <w:rPr>
          <w:rFonts w:hint="eastAsia"/>
          <w:lang w:eastAsia="zh-CN"/>
        </w:rPr>
        <w:t>吴涛</w:t>
      </w:r>
      <w:r>
        <w:rPr>
          <w:rFonts w:hint="eastAsia"/>
        </w:rPr>
        <w:t xml:space="preserve">  填报日期：</w:t>
      </w:r>
      <w:r>
        <w:rPr>
          <w:rFonts w:hint="eastAsia"/>
          <w:lang w:val="en-US" w:eastAsia="zh-CN"/>
        </w:rPr>
        <w:t>2024.5.30</w:t>
      </w:r>
      <w:r>
        <w:rPr>
          <w:rFonts w:hint="eastAsia"/>
        </w:rPr>
        <w:t xml:space="preserve">   联系电话：</w:t>
      </w:r>
      <w:r>
        <w:rPr>
          <w:rFonts w:hint="eastAsia"/>
          <w:lang w:val="en-US" w:eastAsia="zh-CN"/>
        </w:rPr>
        <w:t>15197065012</w:t>
      </w:r>
      <w:r>
        <w:rPr>
          <w:rFonts w:hint="eastAsia"/>
        </w:rPr>
        <w:t xml:space="preserve">   单位负责人签字：</w:t>
      </w:r>
      <w:r>
        <w:rPr>
          <w:rFonts w:hint="eastAsia"/>
          <w:lang w:eastAsia="zh-CN"/>
        </w:rPr>
        <w:t>季志刚</w:t>
      </w:r>
    </w:p>
    <w:p>
      <w:pPr>
        <w:rPr>
          <w:rFonts w:hint="eastAsia" w:ascii="黑体" w:hAnsi="黑体" w:eastAsia="黑体" w:cs="黑体"/>
          <w:sz w:val="21"/>
          <w:szCs w:val="21"/>
          <w:lang w:val="en-US" w:eastAsia="zh-CN"/>
        </w:rPr>
      </w:pPr>
    </w:p>
    <w:sectPr>
      <w:footerReference r:id="rId3" w:type="default"/>
      <w:pgSz w:w="11905" w:h="16838"/>
      <w:pgMar w:top="1984" w:right="1701" w:bottom="1984" w:left="1701" w:header="850" w:footer="1587" w:gutter="0"/>
      <w:pgBorders>
        <w:top w:val="none" w:sz="0" w:space="0"/>
        <w:left w:val="none" w:sz="0" w:space="0"/>
        <w:bottom w:val="none" w:sz="0" w:space="0"/>
        <w:right w:val="none" w:sz="0" w:space="0"/>
      </w:pgBorders>
      <w:pgNumType w:fmt="numberInDash"/>
      <w:cols w:space="0" w:num="1"/>
      <w:rtlGutter w:val="0"/>
      <w:docGrid w:type="lines" w:linePitch="314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8BB44ECE-1739-470A-9986-B4142280C557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2" w:fontKey="{2145B35D-F743-4DBA-877F-1FE998F83AE1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1DC3DA58-AEEF-48A9-8744-C991D9AD5843}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4" w:fontKey="{AEAF3CA8-FD2A-479B-91CA-C4C76AA5A7E4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886694C7-3D1B-40DB-8273-5FA4B971950E}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  <w:embedRegular r:id="rId6" w:fontKey="{54FCCE44-D6D5-49C7-B5A1-50AB99F4E6A9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7" w:fontKey="{32E5C28D-F916-4790-942F-BF3E0CAF952B}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8" w:fontKey="{F47624CA-EB44-4065-B176-B992CA18066E}"/>
  </w:font>
  <w:font w:name="仿宋_GB2312">
    <w:panose1 w:val="02010609030101010101"/>
    <w:charset w:val="86"/>
    <w:family w:val="auto"/>
    <w:pitch w:val="default"/>
    <w:sig w:usb0="00000000" w:usb1="00000000" w:usb2="00000000" w:usb3="00000000" w:csb0="00000000" w:csb1="00000000"/>
    <w:embedRegular r:id="rId9" w:fontKey="{54B73720-41BC-4204-9EB0-D9C9F8480C1D}"/>
  </w:font>
  <w:font w:name="方正小标宋简体">
    <w:panose1 w:val="03000509000000000000"/>
    <w:charset w:val="86"/>
    <w:family w:val="auto"/>
    <w:pitch w:val="default"/>
    <w:sig w:usb0="00000000" w:usb1="00000000" w:usb2="00000000" w:usb3="00000000" w:csb0="00000000" w:csb1="00000000"/>
    <w:embedRegular r:id="rId10" w:fontKey="{DF69BEBD-6895-4E2D-AD24-0B68703BC209}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华文仿宋">
    <w:panose1 w:val="02010600040101010101"/>
    <w:charset w:val="86"/>
    <w:family w:val="auto"/>
    <w:pitch w:val="default"/>
    <w:sig w:usb0="00000287" w:usb1="080F0000" w:usb2="00000000" w:usb3="00000000" w:csb0="0004009F" w:csb1="DFD70000"/>
    <w:embedRegular r:id="rId11" w:fontKey="{F2143CA6-748D-4A22-B3EE-1ABD0DF4E49A}"/>
  </w:font>
  <w:font w:name="楷体_GB2312">
    <w:altName w:val="楷体"/>
    <w:panose1 w:val="02010609030101010101"/>
    <w:charset w:val="86"/>
    <w:family w:val="auto"/>
    <w:pitch w:val="default"/>
    <w:sig w:usb0="00000000" w:usb1="00000000" w:usb2="00000000" w:usb3="00000000" w:csb0="00000000" w:csb1="00000000"/>
  </w:font>
  <w:font w:name="方正小标宋_GBK">
    <w:panose1 w:val="03000509000000000000"/>
    <w:charset w:val="86"/>
    <w:family w:val="script"/>
    <w:pitch w:val="default"/>
    <w:sig w:usb0="00000000" w:usb1="00000000" w:usb2="00000000" w:usb3="00000000" w:csb0="0000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Arial">
    <w:panose1 w:val="020B0604020202020204"/>
    <w:charset w:val="00"/>
    <w:family w:val="auto"/>
    <w:pitch w:val="default"/>
    <w:sig w:usb0="E0002AFF" w:usb1="C0007843" w:usb2="00000009" w:usb3="00000000" w:csb0="400001FF" w:csb1="FFFF0000"/>
    <w:embedRegular r:id="rId12" w:fontKey="{DA4C68A5-448E-4981-9DEB-BA1B8D59CA86}"/>
  </w:font>
  <w:font w:name="新宋体">
    <w:panose1 w:val="02010609030101010101"/>
    <w:charset w:val="86"/>
    <w:family w:val="auto"/>
    <w:pitch w:val="default"/>
    <w:sig w:usb0="00000003" w:usb1="288F0000" w:usb2="00000006" w:usb3="00000000" w:csb0="00040001" w:csb1="00000000"/>
  </w:font>
  <w:font w:name="仿宋_GB2312">
    <w:panose1 w:val="02010609030101010101"/>
    <w:charset w:val="00"/>
    <w:family w:val="auto"/>
    <w:pitch w:val="default"/>
    <w:sig w:usb0="00000000" w:usb1="00000000" w:usb2="00000000" w:usb3="00000000" w:csb0="00000000" w:csb1="00000000"/>
  </w:font>
  <w:font w:name="方正仿宋_GBK">
    <w:altName w:val="Arial Unicode MS"/>
    <w:panose1 w:val="03000509000000000000"/>
    <w:charset w:val="86"/>
    <w:family w:val="auto"/>
    <w:pitch w:val="default"/>
    <w:sig w:usb0="00000000" w:usb1="00000000" w:usb2="00000000" w:usb3="00000000" w:csb0="00040000" w:csb1="00000000"/>
  </w:font>
  <w:font w:name="方正楷体_GBK">
    <w:altName w:val="Arial Unicode MS"/>
    <w:panose1 w:val="02000000000000000000"/>
    <w:charset w:val="86"/>
    <w:family w:val="auto"/>
    <w:pitch w:val="default"/>
    <w:sig w:usb0="00000000" w:usb1="00000000" w:usb2="00000000" w:usb3="00000000" w:csb0="00040000" w:csb1="00000000"/>
  </w:font>
  <w:font w:name="Arial Unicode MS">
    <w:panose1 w:val="020B0604020202020204"/>
    <w:charset w:val="86"/>
    <w:family w:val="auto"/>
    <w:pitch w:val="default"/>
    <w:sig w:usb0="FFFFFFFF" w:usb1="E9FFFFFF" w:usb2="0000003F" w:usb3="00000000" w:csb0="603F01FF" w:csb1="FFFF0000"/>
  </w:font>
  <w:font w:name="MS Mincho">
    <w:panose1 w:val="02020609040205080304"/>
    <w:charset w:val="80"/>
    <w:family w:val="modern"/>
    <w:pitch w:val="default"/>
    <w:sig w:usb0="E00002FF" w:usb1="6AC7FDFB" w:usb2="00000012" w:usb3="00000000" w:csb0="4002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spacing w:before="1" w:line="174" w:lineRule="auto"/>
      <w:ind w:left="574"/>
      <w:rPr>
        <w:sz w:val="28"/>
        <w:szCs w:val="28"/>
      </w:rPr>
    </w:pPr>
    <w:r>
      <w:rPr>
        <w:sz w:val="2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4" name="文本框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5"/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bidi w:val="0"/>
                            <w:adjustRightInd/>
                            <w:snapToGrid w:val="0"/>
                            <w:ind w:left="525" w:leftChars="250" w:right="525" w:rightChars="250"/>
                            <w:textAlignment w:val="auto"/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begin"/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separate"/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t>15</w:t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5"/>
                      <w:keepNext w:val="0"/>
                      <w:keepLines w:val="0"/>
                      <w:pageBreakBefore w:val="0"/>
                      <w:widowControl w:val="0"/>
                      <w:kinsoku/>
                      <w:wordWrap/>
                      <w:overflowPunct/>
                      <w:topLinePunct w:val="0"/>
                      <w:bidi w:val="0"/>
                      <w:adjustRightInd/>
                      <w:snapToGrid w:val="0"/>
                      <w:ind w:left="525" w:leftChars="250" w:right="525" w:rightChars="250"/>
                      <w:textAlignment w:val="auto"/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</w:pP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begin"/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instrText xml:space="preserve"> PAGE  \* MERGEFORMAT </w:instrText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separate"/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t>15</w:t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C1FDEAFB"/>
    <w:multiLevelType w:val="singleLevel"/>
    <w:tmpl w:val="C1FDEAFB"/>
    <w:lvl w:ilvl="0" w:tentative="0">
      <w:start w:val="2"/>
      <w:numFmt w:val="chineseCounting"/>
      <w:suff w:val="nothing"/>
      <w:lvlText w:val="（%1）"/>
      <w:lvlJc w:val="left"/>
      <w:rPr>
        <w:rFonts w:hint="eastAsia"/>
      </w:rPr>
    </w:lvl>
  </w:abstractNum>
  <w:abstractNum w:abstractNumId="1">
    <w:nsid w:val="16732527"/>
    <w:multiLevelType w:val="singleLevel"/>
    <w:tmpl w:val="16732527"/>
    <w:lvl w:ilvl="0" w:tentative="0">
      <w:start w:val="2"/>
      <w:numFmt w:val="chineseCounting"/>
      <w:suff w:val="nothing"/>
      <w:lvlText w:val="（%1）"/>
      <w:lvlJc w:val="left"/>
      <w:rPr>
        <w:rFonts w:hint="eastAsia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bordersDoNotSurroundHeader w:val="0"/>
  <w:bordersDoNotSurroundFooter w:val="0"/>
  <w:documentProtection w:enforcement="0"/>
  <w:defaultTabStop w:val="420"/>
  <w:drawingGridHorizontalSpacing w:val="210"/>
  <w:drawingGridVerticalSpacing w:val="157"/>
  <w:displayHorizontalDrawingGridEvery w:val="1"/>
  <w:displayVerticalDrawingGridEvery w:val="1"/>
  <w:noPunctuationKerning w:val="1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3,4"/>
    </o:shapelayout>
  </w:hdrShapeDefaults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DlhN2Y5ZGY3OWY3ODc0YmUzYjQwODEzMDE0MjQ5Y2QifQ=="/>
    <w:docVar w:name="KSO_WPS_MARK_KEY" w:val="825306f5-8129-4341-b995-e79a30d77cdd"/>
  </w:docVars>
  <w:rsids>
    <w:rsidRoot w:val="0CCB7736"/>
    <w:rsid w:val="00047FEF"/>
    <w:rsid w:val="000A3906"/>
    <w:rsid w:val="001776F1"/>
    <w:rsid w:val="006F0A16"/>
    <w:rsid w:val="00773328"/>
    <w:rsid w:val="00821883"/>
    <w:rsid w:val="00917857"/>
    <w:rsid w:val="00951882"/>
    <w:rsid w:val="00A755C2"/>
    <w:rsid w:val="00D06DD6"/>
    <w:rsid w:val="011D2710"/>
    <w:rsid w:val="016A347B"/>
    <w:rsid w:val="01B42948"/>
    <w:rsid w:val="01BF20E7"/>
    <w:rsid w:val="01E4322D"/>
    <w:rsid w:val="021138F7"/>
    <w:rsid w:val="02B50488"/>
    <w:rsid w:val="0338470A"/>
    <w:rsid w:val="034822A9"/>
    <w:rsid w:val="03D86621"/>
    <w:rsid w:val="04EE6171"/>
    <w:rsid w:val="05315F6B"/>
    <w:rsid w:val="05395EA9"/>
    <w:rsid w:val="0616597F"/>
    <w:rsid w:val="06426ACC"/>
    <w:rsid w:val="07A62D33"/>
    <w:rsid w:val="086B5F82"/>
    <w:rsid w:val="09E6794E"/>
    <w:rsid w:val="0A067AB9"/>
    <w:rsid w:val="0ABD557B"/>
    <w:rsid w:val="0BBB5A8D"/>
    <w:rsid w:val="0C104906"/>
    <w:rsid w:val="0C607C21"/>
    <w:rsid w:val="0CCB7736"/>
    <w:rsid w:val="0D9E0E8D"/>
    <w:rsid w:val="0E1F65D3"/>
    <w:rsid w:val="0E3E5716"/>
    <w:rsid w:val="0E6B257C"/>
    <w:rsid w:val="0EAB7397"/>
    <w:rsid w:val="0EF755B3"/>
    <w:rsid w:val="0F17035E"/>
    <w:rsid w:val="0F4E168D"/>
    <w:rsid w:val="0F7A0392"/>
    <w:rsid w:val="0FAF3959"/>
    <w:rsid w:val="0FD26E31"/>
    <w:rsid w:val="1020625B"/>
    <w:rsid w:val="11404466"/>
    <w:rsid w:val="11837AA9"/>
    <w:rsid w:val="11963ADD"/>
    <w:rsid w:val="11EB0F5C"/>
    <w:rsid w:val="11F20483"/>
    <w:rsid w:val="12123C76"/>
    <w:rsid w:val="12831010"/>
    <w:rsid w:val="129038DB"/>
    <w:rsid w:val="13441D7E"/>
    <w:rsid w:val="136F31F8"/>
    <w:rsid w:val="138750E0"/>
    <w:rsid w:val="1396506E"/>
    <w:rsid w:val="13D82A59"/>
    <w:rsid w:val="140E6961"/>
    <w:rsid w:val="15604228"/>
    <w:rsid w:val="15A620D3"/>
    <w:rsid w:val="16A3369E"/>
    <w:rsid w:val="17114A8B"/>
    <w:rsid w:val="176B77A7"/>
    <w:rsid w:val="178536BD"/>
    <w:rsid w:val="19516372"/>
    <w:rsid w:val="19575CC2"/>
    <w:rsid w:val="19A80228"/>
    <w:rsid w:val="19AF68C7"/>
    <w:rsid w:val="19E85A53"/>
    <w:rsid w:val="1A101464"/>
    <w:rsid w:val="1A4C1518"/>
    <w:rsid w:val="1AB71087"/>
    <w:rsid w:val="1AB74849"/>
    <w:rsid w:val="1AC52FF2"/>
    <w:rsid w:val="1AE6175D"/>
    <w:rsid w:val="1B742AA7"/>
    <w:rsid w:val="1BD5498B"/>
    <w:rsid w:val="1BF15B4E"/>
    <w:rsid w:val="1CA34935"/>
    <w:rsid w:val="1D5A640E"/>
    <w:rsid w:val="1E9351E5"/>
    <w:rsid w:val="1F7640EC"/>
    <w:rsid w:val="20176B8B"/>
    <w:rsid w:val="20D30097"/>
    <w:rsid w:val="20D76C5F"/>
    <w:rsid w:val="20E55C2B"/>
    <w:rsid w:val="21057490"/>
    <w:rsid w:val="214A230E"/>
    <w:rsid w:val="21B052C4"/>
    <w:rsid w:val="22B43877"/>
    <w:rsid w:val="22CA430C"/>
    <w:rsid w:val="22DF2F05"/>
    <w:rsid w:val="22FF5445"/>
    <w:rsid w:val="23201E3D"/>
    <w:rsid w:val="2342170A"/>
    <w:rsid w:val="238D0E57"/>
    <w:rsid w:val="24256710"/>
    <w:rsid w:val="251E7983"/>
    <w:rsid w:val="25FE2B31"/>
    <w:rsid w:val="260D5D83"/>
    <w:rsid w:val="260E1D77"/>
    <w:rsid w:val="277A77CA"/>
    <w:rsid w:val="28043432"/>
    <w:rsid w:val="284A2254"/>
    <w:rsid w:val="29165294"/>
    <w:rsid w:val="292F1467"/>
    <w:rsid w:val="29786927"/>
    <w:rsid w:val="297B51B4"/>
    <w:rsid w:val="29E40467"/>
    <w:rsid w:val="29F527E2"/>
    <w:rsid w:val="2A9A1E2C"/>
    <w:rsid w:val="2BF35971"/>
    <w:rsid w:val="2C487650"/>
    <w:rsid w:val="2C5A7AC4"/>
    <w:rsid w:val="2E4F43C0"/>
    <w:rsid w:val="2EC7368E"/>
    <w:rsid w:val="2EDC05D9"/>
    <w:rsid w:val="2F240CAA"/>
    <w:rsid w:val="2F5137B6"/>
    <w:rsid w:val="2FF62815"/>
    <w:rsid w:val="30FB4B41"/>
    <w:rsid w:val="31621165"/>
    <w:rsid w:val="322E1E8E"/>
    <w:rsid w:val="323C5548"/>
    <w:rsid w:val="33235CE2"/>
    <w:rsid w:val="33A97364"/>
    <w:rsid w:val="33F22F3B"/>
    <w:rsid w:val="359F2200"/>
    <w:rsid w:val="35A42962"/>
    <w:rsid w:val="36AD0EA9"/>
    <w:rsid w:val="36FF783F"/>
    <w:rsid w:val="37450F88"/>
    <w:rsid w:val="375F1A7E"/>
    <w:rsid w:val="378B026E"/>
    <w:rsid w:val="37B47BE4"/>
    <w:rsid w:val="37D6106F"/>
    <w:rsid w:val="37F52D97"/>
    <w:rsid w:val="38241593"/>
    <w:rsid w:val="38856E40"/>
    <w:rsid w:val="38BE1DF3"/>
    <w:rsid w:val="38F862EB"/>
    <w:rsid w:val="39343807"/>
    <w:rsid w:val="39887BBC"/>
    <w:rsid w:val="3A0F7AD4"/>
    <w:rsid w:val="3A53023B"/>
    <w:rsid w:val="3AF42D2D"/>
    <w:rsid w:val="3B062751"/>
    <w:rsid w:val="3B3A041F"/>
    <w:rsid w:val="3BAE6BF9"/>
    <w:rsid w:val="3BEE0229"/>
    <w:rsid w:val="3C3568D7"/>
    <w:rsid w:val="3CCA47F2"/>
    <w:rsid w:val="3CDE0708"/>
    <w:rsid w:val="3D33006A"/>
    <w:rsid w:val="3D3954D4"/>
    <w:rsid w:val="3D5877DF"/>
    <w:rsid w:val="3DAE53BC"/>
    <w:rsid w:val="3DC55CAA"/>
    <w:rsid w:val="3DD556CA"/>
    <w:rsid w:val="3DFE271A"/>
    <w:rsid w:val="3E5F4AE1"/>
    <w:rsid w:val="3F450429"/>
    <w:rsid w:val="3FB6105E"/>
    <w:rsid w:val="3FBF3F86"/>
    <w:rsid w:val="3FF70715"/>
    <w:rsid w:val="3FFD550C"/>
    <w:rsid w:val="4021030A"/>
    <w:rsid w:val="40226C80"/>
    <w:rsid w:val="40C451A5"/>
    <w:rsid w:val="40C671E5"/>
    <w:rsid w:val="41051ABE"/>
    <w:rsid w:val="4156470B"/>
    <w:rsid w:val="41943ACE"/>
    <w:rsid w:val="42521D88"/>
    <w:rsid w:val="425D4066"/>
    <w:rsid w:val="430118BA"/>
    <w:rsid w:val="43173FD4"/>
    <w:rsid w:val="434733F3"/>
    <w:rsid w:val="43B27D8E"/>
    <w:rsid w:val="44143822"/>
    <w:rsid w:val="44654A12"/>
    <w:rsid w:val="44E421C9"/>
    <w:rsid w:val="45320384"/>
    <w:rsid w:val="457C5F26"/>
    <w:rsid w:val="4716830A"/>
    <w:rsid w:val="47BF53CA"/>
    <w:rsid w:val="48B126BB"/>
    <w:rsid w:val="49CF255F"/>
    <w:rsid w:val="4A3239D7"/>
    <w:rsid w:val="4B2C5DCD"/>
    <w:rsid w:val="4B46D032"/>
    <w:rsid w:val="4B7D1173"/>
    <w:rsid w:val="4BBDFBDE"/>
    <w:rsid w:val="4BCF5C41"/>
    <w:rsid w:val="4C150E22"/>
    <w:rsid w:val="4C6A38FC"/>
    <w:rsid w:val="4CD520DA"/>
    <w:rsid w:val="4CE74BC3"/>
    <w:rsid w:val="4CEEB85C"/>
    <w:rsid w:val="4CF5000E"/>
    <w:rsid w:val="4D6D6EEB"/>
    <w:rsid w:val="4DB17672"/>
    <w:rsid w:val="4DB27F04"/>
    <w:rsid w:val="4F5D15A2"/>
    <w:rsid w:val="4FCB46B2"/>
    <w:rsid w:val="4FFE57BD"/>
    <w:rsid w:val="50AC44C4"/>
    <w:rsid w:val="50EA6DB9"/>
    <w:rsid w:val="51453FF0"/>
    <w:rsid w:val="515661FD"/>
    <w:rsid w:val="51714DE5"/>
    <w:rsid w:val="51CA7471"/>
    <w:rsid w:val="521C2FA3"/>
    <w:rsid w:val="522529B2"/>
    <w:rsid w:val="524806C4"/>
    <w:rsid w:val="5301082D"/>
    <w:rsid w:val="5387476B"/>
    <w:rsid w:val="53910AF4"/>
    <w:rsid w:val="53FBDA3F"/>
    <w:rsid w:val="54F63F7F"/>
    <w:rsid w:val="555952B3"/>
    <w:rsid w:val="555E65E4"/>
    <w:rsid w:val="556B5A36"/>
    <w:rsid w:val="5599697B"/>
    <w:rsid w:val="55AF40BB"/>
    <w:rsid w:val="55E65FDC"/>
    <w:rsid w:val="5613734A"/>
    <w:rsid w:val="562D7E5B"/>
    <w:rsid w:val="564F3D12"/>
    <w:rsid w:val="56F72F7C"/>
    <w:rsid w:val="5717642E"/>
    <w:rsid w:val="57946554"/>
    <w:rsid w:val="57D80A00"/>
    <w:rsid w:val="586243BF"/>
    <w:rsid w:val="58FD3402"/>
    <w:rsid w:val="5968027A"/>
    <w:rsid w:val="59CC625E"/>
    <w:rsid w:val="5AAF7799"/>
    <w:rsid w:val="5AB04BD0"/>
    <w:rsid w:val="5B5C1753"/>
    <w:rsid w:val="5BE211F7"/>
    <w:rsid w:val="5BF510BE"/>
    <w:rsid w:val="5C6C4B26"/>
    <w:rsid w:val="5D03DFF6"/>
    <w:rsid w:val="5D9C3D56"/>
    <w:rsid w:val="5DD775C7"/>
    <w:rsid w:val="5E134100"/>
    <w:rsid w:val="5F7A1C50"/>
    <w:rsid w:val="5FC69000"/>
    <w:rsid w:val="601C4AB5"/>
    <w:rsid w:val="604F2F3E"/>
    <w:rsid w:val="60BE691E"/>
    <w:rsid w:val="60F838FC"/>
    <w:rsid w:val="61444403"/>
    <w:rsid w:val="62265BDF"/>
    <w:rsid w:val="62E1699A"/>
    <w:rsid w:val="62FBC294"/>
    <w:rsid w:val="63123C13"/>
    <w:rsid w:val="637D5875"/>
    <w:rsid w:val="64147F0D"/>
    <w:rsid w:val="64B713E7"/>
    <w:rsid w:val="64D66362"/>
    <w:rsid w:val="65860217"/>
    <w:rsid w:val="659D5052"/>
    <w:rsid w:val="667E0AA1"/>
    <w:rsid w:val="66AE5CE5"/>
    <w:rsid w:val="66D4191C"/>
    <w:rsid w:val="677027A4"/>
    <w:rsid w:val="67B37C7A"/>
    <w:rsid w:val="67F20A94"/>
    <w:rsid w:val="68FB17C3"/>
    <w:rsid w:val="695F12F9"/>
    <w:rsid w:val="69636C3A"/>
    <w:rsid w:val="696D83E8"/>
    <w:rsid w:val="69C60A20"/>
    <w:rsid w:val="69CF7B2C"/>
    <w:rsid w:val="69EE4FDB"/>
    <w:rsid w:val="69FEC155"/>
    <w:rsid w:val="6A0B0004"/>
    <w:rsid w:val="6A3273AF"/>
    <w:rsid w:val="6AC56475"/>
    <w:rsid w:val="6AD35263"/>
    <w:rsid w:val="6B8D38AE"/>
    <w:rsid w:val="6BA1010E"/>
    <w:rsid w:val="6BC80F42"/>
    <w:rsid w:val="6CE47E41"/>
    <w:rsid w:val="6CED5810"/>
    <w:rsid w:val="6CF92413"/>
    <w:rsid w:val="6DFE5E04"/>
    <w:rsid w:val="6E0D1F7B"/>
    <w:rsid w:val="6E796921"/>
    <w:rsid w:val="6E87203D"/>
    <w:rsid w:val="6F9278BB"/>
    <w:rsid w:val="6FB7D4E3"/>
    <w:rsid w:val="6FBE0EF0"/>
    <w:rsid w:val="6FFF1C22"/>
    <w:rsid w:val="70EC5DDE"/>
    <w:rsid w:val="71572F19"/>
    <w:rsid w:val="719B7427"/>
    <w:rsid w:val="71E33685"/>
    <w:rsid w:val="71F326B3"/>
    <w:rsid w:val="724A6793"/>
    <w:rsid w:val="72647B59"/>
    <w:rsid w:val="7372FC32"/>
    <w:rsid w:val="73A56E44"/>
    <w:rsid w:val="73B12A87"/>
    <w:rsid w:val="741F26FA"/>
    <w:rsid w:val="74470DF8"/>
    <w:rsid w:val="744E1D52"/>
    <w:rsid w:val="74BD60BB"/>
    <w:rsid w:val="74CF0052"/>
    <w:rsid w:val="74FA3C0D"/>
    <w:rsid w:val="751D6EAE"/>
    <w:rsid w:val="75FD1676"/>
    <w:rsid w:val="7687113B"/>
    <w:rsid w:val="76C3247D"/>
    <w:rsid w:val="76EFC8B0"/>
    <w:rsid w:val="776ACBF9"/>
    <w:rsid w:val="77FF7A21"/>
    <w:rsid w:val="7951325E"/>
    <w:rsid w:val="799536BA"/>
    <w:rsid w:val="7B170752"/>
    <w:rsid w:val="7B382425"/>
    <w:rsid w:val="7B8F681B"/>
    <w:rsid w:val="7BC55225"/>
    <w:rsid w:val="7BFF9B5C"/>
    <w:rsid w:val="7C3B673F"/>
    <w:rsid w:val="7CCE5D46"/>
    <w:rsid w:val="7CED5089"/>
    <w:rsid w:val="7D8636B9"/>
    <w:rsid w:val="7DD96C0E"/>
    <w:rsid w:val="7E352599"/>
    <w:rsid w:val="7E474F7B"/>
    <w:rsid w:val="7E7F4A49"/>
    <w:rsid w:val="7E8F7AC1"/>
    <w:rsid w:val="7F2BE2DA"/>
    <w:rsid w:val="7F7F87CE"/>
    <w:rsid w:val="7FB79B09"/>
    <w:rsid w:val="7FE97AB9"/>
    <w:rsid w:val="7FF13FB3"/>
    <w:rsid w:val="7FF31D0E"/>
    <w:rsid w:val="7FFDD6B3"/>
    <w:rsid w:val="7FFFB476"/>
    <w:rsid w:val="8BDF47C4"/>
    <w:rsid w:val="97BCC380"/>
    <w:rsid w:val="9FFF52D8"/>
    <w:rsid w:val="AEB56B76"/>
    <w:rsid w:val="AF9DF110"/>
    <w:rsid w:val="AFABB544"/>
    <w:rsid w:val="B8EB831F"/>
    <w:rsid w:val="B97CA8A2"/>
    <w:rsid w:val="BDEC0853"/>
    <w:rsid w:val="BEDF2C93"/>
    <w:rsid w:val="BFCF8B12"/>
    <w:rsid w:val="BFDE3C5E"/>
    <w:rsid w:val="BFF98747"/>
    <w:rsid w:val="BFFBFE8B"/>
    <w:rsid w:val="CD1D59DB"/>
    <w:rsid w:val="D8BFEB7A"/>
    <w:rsid w:val="DA7C7C00"/>
    <w:rsid w:val="DBBAFFF2"/>
    <w:rsid w:val="DCEDDEBC"/>
    <w:rsid w:val="DD7F0B52"/>
    <w:rsid w:val="DF2D0D8F"/>
    <w:rsid w:val="DF5FFD2E"/>
    <w:rsid w:val="DF7CB467"/>
    <w:rsid w:val="DFD16BC5"/>
    <w:rsid w:val="E7C7ECFD"/>
    <w:rsid w:val="E993F613"/>
    <w:rsid w:val="EAF02C80"/>
    <w:rsid w:val="EAFDC676"/>
    <w:rsid w:val="EC7CC44F"/>
    <w:rsid w:val="EDFFCE85"/>
    <w:rsid w:val="EFFEB24D"/>
    <w:rsid w:val="EFFFEA89"/>
    <w:rsid w:val="F67CDAB7"/>
    <w:rsid w:val="F7FFE2AA"/>
    <w:rsid w:val="FA96002D"/>
    <w:rsid w:val="FAFB27C0"/>
    <w:rsid w:val="FAFD7633"/>
    <w:rsid w:val="FB1719BC"/>
    <w:rsid w:val="FB2CBFEE"/>
    <w:rsid w:val="FBF58250"/>
    <w:rsid w:val="FCABCEC9"/>
    <w:rsid w:val="FD2B24D7"/>
    <w:rsid w:val="FDB340CE"/>
    <w:rsid w:val="FDFF90A7"/>
    <w:rsid w:val="FECB43AA"/>
    <w:rsid w:val="FEF02C5D"/>
    <w:rsid w:val="FEF9D4A3"/>
    <w:rsid w:val="FF5F60DE"/>
    <w:rsid w:val="FF5FC66C"/>
    <w:rsid w:val="FF9F4BB4"/>
    <w:rsid w:val="FFBB7CF0"/>
    <w:rsid w:val="FFDD4AC6"/>
    <w:rsid w:val="FFDEE716"/>
    <w:rsid w:val="FFF927C6"/>
    <w:rsid w:val="FFFB44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qFormat="1" w:unhideWhenUsed="0" w:uiPriority="0" w:semiHidden="0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nhideWhenUsed="0" w:uiPriority="99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qFormat="1" w:unhideWhenUsed="0" w:uiPriority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3">
    <w:name w:val="heading 1"/>
    <w:basedOn w:val="1"/>
    <w:next w:val="1"/>
    <w:qFormat/>
    <w:locked/>
    <w:uiPriority w:val="0"/>
    <w:pPr>
      <w:keepNext/>
      <w:keepLines/>
      <w:outlineLvl w:val="0"/>
    </w:pPr>
    <w:rPr>
      <w:rFonts w:eastAsia="黑体"/>
      <w:bCs/>
      <w:kern w:val="44"/>
      <w:szCs w:val="44"/>
    </w:rPr>
  </w:style>
  <w:style w:type="character" w:default="1" w:styleId="8">
    <w:name w:val="Default Paragraph Font"/>
    <w:semiHidden/>
    <w:qFormat/>
    <w:uiPriority w:val="99"/>
  </w:style>
  <w:style w:type="table" w:default="1" w:styleId="10">
    <w:name w:val="Normal Table"/>
    <w:semiHidden/>
    <w:unhideWhenUsed/>
    <w:qFormat/>
    <w:uiPriority w:val="99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Times New Roman" w:hAnsi="Times New Roman" w:eastAsia="Times New Roman" w:cs="Times New Roman"/>
      <w:sz w:val="20"/>
      <w:szCs w:val="20"/>
    </w:rPr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note text"/>
    <w:basedOn w:val="1"/>
    <w:next w:val="1"/>
    <w:qFormat/>
    <w:uiPriority w:val="0"/>
    <w:pPr>
      <w:snapToGrid w:val="0"/>
      <w:jc w:val="left"/>
    </w:pPr>
    <w:rPr>
      <w:sz w:val="18"/>
      <w:szCs w:val="18"/>
    </w:rPr>
  </w:style>
  <w:style w:type="paragraph" w:styleId="4">
    <w:name w:val="Body Text"/>
    <w:basedOn w:val="1"/>
    <w:semiHidden/>
    <w:qFormat/>
    <w:uiPriority w:val="0"/>
    <w:rPr>
      <w:rFonts w:ascii="仿宋" w:hAnsi="仿宋" w:eastAsia="仿宋" w:cs="仿宋"/>
      <w:sz w:val="31"/>
      <w:szCs w:val="31"/>
      <w:lang w:val="en-US" w:eastAsia="en-US" w:bidi="ar-SA"/>
    </w:rPr>
  </w:style>
  <w:style w:type="paragraph" w:styleId="5">
    <w:name w:val="footer"/>
    <w:basedOn w:val="1"/>
    <w:link w:val="12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6">
    <w:name w:val="header"/>
    <w:basedOn w:val="1"/>
    <w:link w:val="13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7">
    <w:name w:val="Normal (Web)"/>
    <w:basedOn w:val="1"/>
    <w:semiHidden/>
    <w:unhideWhenUsed/>
    <w:uiPriority w:val="99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styleId="9">
    <w:name w:val="page number"/>
    <w:basedOn w:val="8"/>
    <w:qFormat/>
    <w:uiPriority w:val="99"/>
    <w:rPr>
      <w:rFonts w:cs="Times New Roman"/>
    </w:rPr>
  </w:style>
  <w:style w:type="table" w:styleId="11">
    <w:name w:val="Table Grid"/>
    <w:basedOn w:val="10"/>
    <w:qFormat/>
    <w:uiPriority w:val="99"/>
    <w:pPr>
      <w:widowControl w:val="0"/>
      <w:jc w:val="both"/>
    </w:pPr>
    <w:rPr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2">
    <w:name w:val="Footer Char"/>
    <w:basedOn w:val="8"/>
    <w:link w:val="5"/>
    <w:semiHidden/>
    <w:qFormat/>
    <w:uiPriority w:val="99"/>
    <w:rPr>
      <w:sz w:val="18"/>
      <w:szCs w:val="18"/>
    </w:rPr>
  </w:style>
  <w:style w:type="character" w:customStyle="1" w:styleId="13">
    <w:name w:val="Header Char"/>
    <w:basedOn w:val="8"/>
    <w:link w:val="6"/>
    <w:semiHidden/>
    <w:qFormat/>
    <w:uiPriority w:val="99"/>
    <w:rPr>
      <w:sz w:val="18"/>
      <w:szCs w:val="18"/>
    </w:rPr>
  </w:style>
  <w:style w:type="paragraph" w:styleId="14">
    <w:name w:val="List Paragraph"/>
    <w:basedOn w:val="1"/>
    <w:qFormat/>
    <w:uiPriority w:val="99"/>
    <w:pPr>
      <w:ind w:firstLine="420" w:firstLineChars="200"/>
    </w:pPr>
    <w:rPr>
      <w:rFonts w:ascii="Calibri" w:hAnsi="Calibri"/>
      <w:szCs w:val="22"/>
    </w:rPr>
  </w:style>
  <w:style w:type="table" w:customStyle="1" w:styleId="15">
    <w:name w:val="Table Normal"/>
    <w:semiHidden/>
    <w:unhideWhenUsed/>
    <w:qFormat/>
    <w:uiPriority w:val="0"/>
    <w:tblPr>
      <w:tblLayout w:type="fixed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6">
    <w:name w:val="Table Text"/>
    <w:basedOn w:val="1"/>
    <w:semiHidden/>
    <w:qFormat/>
    <w:uiPriority w:val="0"/>
    <w:rPr>
      <w:rFonts w:ascii="Arial" w:hAnsi="Arial" w:eastAsia="Arial" w:cs="Arial"/>
      <w:sz w:val="21"/>
      <w:szCs w:val="21"/>
      <w:lang w:val="en-US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numbering" Target="numbering.xml"/><Relationship Id="rId6" Type="http://schemas.openxmlformats.org/officeDocument/2006/relationships/customXml" Target="../customXml/item1.xml"/><Relationship Id="rId5" Type="http://schemas.openxmlformats.org/officeDocument/2006/relationships/image" Target="media/image1.jpe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2" Type="http://schemas.openxmlformats.org/officeDocument/2006/relationships/font" Target="fonts/font12.odttf"/><Relationship Id="rId11" Type="http://schemas.openxmlformats.org/officeDocument/2006/relationships/font" Target="fonts/font11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Pages>12</Pages>
  <Words>2041</Words>
  <Characters>2104</Characters>
  <Lines>0</Lines>
  <Paragraphs>0</Paragraphs>
  <ScaleCrop>false</ScaleCrop>
  <LinksUpToDate>false</LinksUpToDate>
  <CharactersWithSpaces>2277</CharactersWithSpaces>
  <Application>WPS Office_10.1.0.7106_F1E327BC-269C-435d-A152-05C5408002CA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2020-06-06T01:07:00Z</dcterms:created>
  <dc:creator>Administrator</dc:creator>
  <cp:lastModifiedBy>Administrator</cp:lastModifiedBy>
  <cp:lastPrinted>2024-05-20T07:59:00Z</cp:lastPrinted>
  <dcterms:modified xsi:type="dcterms:W3CDTF">2024-05-31T03:37:10Z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2052-10.1.0.7106</vt:lpwstr>
  </property>
  <property fmtid="{D5CDD505-2E9C-101B-9397-08002B2CF9AE}" pid="3" name="KSOSaveFontToCloudKey">
    <vt:lpwstr>386772509_embed</vt:lpwstr>
  </property>
  <property fmtid="{D5CDD505-2E9C-101B-9397-08002B2CF9AE}" pid="4" name="ICV">
    <vt:lpwstr>BC79A89688B74333B2D9A4AFDDD0AA3C</vt:lpwstr>
  </property>
</Properties>
</file>