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18.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ascii="黑体" w:hAnsi="黑体" w:eastAsia="黑体" w:cs="黑体"/>
          <w:spacing w:val="-4"/>
          <w:sz w:val="31"/>
          <w:szCs w:val="31"/>
          <w:lang w:val="en-US" w:eastAsia="zh-CN"/>
        </w:rPr>
      </w:pPr>
      <w:r>
        <w:rPr>
          <w:rFonts w:hint="eastAsia" w:ascii="仿宋_GB2312" w:hAnsi="仿宋_GB2312" w:eastAsia="仿宋_GB2312" w:cs="仿宋_GB2312"/>
          <w:spacing w:val="-4"/>
          <w:sz w:val="32"/>
          <w:szCs w:val="32"/>
        </w:rPr>
        <w:t>附件</w:t>
      </w:r>
      <w:r>
        <w:rPr>
          <w:rFonts w:hint="eastAsia" w:ascii="仿宋_GB2312" w:hAnsi="仿宋_GB2312" w:eastAsia="仿宋_GB2312" w:cs="仿宋_GB2312"/>
          <w:spacing w:val="-4"/>
          <w:sz w:val="32"/>
          <w:szCs w:val="32"/>
          <w:lang w:val="en-US" w:eastAsia="zh-CN"/>
        </w:rPr>
        <w:t>2</w:t>
      </w:r>
    </w:p>
    <w:p>
      <w:pPr>
        <w:keepNext w:val="0"/>
        <w:keepLines w:val="0"/>
        <w:pageBreakBefore w:val="0"/>
        <w:widowControl w:val="0"/>
        <w:kinsoku/>
        <w:wordWrap/>
        <w:overflowPunct/>
        <w:topLinePunct w:val="0"/>
        <w:autoSpaceDE/>
        <w:autoSpaceDN/>
        <w:bidi w:val="0"/>
        <w:adjustRightInd/>
        <w:snapToGrid/>
        <w:spacing w:line="300" w:lineRule="exact"/>
        <w:ind w:left="0"/>
        <w:textAlignment w:val="auto"/>
        <w:rPr>
          <w:rFonts w:hint="eastAsia" w:ascii="黑体" w:hAnsi="黑体" w:eastAsia="黑体" w:cs="黑体"/>
          <w:spacing w:val="-4"/>
          <w:sz w:val="31"/>
          <w:szCs w:val="31"/>
          <w:lang w:val="en-US" w:eastAsia="zh-CN"/>
        </w:rPr>
      </w:pPr>
    </w:p>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方正小标宋简体" w:hAnsi="方正小标宋简体" w:eastAsia="方正小标宋简体" w:cs="方正小标宋简体"/>
          <w:spacing w:val="0"/>
          <w:sz w:val="44"/>
          <w:szCs w:val="44"/>
        </w:rPr>
      </w:pPr>
      <w:r>
        <w:rPr>
          <w:rFonts w:hint="eastAsia" w:ascii="方正小标宋简体" w:hAnsi="方正小标宋简体" w:eastAsia="方正小标宋简体" w:cs="方正小标宋简体"/>
          <w:spacing w:val="0"/>
          <w:sz w:val="44"/>
          <w:szCs w:val="44"/>
        </w:rPr>
        <w:t>2023年度部门整体支出绩效评价基础数据表</w:t>
      </w:r>
    </w:p>
    <w:p>
      <w:pPr>
        <w:keepNext w:val="0"/>
        <w:keepLines w:val="0"/>
        <w:pageBreakBefore w:val="0"/>
        <w:widowControl w:val="0"/>
        <w:kinsoku/>
        <w:wordWrap/>
        <w:overflowPunct/>
        <w:topLinePunct w:val="0"/>
        <w:autoSpaceDE/>
        <w:autoSpaceDN/>
        <w:bidi w:val="0"/>
        <w:adjustRightInd/>
        <w:snapToGrid/>
        <w:spacing w:line="300" w:lineRule="exact"/>
        <w:textAlignment w:val="auto"/>
      </w:pPr>
    </w:p>
    <w:tbl>
      <w:tblPr>
        <w:tblStyle w:val="19"/>
        <w:tblW w:w="927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419"/>
        <w:gridCol w:w="964"/>
        <w:gridCol w:w="965"/>
        <w:gridCol w:w="1"/>
        <w:gridCol w:w="985"/>
        <w:gridCol w:w="986"/>
        <w:gridCol w:w="978"/>
        <w:gridCol w:w="979"/>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9" w:hRule="atLeast"/>
          <w:jc w:val="center"/>
        </w:trPr>
        <w:tc>
          <w:tcPr>
            <w:tcW w:w="3419" w:type="dxa"/>
            <w:vMerge w:val="restart"/>
            <w:tcBorders>
              <w:bottom w:val="nil"/>
            </w:tcBorders>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财政供养人员情况（人）</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编制数</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2023年实际</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在职人数</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控制率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3419" w:type="dxa"/>
            <w:vMerge w:val="continue"/>
            <w:tcBorders>
              <w:top w:val="nil"/>
            </w:tcBorders>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经费控制情况（万元）</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2022年决算数</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2023年预算数</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2023年决算数</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三公经费</w:t>
            </w:r>
            <w:r>
              <w:rPr>
                <w:rFonts w:hint="eastAsia" w:asciiTheme="minorEastAsia" w:hAnsiTheme="minorEastAsia" w:eastAsiaTheme="minorEastAsia" w:cstheme="minorEastAsia"/>
                <w:sz w:val="21"/>
                <w:szCs w:val="21"/>
                <w:lang w:eastAsia="zh-CN"/>
              </w:rPr>
              <w:t>：</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3.4</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4.76</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1、公务用车购置和维护经费</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840" w:firstLineChars="4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其中：公车购置</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ind w:firstLine="840" w:firstLineChars="400"/>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840" w:firstLineChars="400"/>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840" w:firstLineChars="400"/>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firstLine="1459" w:firstLineChars="695"/>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公车运行维护</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2、出国经费</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3、公务接待</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3.4</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4.76</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项目支出：</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31590.48</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52886.44</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52886.44</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left"/>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1、</w:t>
            </w:r>
            <w:r>
              <w:rPr>
                <w:rFonts w:hint="eastAsia" w:asciiTheme="minorEastAsia" w:hAnsiTheme="minorEastAsia" w:eastAsiaTheme="minorEastAsia" w:cstheme="minorEastAsia"/>
                <w:sz w:val="21"/>
                <w:szCs w:val="21"/>
                <w:lang w:val="en-US" w:eastAsia="zh-CN"/>
              </w:rPr>
              <w:t>高标准农田建设项目</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13598.24</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12291.31</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12291.31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w:t>
            </w:r>
            <w:r>
              <w:rPr>
                <w:rFonts w:hint="eastAsia" w:asciiTheme="minorEastAsia" w:hAnsiTheme="minorEastAsia" w:eastAsiaTheme="minorEastAsia" w:cstheme="minorEastAsia"/>
                <w:sz w:val="21"/>
                <w:szCs w:val="21"/>
                <w:lang w:val="en-US" w:eastAsia="zh-CN"/>
              </w:rPr>
              <w:t>棉花大县奖励资金项目</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8332.1</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14232.78</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14232.78</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w:t>
            </w:r>
            <w:r>
              <w:rPr>
                <w:rFonts w:hint="eastAsia" w:asciiTheme="minorEastAsia" w:hAnsiTheme="minorEastAsia" w:eastAsiaTheme="minorEastAsia" w:cstheme="minorEastAsia"/>
                <w:sz w:val="21"/>
                <w:szCs w:val="21"/>
                <w:lang w:val="en-US" w:eastAsia="zh-CN"/>
              </w:rPr>
              <w:t>绿色种养循环项目</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400</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6662</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6662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4</w:t>
            </w:r>
            <w:r>
              <w:rPr>
                <w:rFonts w:hint="eastAsia" w:asciiTheme="minorEastAsia" w:hAnsiTheme="minorEastAsia" w:eastAsiaTheme="minorEastAsia" w:cstheme="minorEastAsia"/>
                <w:sz w:val="21"/>
                <w:szCs w:val="21"/>
              </w:rPr>
              <w:t>、</w:t>
            </w:r>
            <w:r>
              <w:rPr>
                <w:rFonts w:hint="eastAsia" w:asciiTheme="minorEastAsia" w:hAnsiTheme="minorEastAsia" w:eastAsiaTheme="minorEastAsia" w:cstheme="minorEastAsia"/>
                <w:sz w:val="21"/>
                <w:szCs w:val="21"/>
                <w:lang w:val="en-US" w:eastAsia="zh-CN"/>
              </w:rPr>
              <w:t>渔业绿色种养循环项目</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4224.2</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8400</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8400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left"/>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5、稻谷目标价格补贴项目</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5035.94</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11300.35</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11300.35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公用经费</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358.62</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299.79</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299.79</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840" w:firstLineChars="4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其中：办公经费</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ind w:firstLine="840" w:firstLineChars="400"/>
              <w:jc w:val="both"/>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11.5</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840" w:firstLineChars="400"/>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18.8</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840" w:firstLineChars="400"/>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18.8</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firstLine="1478" w:firstLineChars="704"/>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水费、电费、差旅费</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21</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76.5</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76.5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firstLine="1478" w:firstLineChars="704"/>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会议费、培训费</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10.69</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10.69</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政府采购金额</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1637.6</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1637.6</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部门基本支出预算调整</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08" w:hRule="atLeast"/>
          <w:jc w:val="center"/>
        </w:trPr>
        <w:tc>
          <w:tcPr>
            <w:tcW w:w="3419" w:type="dxa"/>
            <w:vMerge w:val="restart"/>
            <w:tcBorders>
              <w:bottom w:val="nil"/>
            </w:tcBorders>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楼堂馆所控制情况</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（2023年完工项目）</w:t>
            </w:r>
          </w:p>
        </w:tc>
        <w:tc>
          <w:tcPr>
            <w:tcW w:w="964"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批复规模</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p>
        </w:tc>
        <w:tc>
          <w:tcPr>
            <w:tcW w:w="965"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实际规模（㎡）</w:t>
            </w:r>
          </w:p>
        </w:tc>
        <w:tc>
          <w:tcPr>
            <w:tcW w:w="986"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规模</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控制率</w:t>
            </w:r>
          </w:p>
        </w:tc>
        <w:tc>
          <w:tcPr>
            <w:tcW w:w="986"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预算投资</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（万元）</w:t>
            </w:r>
          </w:p>
        </w:tc>
        <w:tc>
          <w:tcPr>
            <w:tcW w:w="978"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实际投资</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（万元）</w:t>
            </w:r>
          </w:p>
        </w:tc>
        <w:tc>
          <w:tcPr>
            <w:tcW w:w="97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投资概算控制率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3419" w:type="dxa"/>
            <w:vMerge w:val="continue"/>
            <w:tcBorders>
              <w:top w:val="nil"/>
            </w:tcBorders>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rPr>
            </w:pPr>
          </w:p>
        </w:tc>
        <w:tc>
          <w:tcPr>
            <w:tcW w:w="964"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965"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986"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986"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978"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97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0"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厉行节约保障措施</w:t>
            </w:r>
          </w:p>
        </w:tc>
        <w:tc>
          <w:tcPr>
            <w:tcW w:w="5858" w:type="dxa"/>
            <w:gridSpan w:val="7"/>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r>
    </w:tbl>
    <w:p>
      <w:pPr>
        <w:rPr>
          <w:rFonts w:hint="eastAsia"/>
          <w:lang w:eastAsia="zh-CN"/>
        </w:rPr>
      </w:pPr>
      <w:r>
        <w:rPr>
          <w:rFonts w:hint="eastAsia"/>
        </w:rPr>
        <w:t>说明：“项目支出” 需要填报基本支出以外的所有项目支出情况，“公用经费”填报基本支出</w:t>
      </w:r>
      <w:r>
        <w:rPr>
          <w:rFonts w:hint="eastAsia"/>
          <w:lang w:eastAsia="zh-CN"/>
        </w:rPr>
        <w:t>中的一般商品和服务支出。</w:t>
      </w:r>
    </w:p>
    <w:p>
      <w:pPr>
        <w:pStyle w:val="9"/>
        <w:rPr>
          <w:rFonts w:hint="eastAsia"/>
          <w:lang w:eastAsia="zh-CN"/>
        </w:rPr>
      </w:pPr>
    </w:p>
    <w:p>
      <w:pPr>
        <w:rPr>
          <w:rFonts w:hint="eastAsia"/>
          <w:lang w:eastAsia="zh-CN"/>
        </w:rPr>
      </w:pPr>
    </w:p>
    <w:p>
      <w:r>
        <w:rPr>
          <w:rFonts w:hint="eastAsia"/>
        </w:rPr>
        <w:t>填表人：        填报日期：       联系电话：          单位负责人签字：</w:t>
      </w:r>
    </w:p>
    <w:p>
      <w:pPr>
        <w:rPr>
          <w:spacing w:val="-13"/>
          <w:sz w:val="22"/>
          <w:szCs w:val="22"/>
        </w:rPr>
      </w:pPr>
      <w:r>
        <w:rPr>
          <w:spacing w:val="-13"/>
          <w:sz w:val="22"/>
          <w:szCs w:val="22"/>
        </w:rPr>
        <w:br w:type="page"/>
      </w: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rPr>
        <w:t>附件</w:t>
      </w:r>
      <w:r>
        <w:rPr>
          <w:rFonts w:hint="eastAsia" w:ascii="仿宋_GB2312" w:hAnsi="仿宋_GB2312" w:eastAsia="仿宋_GB2312" w:cs="仿宋_GB2312"/>
          <w:spacing w:val="-4"/>
          <w:sz w:val="32"/>
          <w:szCs w:val="32"/>
          <w:lang w:val="en-US" w:eastAsia="zh-CN"/>
        </w:rPr>
        <w:t>3</w:t>
      </w:r>
    </w:p>
    <w:p>
      <w:pPr>
        <w:spacing w:line="251" w:lineRule="auto"/>
        <w:rPr>
          <w:rFonts w:ascii="Arial"/>
          <w:sz w:val="21"/>
        </w:rPr>
      </w:pPr>
    </w:p>
    <w:p>
      <w:pPr>
        <w:spacing w:line="251" w:lineRule="auto"/>
        <w:rPr>
          <w:rFonts w:ascii="Arial"/>
          <w:sz w:val="21"/>
        </w:rPr>
      </w:pPr>
    </w:p>
    <w:p>
      <w:pPr>
        <w:rPr>
          <w:rFonts w:ascii="Arial"/>
          <w:sz w:val="21"/>
        </w:rPr>
      </w:pPr>
    </w:p>
    <w:p>
      <w:pPr>
        <w:pStyle w:val="9"/>
      </w:pPr>
    </w:p>
    <w:p/>
    <w:p>
      <w:pPr>
        <w:spacing w:before="223" w:line="218" w:lineRule="auto"/>
        <w:jc w:val="center"/>
        <w:rPr>
          <w:rFonts w:hint="eastAsia" w:ascii="方正小标宋简体" w:hAnsi="方正小标宋简体" w:eastAsia="方正小标宋简体" w:cs="方正小标宋简体"/>
          <w:sz w:val="52"/>
          <w:szCs w:val="52"/>
        </w:rPr>
      </w:pPr>
      <w:r>
        <w:rPr>
          <w:rFonts w:hint="eastAsia" w:ascii="方正小标宋简体" w:hAnsi="方正小标宋简体" w:eastAsia="方正小标宋简体" w:cs="方正小标宋简体"/>
          <w:spacing w:val="-1"/>
          <w:sz w:val="52"/>
          <w:szCs w:val="52"/>
        </w:rPr>
        <w:t>2023年度</w:t>
      </w:r>
      <w:r>
        <w:rPr>
          <w:rFonts w:hint="eastAsia" w:ascii="方正小标宋简体" w:hAnsi="方正小标宋简体" w:eastAsia="方正小标宋简体" w:cs="方正小标宋简体"/>
          <w:spacing w:val="-1"/>
          <w:sz w:val="52"/>
          <w:szCs w:val="52"/>
          <w:lang w:eastAsia="zh-CN"/>
        </w:rPr>
        <w:t>华容县农业农村局</w:t>
      </w:r>
      <w:r>
        <w:rPr>
          <w:rFonts w:hint="eastAsia" w:ascii="方正小标宋简体" w:hAnsi="方正小标宋简体" w:eastAsia="方正小标宋简体" w:cs="方正小标宋简体"/>
          <w:spacing w:val="-1"/>
          <w:sz w:val="52"/>
          <w:szCs w:val="52"/>
        </w:rPr>
        <w:t>整体支出</w:t>
      </w:r>
      <w:r>
        <w:rPr>
          <w:rFonts w:hint="eastAsia" w:ascii="方正小标宋简体" w:hAnsi="方正小标宋简体" w:eastAsia="方正小标宋简体" w:cs="方正小标宋简体"/>
          <w:spacing w:val="-3"/>
          <w:sz w:val="52"/>
          <w:szCs w:val="52"/>
        </w:rPr>
        <w:t>绩效自评报告</w:t>
      </w: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pStyle w:val="9"/>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4" w:lineRule="auto"/>
        <w:rPr>
          <w:rFonts w:ascii="Arial"/>
          <w:sz w:val="21"/>
        </w:rPr>
      </w:pPr>
    </w:p>
    <w:p>
      <w:pPr>
        <w:spacing w:line="244" w:lineRule="auto"/>
        <w:rPr>
          <w:rFonts w:ascii="Arial"/>
          <w:sz w:val="21"/>
        </w:rPr>
      </w:pPr>
    </w:p>
    <w:p>
      <w:pPr>
        <w:pStyle w:val="5"/>
        <w:keepNext w:val="0"/>
        <w:keepLines w:val="0"/>
        <w:pageBreakBefore w:val="0"/>
        <w:widowControl w:val="0"/>
        <w:kinsoku/>
        <w:wordWrap/>
        <w:overflowPunct/>
        <w:topLinePunct w:val="0"/>
        <w:autoSpaceDE/>
        <w:autoSpaceDN/>
        <w:bidi w:val="0"/>
        <w:adjustRightInd/>
        <w:snapToGrid/>
        <w:spacing w:before="100" w:line="221" w:lineRule="auto"/>
        <w:ind w:firstLine="60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pacing w:val="-10"/>
          <w:sz w:val="32"/>
          <w:szCs w:val="32"/>
        </w:rPr>
        <w:t>部门（单位）名称</w:t>
      </w:r>
      <w:r>
        <w:rPr>
          <w:rFonts w:hint="eastAsia" w:ascii="仿宋_GB2312" w:hAnsi="仿宋_GB2312" w:eastAsia="仿宋_GB2312" w:cs="仿宋_GB2312"/>
          <w:spacing w:val="4"/>
          <w:sz w:val="32"/>
          <w:szCs w:val="32"/>
        </w:rPr>
        <w:t>：</w:t>
      </w:r>
      <w:r>
        <w:rPr>
          <w:rFonts w:hint="eastAsia" w:ascii="仿宋_GB2312" w:hAnsi="仿宋_GB2312" w:eastAsia="仿宋_GB2312" w:cs="仿宋_GB2312"/>
          <w:spacing w:val="4"/>
          <w:sz w:val="32"/>
          <w:szCs w:val="32"/>
          <w:u w:val="single" w:color="auto"/>
          <w:lang w:val="en-US" w:eastAsia="zh-CN"/>
        </w:rPr>
        <w:t>(</w:t>
      </w:r>
      <w:r>
        <w:rPr>
          <w:rFonts w:hint="eastAsia" w:ascii="仿宋_GB2312" w:hAnsi="仿宋_GB2312" w:eastAsia="仿宋_GB2312" w:cs="仿宋_GB2312"/>
          <w:spacing w:val="-118"/>
          <w:sz w:val="32"/>
          <w:szCs w:val="32"/>
          <w:u w:val="single" w:color="auto"/>
        </w:rPr>
        <w:t xml:space="preserve"> </w:t>
      </w:r>
      <w:r>
        <w:rPr>
          <w:rFonts w:hint="eastAsia" w:ascii="仿宋_GB2312" w:hAnsi="仿宋_GB2312" w:eastAsia="仿宋_GB2312" w:cs="仿宋_GB2312"/>
          <w:spacing w:val="-75"/>
          <w:sz w:val="32"/>
          <w:szCs w:val="32"/>
          <w:u w:val="single" w:color="auto"/>
        </w:rPr>
        <w:t xml:space="preserve"> </w:t>
      </w:r>
      <w:r>
        <w:rPr>
          <w:rFonts w:hint="eastAsia" w:ascii="仿宋_GB2312" w:hAnsi="仿宋_GB2312" w:eastAsia="仿宋_GB2312" w:cs="仿宋_GB2312"/>
          <w:spacing w:val="-10"/>
          <w:sz w:val="32"/>
          <w:szCs w:val="32"/>
          <w:u w:val="single" w:color="auto"/>
        </w:rPr>
        <w:t>盖章）</w:t>
      </w:r>
      <w:r>
        <w:rPr>
          <w:rFonts w:hint="eastAsia" w:ascii="仿宋_GB2312" w:hAnsi="仿宋_GB2312" w:eastAsia="仿宋_GB2312" w:cs="仿宋_GB2312"/>
          <w:sz w:val="32"/>
          <w:szCs w:val="32"/>
          <w:u w:val="single" w:color="auto"/>
        </w:rPr>
        <w:t xml:space="preserve">       </w:t>
      </w:r>
      <w:r>
        <w:rPr>
          <w:rFonts w:hint="eastAsia" w:ascii="仿宋_GB2312" w:hAnsi="仿宋_GB2312" w:eastAsia="仿宋_GB2312" w:cs="仿宋_GB2312"/>
          <w:sz w:val="32"/>
          <w:szCs w:val="32"/>
          <w:u w:val="single" w:color="auto"/>
          <w:lang w:val="en-US" w:eastAsia="zh-CN"/>
        </w:rPr>
        <w:t xml:space="preserve">     </w:t>
      </w:r>
      <w:r>
        <w:rPr>
          <w:rFonts w:hint="eastAsia" w:ascii="仿宋_GB2312" w:hAnsi="仿宋_GB2312" w:eastAsia="仿宋_GB2312" w:cs="仿宋_GB2312"/>
          <w:sz w:val="32"/>
          <w:szCs w:val="32"/>
          <w:u w:val="single" w:color="auto"/>
        </w:rPr>
        <w:t xml:space="preserve">  </w:t>
      </w:r>
    </w:p>
    <w:p>
      <w:pPr>
        <w:spacing w:before="228" w:line="222" w:lineRule="auto"/>
        <w:ind w:firstLine="4560" w:firstLineChars="1500"/>
        <w:rPr>
          <w:rFonts w:hint="eastAsia" w:ascii="仿宋_GB2312" w:hAnsi="仿宋_GB2312" w:eastAsia="仿宋_GB2312" w:cs="仿宋_GB2312"/>
          <w:sz w:val="32"/>
          <w:szCs w:val="32"/>
        </w:rPr>
      </w:pPr>
      <w:r>
        <w:rPr>
          <w:rFonts w:hint="eastAsia" w:ascii="仿宋_GB2312" w:hAnsi="仿宋_GB2312" w:eastAsia="仿宋_GB2312" w:cs="仿宋_GB2312"/>
          <w:spacing w:val="-8"/>
          <w:sz w:val="32"/>
          <w:szCs w:val="32"/>
        </w:rPr>
        <w:t>年</w:t>
      </w:r>
      <w:r>
        <w:rPr>
          <w:rFonts w:hint="eastAsia" w:ascii="仿宋_GB2312" w:hAnsi="仿宋_GB2312" w:eastAsia="仿宋_GB2312" w:cs="仿宋_GB2312"/>
          <w:spacing w:val="21"/>
          <w:sz w:val="32"/>
          <w:szCs w:val="32"/>
        </w:rPr>
        <w:t xml:space="preserve">  </w:t>
      </w:r>
      <w:r>
        <w:rPr>
          <w:rFonts w:hint="eastAsia" w:ascii="仿宋_GB2312" w:hAnsi="仿宋_GB2312" w:eastAsia="仿宋_GB2312" w:cs="仿宋_GB2312"/>
          <w:spacing w:val="-8"/>
          <w:sz w:val="32"/>
          <w:szCs w:val="32"/>
        </w:rPr>
        <w:t>月</w:t>
      </w:r>
      <w:r>
        <w:rPr>
          <w:rFonts w:hint="eastAsia" w:ascii="仿宋_GB2312" w:hAnsi="仿宋_GB2312" w:eastAsia="仿宋_GB2312" w:cs="仿宋_GB2312"/>
          <w:spacing w:val="43"/>
          <w:sz w:val="32"/>
          <w:szCs w:val="32"/>
        </w:rPr>
        <w:t xml:space="preserve">  </w:t>
      </w:r>
      <w:r>
        <w:rPr>
          <w:rFonts w:hint="eastAsia" w:ascii="仿宋_GB2312" w:hAnsi="仿宋_GB2312" w:eastAsia="仿宋_GB2312" w:cs="仿宋_GB2312"/>
          <w:spacing w:val="-8"/>
          <w:sz w:val="32"/>
          <w:szCs w:val="32"/>
        </w:rPr>
        <w:t>日</w:t>
      </w:r>
    </w:p>
    <w:p>
      <w:pPr>
        <w:spacing w:line="335" w:lineRule="auto"/>
        <w:rPr>
          <w:rFonts w:hint="eastAsia" w:ascii="仿宋_GB2312" w:hAnsi="仿宋_GB2312" w:eastAsia="仿宋_GB2312" w:cs="仿宋_GB2312"/>
          <w:sz w:val="32"/>
          <w:szCs w:val="32"/>
        </w:rPr>
      </w:pPr>
    </w:p>
    <w:p>
      <w:pPr>
        <w:pStyle w:val="5"/>
        <w:spacing w:before="102" w:line="224" w:lineRule="auto"/>
        <w:ind w:left="3216"/>
        <w:rPr>
          <w:rFonts w:hint="eastAsia" w:ascii="仿宋_GB2312" w:hAnsi="仿宋_GB2312" w:eastAsia="仿宋_GB2312" w:cs="仿宋_GB2312"/>
          <w:sz w:val="32"/>
          <w:szCs w:val="32"/>
        </w:rPr>
      </w:pPr>
      <w:r>
        <w:rPr>
          <w:rFonts w:hint="eastAsia" w:ascii="仿宋_GB2312" w:hAnsi="仿宋_GB2312" w:eastAsia="仿宋_GB2312" w:cs="仿宋_GB2312"/>
          <w:spacing w:val="8"/>
          <w:sz w:val="32"/>
          <w:szCs w:val="32"/>
        </w:rPr>
        <w:t>（此页为封面）</w:t>
      </w:r>
    </w:p>
    <w:p>
      <w:r>
        <w:br w:type="page"/>
      </w:r>
    </w:p>
    <w:p>
      <w:pPr>
        <w:pStyle w:val="9"/>
        <w:sectPr>
          <w:footerReference r:id="rId3" w:type="default"/>
          <w:pgSz w:w="11905" w:h="16838"/>
          <w:pgMar w:top="1984" w:right="1701" w:bottom="1984" w:left="1701" w:header="850" w:footer="1587" w:gutter="0"/>
          <w:pgNumType w:fmt="numberInDash" w:start="1"/>
          <w:cols w:space="0" w:num="1"/>
          <w:rtlGutter w:val="0"/>
          <w:docGrid w:type="lines" w:linePitch="314" w:charSpace="0"/>
        </w:sectPr>
      </w:pPr>
    </w:p>
    <w:p>
      <w:pPr>
        <w:snapToGrid w:val="0"/>
        <w:jc w:val="center"/>
        <w:rPr>
          <w:rFonts w:hint="eastAsia" w:ascii="方正小标宋简体" w:hAnsi="方正小标宋简体" w:eastAsia="方正小标宋简体" w:cs="方正小标宋简体"/>
          <w:sz w:val="44"/>
          <w:szCs w:val="44"/>
          <w:lang w:eastAsia="zh-CN"/>
        </w:rPr>
      </w:pPr>
      <w:bookmarkStart w:id="0" w:name="YS060100"/>
      <w:bookmarkStart w:id="1" w:name="第七部分部门决算分析报告撰写提纲"/>
      <w:r>
        <w:rPr>
          <w:rFonts w:hint="eastAsia" w:ascii="方正小标宋简体" w:hAnsi="方正小标宋简体" w:eastAsia="方正小标宋简体" w:cs="方正小标宋简体"/>
          <w:sz w:val="44"/>
          <w:szCs w:val="44"/>
        </w:rPr>
        <w:t>2023年度</w:t>
      </w:r>
      <w:r>
        <w:rPr>
          <w:rFonts w:hint="eastAsia" w:ascii="方正小标宋简体" w:hAnsi="方正小标宋简体" w:eastAsia="方正小标宋简体" w:cs="方正小标宋简体"/>
          <w:sz w:val="44"/>
          <w:szCs w:val="44"/>
          <w:lang w:eastAsia="zh-CN"/>
        </w:rPr>
        <w:t>农业农村局整体支出绩效</w:t>
      </w:r>
    </w:p>
    <w:p>
      <w:pPr>
        <w:snapToGrid w:val="0"/>
        <w:jc w:val="center"/>
        <w:rPr>
          <w:rFonts w:hint="eastAsia" w:ascii="楷体_GB2312" w:hAnsi="楷体_GB2312" w:eastAsia="楷体_GB2312" w:cs="楷体_GB2312"/>
          <w:b/>
          <w:bCs/>
          <w:sz w:val="32"/>
          <w:szCs w:val="32"/>
        </w:rPr>
      </w:pPr>
      <w:r>
        <w:rPr>
          <w:rFonts w:hint="eastAsia" w:ascii="方正小标宋简体" w:hAnsi="方正小标宋简体" w:eastAsia="方正小标宋简体" w:cs="方正小标宋简体"/>
          <w:sz w:val="44"/>
          <w:szCs w:val="44"/>
          <w:lang w:eastAsia="zh-CN"/>
        </w:rPr>
        <w:t>自</w:t>
      </w:r>
      <w:r>
        <w:rPr>
          <w:rFonts w:hint="eastAsia" w:ascii="方正小标宋简体" w:hAnsi="方正小标宋简体" w:eastAsia="方正小标宋简体" w:cs="方正小标宋简体"/>
          <w:sz w:val="44"/>
          <w:szCs w:val="44"/>
          <w:lang w:val="en-US" w:eastAsia="zh-CN"/>
        </w:rPr>
        <w:t xml:space="preserve"> </w:t>
      </w:r>
      <w:r>
        <w:rPr>
          <w:rFonts w:hint="eastAsia" w:ascii="方正小标宋简体" w:hAnsi="方正小标宋简体" w:eastAsia="方正小标宋简体" w:cs="方正小标宋简体"/>
          <w:sz w:val="44"/>
          <w:szCs w:val="44"/>
          <w:lang w:eastAsia="zh-CN"/>
        </w:rPr>
        <w:t>评</w:t>
      </w:r>
      <w:r>
        <w:rPr>
          <w:rFonts w:hint="eastAsia" w:ascii="方正小标宋简体" w:hAnsi="方正小标宋简体" w:eastAsia="方正小标宋简体" w:cs="方正小标宋简体"/>
          <w:sz w:val="44"/>
          <w:szCs w:val="44"/>
          <w:lang w:val="en-US" w:eastAsia="zh-CN"/>
        </w:rPr>
        <w:t xml:space="preserve"> </w:t>
      </w:r>
      <w:r>
        <w:rPr>
          <w:rFonts w:hint="eastAsia" w:ascii="方正小标宋简体" w:hAnsi="方正小标宋简体" w:eastAsia="方正小标宋简体" w:cs="方正小标宋简体"/>
          <w:sz w:val="44"/>
          <w:szCs w:val="44"/>
          <w:lang w:eastAsia="zh-CN"/>
        </w:rPr>
        <w:t>报</w:t>
      </w:r>
      <w:r>
        <w:rPr>
          <w:rFonts w:hint="eastAsia" w:ascii="方正小标宋简体" w:hAnsi="方正小标宋简体" w:eastAsia="方正小标宋简体" w:cs="方正小标宋简体"/>
          <w:sz w:val="44"/>
          <w:szCs w:val="44"/>
          <w:lang w:val="en-US" w:eastAsia="zh-CN"/>
        </w:rPr>
        <w:t xml:space="preserve"> </w:t>
      </w:r>
      <w:r>
        <w:rPr>
          <w:rFonts w:hint="eastAsia" w:ascii="方正小标宋简体" w:hAnsi="方正小标宋简体" w:eastAsia="方正小标宋简体" w:cs="方正小标宋简体"/>
          <w:sz w:val="44"/>
          <w:szCs w:val="44"/>
          <w:lang w:eastAsia="zh-CN"/>
        </w:rPr>
        <w:t>告</w:t>
      </w:r>
    </w:p>
    <w:bookmarkEnd w:id="0"/>
    <w:p>
      <w:pPr>
        <w:snapToGrid w:val="0"/>
        <w:spacing w:line="520" w:lineRule="exact"/>
        <w:ind w:firstLine="640" w:firstLineChars="200"/>
        <w:rPr>
          <w:rFonts w:hint="eastAsia" w:ascii="黑体" w:hAnsi="黑体" w:eastAsia="黑体" w:cs="Times New Roman"/>
          <w:sz w:val="32"/>
          <w:szCs w:val="32"/>
        </w:rPr>
      </w:pPr>
      <w:bookmarkStart w:id="2" w:name="YS060101"/>
    </w:p>
    <w:p>
      <w:pPr>
        <w:keepNext w:val="0"/>
        <w:keepLines w:val="0"/>
        <w:pageBreakBefore w:val="0"/>
        <w:widowControl w:val="0"/>
        <w:kinsoku/>
        <w:wordWrap/>
        <w:overflowPunct/>
        <w:topLinePunct w:val="0"/>
        <w:bidi w:val="0"/>
        <w:snapToGrid w:val="0"/>
        <w:spacing w:line="520" w:lineRule="exact"/>
        <w:ind w:firstLine="640" w:firstLineChars="200"/>
        <w:textAlignment w:val="auto"/>
        <w:rPr>
          <w:rFonts w:hint="eastAsia" w:ascii="黑体" w:hAnsi="黑体" w:eastAsia="黑体" w:cs="黑体"/>
          <w:sz w:val="32"/>
          <w:szCs w:val="32"/>
        </w:rPr>
      </w:pPr>
      <w:r>
        <w:rPr>
          <w:rFonts w:hint="eastAsia" w:ascii="黑体" w:hAnsi="黑体" w:eastAsia="黑体" w:cs="黑体"/>
          <w:sz w:val="32"/>
          <w:szCs w:val="32"/>
        </w:rPr>
        <w:t>一、单位情况</w:t>
      </w:r>
    </w:p>
    <w:bookmarkEnd w:id="2"/>
    <w:p>
      <w:pPr>
        <w:keepNext w:val="0"/>
        <w:keepLines w:val="0"/>
        <w:pageBreakBefore w:val="0"/>
        <w:widowControl w:val="0"/>
        <w:kinsoku/>
        <w:wordWrap/>
        <w:overflowPunct/>
        <w:topLinePunct w:val="0"/>
        <w:bidi w:val="0"/>
        <w:snapToGrid w:val="0"/>
        <w:spacing w:line="520" w:lineRule="exact"/>
        <w:ind w:firstLine="643" w:firstLineChars="200"/>
        <w:textAlignment w:val="auto"/>
        <w:rPr>
          <w:rFonts w:hint="eastAsia" w:ascii="楷体_GB2312" w:hAnsi="楷体_GB2312" w:eastAsia="楷体_GB2312" w:cs="楷体_GB2312"/>
          <w:b/>
          <w:sz w:val="32"/>
          <w:szCs w:val="32"/>
        </w:rPr>
      </w:pPr>
      <w:r>
        <w:rPr>
          <w:rFonts w:hint="eastAsia" w:ascii="楷体_GB2312" w:hAnsi="楷体_GB2312" w:eastAsia="楷体_GB2312" w:cs="楷体_GB2312"/>
          <w:b/>
          <w:sz w:val="32"/>
          <w:szCs w:val="32"/>
        </w:rPr>
        <w:t>（一）基本情况。</w:t>
      </w:r>
    </w:p>
    <w:p>
      <w:pPr>
        <w:keepNext w:val="0"/>
        <w:keepLines w:val="0"/>
        <w:pageBreakBefore w:val="0"/>
        <w:widowControl w:val="0"/>
        <w:kinsoku/>
        <w:wordWrap/>
        <w:overflowPunct/>
        <w:topLinePunct w:val="0"/>
        <w:bidi w:val="0"/>
        <w:snapToGrid w:val="0"/>
        <w:spacing w:line="52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1）主要职能。</w:t>
      </w:r>
    </w:p>
    <w:p>
      <w:pPr>
        <w:keepNext w:val="0"/>
        <w:keepLines w:val="0"/>
        <w:pageBreakBefore w:val="0"/>
        <w:widowControl w:val="0"/>
        <w:kinsoku/>
        <w:wordWrap/>
        <w:overflowPunct/>
        <w:topLinePunct w:val="0"/>
        <w:autoSpaceDE w:val="0"/>
        <w:autoSpaceDN w:val="0"/>
        <w:bidi w:val="0"/>
        <w:adjustRightInd w:val="0"/>
        <w:spacing w:line="520" w:lineRule="exact"/>
        <w:ind w:firstLine="640" w:firstLineChars="200"/>
        <w:textAlignment w:val="auto"/>
        <w:rPr>
          <w:rFonts w:hint="eastAsia"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1、贯彻执行国家有关农业方面的法律、法规、规章和政策规定;2、依法行使法律、法规、规章赋予的农业职能;3、负责对乡镇农业综合行政执法工作的指导、协调、监督和考核; 4、负责组织或配合农业农村联合执法行政和农资市场经济秩序专项整治工作；依法查处上级交办、相关部门移交、乡镇移送及群众投诉举报的农业违法案件;5、负责农业农村行政执法和刑事司法工作衔接,移送涉嫌犯罪案件:6、承担全县农业投入品市场诚信体系建设工作;负责组织全县农业综合行政执法方面法律法规宣传和培训工作;7、承担上级交办的其他工作。　</w:t>
      </w:r>
    </w:p>
    <w:p>
      <w:pPr>
        <w:keepNext w:val="0"/>
        <w:keepLines w:val="0"/>
        <w:pageBreakBefore w:val="0"/>
        <w:widowControl w:val="0"/>
        <w:kinsoku/>
        <w:wordWrap/>
        <w:overflowPunct/>
        <w:topLinePunct w:val="0"/>
        <w:autoSpaceDE w:val="0"/>
        <w:autoSpaceDN w:val="0"/>
        <w:bidi w:val="0"/>
        <w:adjustRightInd w:val="0"/>
        <w:spacing w:line="520" w:lineRule="exact"/>
        <w:ind w:firstLine="640" w:firstLineChars="200"/>
        <w:textAlignment w:val="auto"/>
        <w:rPr>
          <w:rFonts w:hint="eastAsia"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2）机构情况</w:t>
      </w:r>
    </w:p>
    <w:p>
      <w:pPr>
        <w:keepNext w:val="0"/>
        <w:keepLines w:val="0"/>
        <w:pageBreakBefore w:val="0"/>
        <w:widowControl w:val="0"/>
        <w:kinsoku/>
        <w:wordWrap/>
        <w:overflowPunct/>
        <w:topLinePunct w:val="0"/>
        <w:autoSpaceDE w:val="0"/>
        <w:autoSpaceDN w:val="0"/>
        <w:bidi w:val="0"/>
        <w:adjustRightInd w:val="0"/>
        <w:spacing w:line="520" w:lineRule="exact"/>
        <w:ind w:firstLine="640" w:firstLineChars="200"/>
        <w:textAlignment w:val="auto"/>
        <w:rPr>
          <w:rFonts w:hint="eastAsia"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本单位为县政府管理的正科级行政单位，根据县编办“三定”方案设置，目前农业农村局局机关设有办公室、人事股、计划财务股、行政审批与法规股、种植业管理股、规划与乡村产业发展股、外经外贸与市场信息股、政策改革与农村合作经济指导股、畜牧兽医股、科技教育股、渔业渔政管理股、农田建设和农垦管理股、农村社会事业促进股、农业机械化管理股、农业资源保护与利用股、农产品质量安全监管股等16个股室（办）。</w:t>
      </w:r>
    </w:p>
    <w:p>
      <w:pPr>
        <w:keepNext w:val="0"/>
        <w:keepLines w:val="0"/>
        <w:pageBreakBefore w:val="0"/>
        <w:widowControl w:val="0"/>
        <w:kinsoku/>
        <w:wordWrap/>
        <w:overflowPunct/>
        <w:topLinePunct w:val="0"/>
        <w:bidi w:val="0"/>
        <w:snapToGrid w:val="0"/>
        <w:spacing w:line="52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3）人员情况</w:t>
      </w:r>
    </w:p>
    <w:p>
      <w:pPr>
        <w:keepNext w:val="0"/>
        <w:keepLines w:val="0"/>
        <w:pageBreakBefore w:val="0"/>
        <w:widowControl w:val="0"/>
        <w:kinsoku/>
        <w:wordWrap/>
        <w:overflowPunct/>
        <w:topLinePunct w:val="0"/>
        <w:bidi w:val="0"/>
        <w:snapToGrid w:val="0"/>
        <w:spacing w:line="52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在编72人，退休212人。</w:t>
      </w:r>
    </w:p>
    <w:p>
      <w:pPr>
        <w:keepNext w:val="0"/>
        <w:keepLines w:val="0"/>
        <w:pageBreakBefore w:val="0"/>
        <w:widowControl w:val="0"/>
        <w:kinsoku/>
        <w:wordWrap/>
        <w:overflowPunct/>
        <w:topLinePunct w:val="0"/>
        <w:bidi w:val="0"/>
        <w:snapToGrid w:val="0"/>
        <w:spacing w:line="520" w:lineRule="exact"/>
        <w:ind w:firstLine="643" w:firstLineChars="200"/>
        <w:textAlignment w:val="auto"/>
        <w:rPr>
          <w:rFonts w:hint="eastAsia" w:ascii="楷体_GB2312" w:hAnsi="楷体_GB2312" w:eastAsia="楷体_GB2312" w:cs="楷体_GB2312"/>
          <w:b/>
          <w:sz w:val="32"/>
          <w:szCs w:val="32"/>
        </w:rPr>
      </w:pPr>
      <w:r>
        <w:rPr>
          <w:rFonts w:hint="eastAsia" w:ascii="楷体_GB2312" w:hAnsi="楷体_GB2312" w:eastAsia="楷体_GB2312" w:cs="楷体_GB2312"/>
          <w:b/>
          <w:sz w:val="32"/>
          <w:szCs w:val="32"/>
        </w:rPr>
        <w:t>（二）当年取得的主要事业成效。</w:t>
      </w:r>
    </w:p>
    <w:p>
      <w:pPr>
        <w:keepNext w:val="0"/>
        <w:keepLines w:val="0"/>
        <w:pageBreakBefore w:val="0"/>
        <w:widowControl w:val="0"/>
        <w:kinsoku/>
        <w:wordWrap/>
        <w:overflowPunct/>
        <w:topLinePunct w:val="0"/>
        <w:autoSpaceDE w:val="0"/>
        <w:autoSpaceDN w:val="0"/>
        <w:bidi w:val="0"/>
        <w:adjustRightInd w:val="0"/>
        <w:spacing w:line="520" w:lineRule="exact"/>
        <w:ind w:firstLine="640" w:firstLineChars="200"/>
        <w:textAlignment w:val="auto"/>
        <w:rPr>
          <w:rFonts w:hint="eastAsia" w:ascii="仿宋_GB2312" w:hAnsi="仿宋_GB2312" w:eastAsia="仿宋_GB2312" w:cs="仿宋_GB2312"/>
          <w:kern w:val="0"/>
          <w:sz w:val="32"/>
          <w:szCs w:val="32"/>
        </w:rPr>
      </w:pPr>
      <w:bookmarkStart w:id="3" w:name="YS060102"/>
      <w:r>
        <w:rPr>
          <w:rFonts w:hint="eastAsia" w:ascii="仿宋_GB2312" w:hAnsi="仿宋_GB2312" w:eastAsia="仿宋_GB2312" w:cs="仿宋_GB2312"/>
          <w:kern w:val="0"/>
          <w:sz w:val="32"/>
          <w:szCs w:val="32"/>
        </w:rPr>
        <w:t>1.出台“粮十条”，粮食产量稳定增加。持续扛牢产粮大县责任担当，做到早发动、早宣传、早行动，县委书记、县长亲自抓粮食生产，整合涉农资金5700多万元支持粮食生产，比上年增加2000万元；落实早稻集中育秧面积34万亩，比上年增加1.6万亩；成立8个粮食生产工作专班，在粮食生产关键时期对联点乡镇开展技术指导，确保粮食稳定增收。全面落实粮食播种面积135.3万亩，大力推进单产提升行动，产量相较大幅提升，其中早稻比全省平均单产高约5公斤，预计全年粮食产量58.5万吨，相比去年增产2.7万吨。央视“朝闻天下”和中央台2套分别报道我县早稻生产和春耕备耕工作。</w:t>
      </w:r>
    </w:p>
    <w:p>
      <w:pPr>
        <w:keepNext w:val="0"/>
        <w:keepLines w:val="0"/>
        <w:pageBreakBefore w:val="0"/>
        <w:widowControl w:val="0"/>
        <w:kinsoku/>
        <w:wordWrap/>
        <w:overflowPunct/>
        <w:topLinePunct w:val="0"/>
        <w:autoSpaceDE w:val="0"/>
        <w:autoSpaceDN w:val="0"/>
        <w:bidi w:val="0"/>
        <w:adjustRightInd w:val="0"/>
        <w:spacing w:line="520" w:lineRule="exact"/>
        <w:ind w:firstLine="640" w:firstLineChars="200"/>
        <w:textAlignment w:val="auto"/>
        <w:rPr>
          <w:rFonts w:hint="eastAsia"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2.线上线下并举，芥菜产业高质量发展。通过稳定芥菜种植面积、建设生产基地、加速标准腌制池建设等，推动芥菜产业转型升级。着力补齐“土窖”管理、污水处理、品牌打造、规划编制等短板弱项，助推芥菜产业健康良性发展。2月23日至25日，成功举办2023中国·华容芥菜文化节，被中国食品工业协会冠名“中国芥菜之乡”，芥菜产业由知名度向美誉度转变。兔湖垸村入选第三批全国乡村治理示范村，八岭村获评全省美丽乡村示范村。</w:t>
      </w:r>
    </w:p>
    <w:p>
      <w:pPr>
        <w:keepNext w:val="0"/>
        <w:keepLines w:val="0"/>
        <w:pageBreakBefore w:val="0"/>
        <w:widowControl w:val="0"/>
        <w:kinsoku/>
        <w:wordWrap/>
        <w:overflowPunct/>
        <w:topLinePunct w:val="0"/>
        <w:autoSpaceDE w:val="0"/>
        <w:autoSpaceDN w:val="0"/>
        <w:bidi w:val="0"/>
        <w:adjustRightInd w:val="0"/>
        <w:spacing w:line="520" w:lineRule="exact"/>
        <w:ind w:firstLine="640" w:firstLineChars="200"/>
        <w:textAlignment w:val="auto"/>
        <w:rPr>
          <w:rFonts w:hint="eastAsia"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3.点面结合，和美乡村建设稳步推进。构建“1+12+N”和美乡村框架，以三封寺镇为试点，着力推动12个和美乡村示范村建设；扎实开展村庄清洁行动，完善“户分类、村收集、乡转运、县处理”机制，每月开展1次人居环境整治大评比，县指挥部每月一次暗访考核，每季度一次明查，建立门前“三包”工作机制，实行一月一通报，一月一讲评，“好坏两上台”等。农村人居环境整治提升工作从补短补弱向全面提优增效、从治理垃圾向治理乡风文明综合转变。</w:t>
      </w:r>
    </w:p>
    <w:p>
      <w:pPr>
        <w:keepNext w:val="0"/>
        <w:keepLines w:val="0"/>
        <w:pageBreakBefore w:val="0"/>
        <w:widowControl w:val="0"/>
        <w:kinsoku/>
        <w:wordWrap/>
        <w:overflowPunct/>
        <w:topLinePunct w:val="0"/>
        <w:bidi w:val="0"/>
        <w:snapToGrid w:val="0"/>
        <w:spacing w:line="520" w:lineRule="exact"/>
        <w:ind w:firstLine="640" w:firstLineChars="200"/>
        <w:textAlignment w:val="auto"/>
        <w:rPr>
          <w:rFonts w:hint="eastAsia" w:ascii="黑体" w:hAnsi="黑体" w:eastAsia="黑体" w:cs="Times New Roman"/>
          <w:sz w:val="32"/>
          <w:szCs w:val="32"/>
        </w:rPr>
      </w:pPr>
      <w:r>
        <w:rPr>
          <w:rFonts w:hint="eastAsia" w:ascii="黑体" w:hAnsi="黑体" w:eastAsia="黑体" w:cs="Times New Roman"/>
          <w:sz w:val="32"/>
          <w:szCs w:val="32"/>
        </w:rPr>
        <w:t>二、收入支出预算执行情况分析</w:t>
      </w:r>
    </w:p>
    <w:bookmarkEnd w:id="3"/>
    <w:p>
      <w:pPr>
        <w:keepNext w:val="0"/>
        <w:keepLines w:val="0"/>
        <w:pageBreakBefore w:val="0"/>
        <w:widowControl w:val="0"/>
        <w:kinsoku/>
        <w:wordWrap/>
        <w:overflowPunct/>
        <w:topLinePunct w:val="0"/>
        <w:bidi w:val="0"/>
        <w:snapToGrid w:val="0"/>
        <w:spacing w:line="520" w:lineRule="exact"/>
        <w:ind w:firstLine="643" w:firstLineChars="200"/>
        <w:textAlignment w:val="auto"/>
        <w:rPr>
          <w:rFonts w:hint="eastAsia" w:ascii="楷体_GB2312" w:hAnsi="仿宋" w:eastAsia="楷体_GB2312" w:cs="Times New Roman"/>
          <w:b/>
          <w:sz w:val="32"/>
          <w:szCs w:val="32"/>
        </w:rPr>
      </w:pPr>
      <w:r>
        <w:rPr>
          <w:rFonts w:hint="eastAsia" w:ascii="楷体_GB2312" w:hAnsi="仿宋" w:eastAsia="楷体_GB2312" w:cs="Times New Roman"/>
          <w:b/>
          <w:sz w:val="32"/>
          <w:szCs w:val="32"/>
        </w:rPr>
        <w:t>（一）收入支出预算安排情况。</w:t>
      </w:r>
    </w:p>
    <w:tbl>
      <w:tblPr>
        <w:tblStyle w:val="12"/>
        <w:tblW w:w="8429" w:type="dxa"/>
        <w:tblInd w:w="93" w:type="dxa"/>
        <w:tblLayout w:type="autofit"/>
        <w:tblCellMar>
          <w:top w:w="0" w:type="dxa"/>
          <w:left w:w="108" w:type="dxa"/>
          <w:bottom w:w="0" w:type="dxa"/>
          <w:right w:w="108" w:type="dxa"/>
        </w:tblCellMar>
      </w:tblPr>
      <w:tblGrid>
        <w:gridCol w:w="2023"/>
        <w:gridCol w:w="682"/>
        <w:gridCol w:w="1705"/>
        <w:gridCol w:w="1559"/>
        <w:gridCol w:w="1523"/>
        <w:gridCol w:w="937"/>
      </w:tblGrid>
      <w:tr>
        <w:tblPrEx>
          <w:tblCellMar>
            <w:top w:w="0" w:type="dxa"/>
            <w:left w:w="108" w:type="dxa"/>
            <w:bottom w:w="0" w:type="dxa"/>
            <w:right w:w="108" w:type="dxa"/>
          </w:tblCellMar>
        </w:tblPrEx>
        <w:trPr>
          <w:trHeight w:val="312" w:hRule="atLeast"/>
        </w:trPr>
        <w:tc>
          <w:tcPr>
            <w:tcW w:w="2023" w:type="dxa"/>
            <w:vMerge w:val="restart"/>
            <w:tcBorders>
              <w:top w:val="single" w:color="000000" w:sz="4" w:space="0"/>
              <w:left w:val="single" w:color="000000" w:sz="4" w:space="0"/>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eastAsia" w:ascii="宋体" w:hAnsi="宋体" w:eastAsia="宋体" w:cs="Arial"/>
                <w:color w:val="000000"/>
              </w:rPr>
              <w:t>指</w:t>
            </w:r>
            <w:r>
              <w:rPr>
                <w:rFonts w:hint="default" w:ascii="宋体" w:hAnsi="宋体" w:eastAsia="宋体" w:cs="Arial"/>
                <w:color w:val="000000"/>
              </w:rPr>
              <w:t xml:space="preserve">    </w:t>
            </w:r>
            <w:r>
              <w:rPr>
                <w:rFonts w:hint="eastAsia" w:ascii="宋体" w:hAnsi="宋体" w:eastAsia="宋体" w:cs="Arial"/>
                <w:color w:val="000000"/>
              </w:rPr>
              <w:t>标</w:t>
            </w:r>
          </w:p>
        </w:tc>
        <w:tc>
          <w:tcPr>
            <w:tcW w:w="682" w:type="dxa"/>
            <w:vMerge w:val="restart"/>
            <w:tcBorders>
              <w:top w:val="single" w:color="000000" w:sz="4" w:space="0"/>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eastAsia" w:ascii="宋体" w:hAnsi="宋体" w:eastAsia="宋体" w:cs="Arial"/>
                <w:color w:val="000000"/>
              </w:rPr>
              <w:t>行次</w:t>
            </w:r>
          </w:p>
        </w:tc>
        <w:tc>
          <w:tcPr>
            <w:tcW w:w="1705" w:type="dxa"/>
            <w:vMerge w:val="restart"/>
            <w:tcBorders>
              <w:top w:val="single" w:color="000000" w:sz="4" w:space="0"/>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eastAsia" w:ascii="宋体" w:hAnsi="宋体" w:eastAsia="宋体" w:cs="Arial"/>
                <w:color w:val="000000"/>
              </w:rPr>
              <w:t>本年度</w:t>
            </w:r>
          </w:p>
        </w:tc>
        <w:tc>
          <w:tcPr>
            <w:tcW w:w="1559" w:type="dxa"/>
            <w:vMerge w:val="restart"/>
            <w:tcBorders>
              <w:top w:val="single" w:color="000000" w:sz="4" w:space="0"/>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eastAsia" w:ascii="宋体" w:hAnsi="宋体" w:eastAsia="宋体" w:cs="Arial"/>
                <w:color w:val="000000"/>
              </w:rPr>
              <w:t>上年度</w:t>
            </w:r>
          </w:p>
        </w:tc>
        <w:tc>
          <w:tcPr>
            <w:tcW w:w="1523" w:type="dxa"/>
            <w:vMerge w:val="restart"/>
            <w:tcBorders>
              <w:top w:val="single" w:color="000000" w:sz="4" w:space="0"/>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eastAsia" w:ascii="宋体" w:hAnsi="宋体" w:eastAsia="宋体" w:cs="Arial"/>
                <w:color w:val="000000"/>
              </w:rPr>
              <w:t>比上年增减</w:t>
            </w:r>
          </w:p>
        </w:tc>
        <w:tc>
          <w:tcPr>
            <w:tcW w:w="937" w:type="dxa"/>
            <w:vMerge w:val="restart"/>
            <w:tcBorders>
              <w:top w:val="single" w:color="000000" w:sz="4" w:space="0"/>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eastAsia" w:ascii="宋体" w:hAnsi="宋体" w:eastAsia="宋体" w:cs="Arial"/>
                <w:color w:val="000000"/>
              </w:rPr>
              <w:t>增减％</w:t>
            </w:r>
          </w:p>
        </w:tc>
      </w:tr>
      <w:tr>
        <w:tblPrEx>
          <w:tblCellMar>
            <w:top w:w="0" w:type="dxa"/>
            <w:left w:w="108" w:type="dxa"/>
            <w:bottom w:w="0" w:type="dxa"/>
            <w:right w:w="108" w:type="dxa"/>
          </w:tblCellMar>
        </w:tblPrEx>
        <w:trPr>
          <w:trHeight w:val="312" w:hRule="atLeast"/>
        </w:trPr>
        <w:tc>
          <w:tcPr>
            <w:tcW w:w="2023" w:type="dxa"/>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suppressLineNumbers w:val="0"/>
              <w:spacing w:before="0" w:beforeAutospacing="0" w:after="0" w:afterAutospacing="0"/>
              <w:ind w:left="0" w:right="0"/>
              <w:rPr>
                <w:rFonts w:hint="default" w:ascii="宋体" w:hAnsi="Times New Roman" w:eastAsia="宋体" w:cs="Arial"/>
                <w:color w:val="000000"/>
              </w:rPr>
            </w:pPr>
          </w:p>
        </w:tc>
        <w:tc>
          <w:tcPr>
            <w:tcW w:w="682" w:type="dxa"/>
            <w:vMerge w:val="continue"/>
            <w:tcBorders>
              <w:top w:val="single" w:color="000000" w:sz="4" w:space="0"/>
              <w:left w:val="nil"/>
              <w:bottom w:val="single" w:color="000000" w:sz="4" w:space="0"/>
              <w:right w:val="single" w:color="000000" w:sz="4" w:space="0"/>
            </w:tcBorders>
            <w:noWrap w:val="0"/>
            <w:vAlign w:val="center"/>
          </w:tcPr>
          <w:p>
            <w:pPr>
              <w:keepNext w:val="0"/>
              <w:keepLines w:val="0"/>
              <w:suppressLineNumbers w:val="0"/>
              <w:spacing w:before="0" w:beforeAutospacing="0" w:after="0" w:afterAutospacing="0"/>
              <w:ind w:left="0" w:right="0"/>
              <w:rPr>
                <w:rFonts w:hint="default" w:ascii="宋体" w:hAnsi="Times New Roman" w:eastAsia="宋体" w:cs="Arial"/>
                <w:color w:val="000000"/>
              </w:rPr>
            </w:pPr>
          </w:p>
        </w:tc>
        <w:tc>
          <w:tcPr>
            <w:tcW w:w="1705" w:type="dxa"/>
            <w:vMerge w:val="continue"/>
            <w:tcBorders>
              <w:top w:val="single" w:color="000000" w:sz="4" w:space="0"/>
              <w:left w:val="nil"/>
              <w:bottom w:val="single" w:color="000000" w:sz="4" w:space="0"/>
              <w:right w:val="single" w:color="000000" w:sz="4" w:space="0"/>
            </w:tcBorders>
            <w:noWrap w:val="0"/>
            <w:vAlign w:val="center"/>
          </w:tcPr>
          <w:p>
            <w:pPr>
              <w:keepNext w:val="0"/>
              <w:keepLines w:val="0"/>
              <w:suppressLineNumbers w:val="0"/>
              <w:spacing w:before="0" w:beforeAutospacing="0" w:after="0" w:afterAutospacing="0"/>
              <w:ind w:left="0" w:right="0"/>
              <w:rPr>
                <w:rFonts w:hint="default" w:ascii="宋体" w:hAnsi="Times New Roman" w:eastAsia="宋体" w:cs="Arial"/>
                <w:color w:val="000000"/>
              </w:rPr>
            </w:pPr>
          </w:p>
        </w:tc>
        <w:tc>
          <w:tcPr>
            <w:tcW w:w="1559" w:type="dxa"/>
            <w:vMerge w:val="continue"/>
            <w:tcBorders>
              <w:top w:val="single" w:color="000000" w:sz="4" w:space="0"/>
              <w:left w:val="nil"/>
              <w:bottom w:val="single" w:color="000000" w:sz="4" w:space="0"/>
              <w:right w:val="single" w:color="000000" w:sz="4" w:space="0"/>
            </w:tcBorders>
            <w:noWrap w:val="0"/>
            <w:vAlign w:val="center"/>
          </w:tcPr>
          <w:p>
            <w:pPr>
              <w:keepNext w:val="0"/>
              <w:keepLines w:val="0"/>
              <w:suppressLineNumbers w:val="0"/>
              <w:spacing w:before="0" w:beforeAutospacing="0" w:after="0" w:afterAutospacing="0"/>
              <w:ind w:left="0" w:right="0"/>
              <w:rPr>
                <w:rFonts w:hint="default" w:ascii="宋体" w:hAnsi="Times New Roman" w:eastAsia="宋体" w:cs="Arial"/>
                <w:color w:val="000000"/>
              </w:rPr>
            </w:pPr>
          </w:p>
        </w:tc>
        <w:tc>
          <w:tcPr>
            <w:tcW w:w="1523" w:type="dxa"/>
            <w:vMerge w:val="continue"/>
            <w:tcBorders>
              <w:top w:val="single" w:color="000000" w:sz="4" w:space="0"/>
              <w:left w:val="nil"/>
              <w:bottom w:val="single" w:color="000000" w:sz="4" w:space="0"/>
              <w:right w:val="single" w:color="000000" w:sz="4" w:space="0"/>
            </w:tcBorders>
            <w:noWrap w:val="0"/>
            <w:vAlign w:val="center"/>
          </w:tcPr>
          <w:p>
            <w:pPr>
              <w:keepNext w:val="0"/>
              <w:keepLines w:val="0"/>
              <w:suppressLineNumbers w:val="0"/>
              <w:spacing w:before="0" w:beforeAutospacing="0" w:after="0" w:afterAutospacing="0"/>
              <w:ind w:left="0" w:right="0"/>
              <w:rPr>
                <w:rFonts w:hint="default" w:ascii="宋体" w:hAnsi="Times New Roman" w:eastAsia="宋体" w:cs="Arial"/>
                <w:color w:val="000000"/>
              </w:rPr>
            </w:pPr>
          </w:p>
        </w:tc>
        <w:tc>
          <w:tcPr>
            <w:tcW w:w="937" w:type="dxa"/>
            <w:vMerge w:val="continue"/>
            <w:tcBorders>
              <w:top w:val="single" w:color="000000" w:sz="4" w:space="0"/>
              <w:left w:val="nil"/>
              <w:bottom w:val="single" w:color="000000" w:sz="4" w:space="0"/>
              <w:right w:val="single" w:color="000000" w:sz="4" w:space="0"/>
            </w:tcBorders>
            <w:noWrap w:val="0"/>
            <w:vAlign w:val="center"/>
          </w:tcPr>
          <w:p>
            <w:pPr>
              <w:keepNext w:val="0"/>
              <w:keepLines w:val="0"/>
              <w:suppressLineNumbers w:val="0"/>
              <w:spacing w:before="0" w:beforeAutospacing="0" w:after="0" w:afterAutospacing="0"/>
              <w:ind w:left="0" w:right="0"/>
              <w:rPr>
                <w:rFonts w:hint="default" w:ascii="宋体" w:hAnsi="Times New Roman" w:eastAsia="宋体" w:cs="Arial"/>
                <w:color w:val="000000"/>
              </w:rPr>
            </w:pPr>
          </w:p>
        </w:tc>
      </w:tr>
      <w:tr>
        <w:tblPrEx>
          <w:tblCellMar>
            <w:top w:w="0" w:type="dxa"/>
            <w:left w:w="108" w:type="dxa"/>
            <w:bottom w:w="0" w:type="dxa"/>
            <w:right w:w="108" w:type="dxa"/>
          </w:tblCellMar>
        </w:tblPrEx>
        <w:trPr>
          <w:trHeight w:val="308" w:hRule="atLeast"/>
        </w:trPr>
        <w:tc>
          <w:tcPr>
            <w:tcW w:w="2023" w:type="dxa"/>
            <w:tcBorders>
              <w:top w:val="nil"/>
              <w:left w:val="single" w:color="000000" w:sz="4" w:space="0"/>
              <w:bottom w:val="single" w:color="000000" w:sz="4" w:space="0"/>
              <w:right w:val="single" w:color="000000" w:sz="4" w:space="0"/>
            </w:tcBorders>
            <w:shd w:val="clear" w:color="FFFFFF" w:fill="C0C0C0"/>
            <w:noWrap w:val="0"/>
            <w:vAlign w:val="center"/>
          </w:tcPr>
          <w:p>
            <w:pPr>
              <w:keepNext w:val="0"/>
              <w:keepLines w:val="0"/>
              <w:suppressLineNumbers w:val="0"/>
              <w:spacing w:before="0" w:beforeAutospacing="0" w:after="240" w:afterAutospacing="0"/>
              <w:ind w:left="0" w:right="0"/>
              <w:jc w:val="center"/>
              <w:rPr>
                <w:rFonts w:hint="default" w:ascii="宋体" w:hAnsi="Times New Roman" w:eastAsia="宋体" w:cs="Arial"/>
                <w:color w:val="000000"/>
              </w:rPr>
            </w:pPr>
            <w:r>
              <w:rPr>
                <w:rFonts w:hint="eastAsia" w:ascii="宋体" w:hAnsi="宋体" w:eastAsia="宋体" w:cs="Arial"/>
                <w:color w:val="000000"/>
              </w:rPr>
              <w:t>栏</w:t>
            </w:r>
            <w:r>
              <w:rPr>
                <w:rFonts w:hint="default" w:ascii="宋体" w:hAnsi="宋体" w:eastAsia="宋体" w:cs="Arial"/>
                <w:color w:val="000000"/>
              </w:rPr>
              <w:t xml:space="preserve">    </w:t>
            </w:r>
            <w:r>
              <w:rPr>
                <w:rFonts w:hint="eastAsia" w:ascii="宋体" w:hAnsi="宋体" w:eastAsia="宋体" w:cs="Arial"/>
                <w:color w:val="000000"/>
              </w:rPr>
              <w:t>次</w:t>
            </w:r>
          </w:p>
        </w:tc>
        <w:tc>
          <w:tcPr>
            <w:tcW w:w="682" w:type="dxa"/>
            <w:vMerge w:val="continue"/>
            <w:tcBorders>
              <w:top w:val="single" w:color="000000" w:sz="4" w:space="0"/>
              <w:left w:val="nil"/>
              <w:bottom w:val="single" w:color="000000" w:sz="4" w:space="0"/>
              <w:right w:val="single" w:color="000000" w:sz="4" w:space="0"/>
            </w:tcBorders>
            <w:shd w:val="clear" w:color="auto" w:fill="auto"/>
            <w:noWrap w:val="0"/>
            <w:vAlign w:val="center"/>
          </w:tcPr>
          <w:p>
            <w:pPr>
              <w:keepNext w:val="0"/>
              <w:keepLines w:val="0"/>
              <w:suppressLineNumbers w:val="0"/>
              <w:spacing w:before="0" w:beforeAutospacing="0" w:after="0" w:afterAutospacing="0"/>
              <w:ind w:left="0" w:right="0"/>
              <w:rPr>
                <w:rFonts w:hint="default" w:ascii="宋体" w:hAnsi="Times New Roman" w:eastAsia="宋体" w:cs="Arial"/>
                <w:color w:val="000000"/>
              </w:rPr>
            </w:pPr>
          </w:p>
        </w:tc>
        <w:tc>
          <w:tcPr>
            <w:tcW w:w="1705" w:type="dxa"/>
            <w:tcBorders>
              <w:top w:val="nil"/>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default" w:ascii="宋体" w:hAnsi="宋体" w:eastAsia="宋体" w:cs="Arial"/>
                <w:color w:val="000000"/>
              </w:rPr>
              <w:t>1</w:t>
            </w:r>
          </w:p>
        </w:tc>
        <w:tc>
          <w:tcPr>
            <w:tcW w:w="1559" w:type="dxa"/>
            <w:tcBorders>
              <w:top w:val="nil"/>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default" w:ascii="宋体" w:hAnsi="宋体" w:eastAsia="宋体" w:cs="Arial"/>
                <w:color w:val="000000"/>
              </w:rPr>
              <w:t>2</w:t>
            </w:r>
          </w:p>
        </w:tc>
        <w:tc>
          <w:tcPr>
            <w:tcW w:w="1523" w:type="dxa"/>
            <w:tcBorders>
              <w:top w:val="nil"/>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default" w:ascii="宋体" w:hAnsi="宋体" w:eastAsia="宋体" w:cs="Arial"/>
                <w:color w:val="000000"/>
              </w:rPr>
              <w:t>3</w:t>
            </w:r>
          </w:p>
        </w:tc>
        <w:tc>
          <w:tcPr>
            <w:tcW w:w="937" w:type="dxa"/>
            <w:tcBorders>
              <w:top w:val="nil"/>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default" w:ascii="宋体" w:hAnsi="宋体" w:eastAsia="宋体" w:cs="Arial"/>
                <w:color w:val="000000"/>
              </w:rPr>
              <w:t>4</w:t>
            </w:r>
          </w:p>
        </w:tc>
      </w:tr>
      <w:tr>
        <w:tblPrEx>
          <w:tblCellMar>
            <w:top w:w="0" w:type="dxa"/>
            <w:left w:w="108" w:type="dxa"/>
            <w:bottom w:w="0" w:type="dxa"/>
            <w:right w:w="108" w:type="dxa"/>
          </w:tblCellMar>
        </w:tblPrEx>
        <w:trPr>
          <w:trHeight w:val="308" w:hRule="atLeast"/>
        </w:trPr>
        <w:tc>
          <w:tcPr>
            <w:tcW w:w="2023" w:type="dxa"/>
            <w:tcBorders>
              <w:top w:val="nil"/>
              <w:left w:val="single" w:color="000000" w:sz="4" w:space="0"/>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 xml:space="preserve">    6.年初预算数</w:t>
            </w:r>
          </w:p>
        </w:tc>
        <w:tc>
          <w:tcPr>
            <w:tcW w:w="682" w:type="dxa"/>
            <w:tcBorders>
              <w:top w:val="nil"/>
              <w:left w:val="nil"/>
              <w:bottom w:val="single" w:color="000000" w:sz="8" w:space="0"/>
              <w:right w:val="single" w:color="000000" w:sz="4" w:space="0"/>
            </w:tcBorders>
            <w:noWrap/>
            <w:vAlign w:val="center"/>
          </w:tcPr>
          <w:p>
            <w:pPr>
              <w:keepNext w:val="0"/>
              <w:keepLines w:val="0"/>
              <w:suppressLineNumbers w:val="0"/>
              <w:adjustRightInd w:val="0"/>
              <w:snapToGrid w:val="0"/>
              <w:spacing w:before="0" w:beforeAutospacing="0" w:after="200" w:afterAutospacing="0"/>
              <w:ind w:left="0" w:right="0"/>
              <w:jc w:val="center"/>
              <w:rPr>
                <w:rFonts w:hint="default" w:ascii="Tahoma" w:hAnsi="Tahoma" w:eastAsia="微软雅黑" w:cs="Arial"/>
                <w:color w:val="000000"/>
              </w:rPr>
            </w:pPr>
            <w:r>
              <w:rPr>
                <w:rFonts w:hint="default" w:ascii="Tahoma" w:hAnsi="Tahoma" w:eastAsia="微软雅黑" w:cs="Arial"/>
                <w:color w:val="000000"/>
              </w:rPr>
              <w:t>54</w:t>
            </w:r>
          </w:p>
        </w:tc>
        <w:tc>
          <w:tcPr>
            <w:tcW w:w="1705"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w:t>
            </w:r>
          </w:p>
        </w:tc>
        <w:tc>
          <w:tcPr>
            <w:tcW w:w="1559"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w:t>
            </w:r>
          </w:p>
        </w:tc>
        <w:tc>
          <w:tcPr>
            <w:tcW w:w="1523"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w:t>
            </w:r>
          </w:p>
        </w:tc>
        <w:tc>
          <w:tcPr>
            <w:tcW w:w="937"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w:t>
            </w:r>
          </w:p>
        </w:tc>
      </w:tr>
      <w:tr>
        <w:tblPrEx>
          <w:tblCellMar>
            <w:top w:w="0" w:type="dxa"/>
            <w:left w:w="108" w:type="dxa"/>
            <w:bottom w:w="0" w:type="dxa"/>
            <w:right w:w="108" w:type="dxa"/>
          </w:tblCellMar>
        </w:tblPrEx>
        <w:trPr>
          <w:trHeight w:val="308" w:hRule="atLeast"/>
        </w:trPr>
        <w:tc>
          <w:tcPr>
            <w:tcW w:w="2023" w:type="dxa"/>
            <w:tcBorders>
              <w:top w:val="nil"/>
              <w:left w:val="single" w:color="000000" w:sz="4" w:space="0"/>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 xml:space="preserve">      本年收入合计</w:t>
            </w:r>
          </w:p>
        </w:tc>
        <w:tc>
          <w:tcPr>
            <w:tcW w:w="682" w:type="dxa"/>
            <w:tcBorders>
              <w:top w:val="nil"/>
              <w:left w:val="nil"/>
              <w:bottom w:val="single" w:color="000000" w:sz="8" w:space="0"/>
              <w:right w:val="single" w:color="000000" w:sz="4" w:space="0"/>
            </w:tcBorders>
            <w:noWrap/>
            <w:vAlign w:val="center"/>
          </w:tcPr>
          <w:p>
            <w:pPr>
              <w:keepNext w:val="0"/>
              <w:keepLines w:val="0"/>
              <w:suppressLineNumbers w:val="0"/>
              <w:adjustRightInd w:val="0"/>
              <w:snapToGrid w:val="0"/>
              <w:spacing w:before="0" w:beforeAutospacing="0" w:after="200" w:afterAutospacing="0"/>
              <w:ind w:left="0" w:right="0"/>
              <w:jc w:val="center"/>
              <w:rPr>
                <w:rFonts w:hint="default" w:ascii="Tahoma" w:hAnsi="Tahoma" w:eastAsia="微软雅黑" w:cs="Arial"/>
                <w:color w:val="000000"/>
              </w:rPr>
            </w:pPr>
            <w:r>
              <w:rPr>
                <w:rFonts w:hint="default" w:ascii="Tahoma" w:hAnsi="Tahoma" w:eastAsia="微软雅黑" w:cs="Arial"/>
                <w:color w:val="000000"/>
              </w:rPr>
              <w:t>55</w:t>
            </w:r>
          </w:p>
        </w:tc>
        <w:tc>
          <w:tcPr>
            <w:tcW w:w="1705"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12630300</w:t>
            </w:r>
          </w:p>
        </w:tc>
        <w:tc>
          <w:tcPr>
            <w:tcW w:w="1559"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11500000</w:t>
            </w:r>
          </w:p>
        </w:tc>
        <w:tc>
          <w:tcPr>
            <w:tcW w:w="1523"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1130300</w:t>
            </w:r>
          </w:p>
        </w:tc>
        <w:tc>
          <w:tcPr>
            <w:tcW w:w="937"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9.83</w:t>
            </w:r>
          </w:p>
        </w:tc>
      </w:tr>
      <w:tr>
        <w:tblPrEx>
          <w:tblCellMar>
            <w:top w:w="0" w:type="dxa"/>
            <w:left w:w="108" w:type="dxa"/>
            <w:bottom w:w="0" w:type="dxa"/>
            <w:right w:w="108" w:type="dxa"/>
          </w:tblCellMar>
        </w:tblPrEx>
        <w:trPr>
          <w:trHeight w:val="308" w:hRule="atLeast"/>
        </w:trPr>
        <w:tc>
          <w:tcPr>
            <w:tcW w:w="2023" w:type="dxa"/>
            <w:tcBorders>
              <w:top w:val="nil"/>
              <w:left w:val="single" w:color="000000" w:sz="4" w:space="0"/>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 xml:space="preserve">      本年支出合计</w:t>
            </w:r>
          </w:p>
        </w:tc>
        <w:tc>
          <w:tcPr>
            <w:tcW w:w="682" w:type="dxa"/>
            <w:tcBorders>
              <w:top w:val="nil"/>
              <w:left w:val="nil"/>
              <w:bottom w:val="single" w:color="000000" w:sz="8" w:space="0"/>
              <w:right w:val="single" w:color="000000" w:sz="4" w:space="0"/>
            </w:tcBorders>
            <w:noWrap/>
            <w:vAlign w:val="center"/>
          </w:tcPr>
          <w:p>
            <w:pPr>
              <w:keepNext w:val="0"/>
              <w:keepLines w:val="0"/>
              <w:suppressLineNumbers w:val="0"/>
              <w:adjustRightInd w:val="0"/>
              <w:snapToGrid w:val="0"/>
              <w:spacing w:before="0" w:beforeAutospacing="0" w:after="200" w:afterAutospacing="0"/>
              <w:ind w:left="0" w:right="0"/>
              <w:jc w:val="center"/>
              <w:rPr>
                <w:rFonts w:hint="default" w:ascii="Tahoma" w:hAnsi="Tahoma" w:eastAsia="微软雅黑" w:cs="Arial"/>
                <w:color w:val="000000"/>
              </w:rPr>
            </w:pPr>
            <w:r>
              <w:rPr>
                <w:rFonts w:hint="default" w:ascii="Tahoma" w:hAnsi="Tahoma" w:eastAsia="微软雅黑" w:cs="Arial"/>
                <w:color w:val="000000"/>
              </w:rPr>
              <w:t>56</w:t>
            </w:r>
          </w:p>
        </w:tc>
        <w:tc>
          <w:tcPr>
            <w:tcW w:w="1705"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12630300</w:t>
            </w:r>
          </w:p>
        </w:tc>
        <w:tc>
          <w:tcPr>
            <w:tcW w:w="1559"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11500000</w:t>
            </w:r>
          </w:p>
        </w:tc>
        <w:tc>
          <w:tcPr>
            <w:tcW w:w="1523"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1130300</w:t>
            </w:r>
          </w:p>
        </w:tc>
        <w:tc>
          <w:tcPr>
            <w:tcW w:w="937"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9.83</w:t>
            </w:r>
          </w:p>
        </w:tc>
      </w:tr>
      <w:tr>
        <w:tblPrEx>
          <w:tblCellMar>
            <w:top w:w="0" w:type="dxa"/>
            <w:left w:w="108" w:type="dxa"/>
            <w:bottom w:w="0" w:type="dxa"/>
            <w:right w:w="108" w:type="dxa"/>
          </w:tblCellMar>
        </w:tblPrEx>
        <w:trPr>
          <w:trHeight w:val="308" w:hRule="atLeast"/>
        </w:trPr>
        <w:tc>
          <w:tcPr>
            <w:tcW w:w="2023" w:type="dxa"/>
            <w:tcBorders>
              <w:top w:val="nil"/>
              <w:left w:val="single" w:color="000000" w:sz="4" w:space="0"/>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 xml:space="preserve">    年末结转和结余</w:t>
            </w:r>
          </w:p>
        </w:tc>
        <w:tc>
          <w:tcPr>
            <w:tcW w:w="682" w:type="dxa"/>
            <w:tcBorders>
              <w:top w:val="nil"/>
              <w:left w:val="nil"/>
              <w:bottom w:val="single" w:color="000000" w:sz="8" w:space="0"/>
              <w:right w:val="single" w:color="000000" w:sz="4" w:space="0"/>
            </w:tcBorders>
            <w:noWrap/>
            <w:vAlign w:val="center"/>
          </w:tcPr>
          <w:p>
            <w:pPr>
              <w:keepNext w:val="0"/>
              <w:keepLines w:val="0"/>
              <w:suppressLineNumbers w:val="0"/>
              <w:adjustRightInd w:val="0"/>
              <w:snapToGrid w:val="0"/>
              <w:spacing w:before="0" w:beforeAutospacing="0" w:after="200" w:afterAutospacing="0"/>
              <w:ind w:left="0" w:right="0"/>
              <w:jc w:val="center"/>
              <w:rPr>
                <w:rFonts w:hint="default" w:ascii="Tahoma" w:hAnsi="Tahoma" w:eastAsia="微软雅黑" w:cs="Arial"/>
                <w:color w:val="000000"/>
              </w:rPr>
            </w:pPr>
            <w:r>
              <w:rPr>
                <w:rFonts w:hint="default" w:ascii="Tahoma" w:hAnsi="Tahoma" w:eastAsia="微软雅黑" w:cs="Arial"/>
                <w:color w:val="000000"/>
              </w:rPr>
              <w:t>57</w:t>
            </w:r>
          </w:p>
        </w:tc>
        <w:tc>
          <w:tcPr>
            <w:tcW w:w="1705"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p>
        </w:tc>
        <w:tc>
          <w:tcPr>
            <w:tcW w:w="1559"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1523"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937"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p>
        </w:tc>
      </w:tr>
      <w:tr>
        <w:tblPrEx>
          <w:tblCellMar>
            <w:top w:w="0" w:type="dxa"/>
            <w:left w:w="108" w:type="dxa"/>
            <w:bottom w:w="0" w:type="dxa"/>
            <w:right w:w="108" w:type="dxa"/>
          </w:tblCellMar>
        </w:tblPrEx>
        <w:trPr>
          <w:trHeight w:val="308" w:hRule="atLeast"/>
        </w:trPr>
        <w:tc>
          <w:tcPr>
            <w:tcW w:w="2023" w:type="dxa"/>
            <w:tcBorders>
              <w:top w:val="nil"/>
              <w:left w:val="single" w:color="000000" w:sz="4" w:space="0"/>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rPr>
                <w:rFonts w:hint="default" w:ascii="宋体" w:hAnsi="宋体" w:eastAsia="宋体" w:cs="宋体"/>
                <w:sz w:val="20"/>
                <w:szCs w:val="20"/>
              </w:rPr>
            </w:pPr>
            <w:r>
              <w:rPr>
                <w:rFonts w:hint="eastAsia" w:ascii="Times New Roman" w:hAnsi="Times New Roman" w:eastAsia="宋体" w:cs="Times New Roman"/>
                <w:sz w:val="20"/>
                <w:szCs w:val="20"/>
              </w:rPr>
              <w:t xml:space="preserve">    7.全年预算数</w:t>
            </w:r>
          </w:p>
        </w:tc>
        <w:tc>
          <w:tcPr>
            <w:tcW w:w="682" w:type="dxa"/>
            <w:tcBorders>
              <w:top w:val="nil"/>
              <w:left w:val="nil"/>
              <w:bottom w:val="single" w:color="000000" w:sz="8" w:space="0"/>
              <w:right w:val="single" w:color="000000" w:sz="4" w:space="0"/>
            </w:tcBorders>
            <w:noWrap/>
            <w:vAlign w:val="center"/>
          </w:tcPr>
          <w:p>
            <w:pPr>
              <w:keepNext w:val="0"/>
              <w:keepLines w:val="0"/>
              <w:suppressLineNumbers w:val="0"/>
              <w:adjustRightInd w:val="0"/>
              <w:snapToGrid w:val="0"/>
              <w:spacing w:before="0" w:beforeAutospacing="0" w:after="200" w:afterAutospacing="0"/>
              <w:ind w:left="0" w:right="0"/>
              <w:jc w:val="center"/>
              <w:rPr>
                <w:rFonts w:hint="default" w:ascii="Tahoma" w:hAnsi="Tahoma" w:eastAsia="微软雅黑" w:cs="Arial"/>
                <w:color w:val="000000"/>
              </w:rPr>
            </w:pPr>
            <w:r>
              <w:rPr>
                <w:rFonts w:hint="default" w:ascii="Tahoma" w:hAnsi="Tahoma" w:eastAsia="微软雅黑" w:cs="Arial"/>
                <w:color w:val="000000"/>
              </w:rPr>
              <w:t>58</w:t>
            </w:r>
          </w:p>
        </w:tc>
        <w:tc>
          <w:tcPr>
            <w:tcW w:w="1705"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w:t>
            </w:r>
          </w:p>
        </w:tc>
        <w:tc>
          <w:tcPr>
            <w:tcW w:w="1559"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w:t>
            </w:r>
          </w:p>
        </w:tc>
        <w:tc>
          <w:tcPr>
            <w:tcW w:w="1523"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w:t>
            </w:r>
          </w:p>
        </w:tc>
        <w:tc>
          <w:tcPr>
            <w:tcW w:w="937"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w:t>
            </w:r>
          </w:p>
        </w:tc>
      </w:tr>
      <w:tr>
        <w:tblPrEx>
          <w:tblCellMar>
            <w:top w:w="0" w:type="dxa"/>
            <w:left w:w="108" w:type="dxa"/>
            <w:bottom w:w="0" w:type="dxa"/>
            <w:right w:w="108" w:type="dxa"/>
          </w:tblCellMar>
        </w:tblPrEx>
        <w:trPr>
          <w:trHeight w:val="308" w:hRule="atLeast"/>
        </w:trPr>
        <w:tc>
          <w:tcPr>
            <w:tcW w:w="2023" w:type="dxa"/>
            <w:tcBorders>
              <w:top w:val="nil"/>
              <w:left w:val="single" w:color="000000" w:sz="4" w:space="0"/>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 xml:space="preserve">      本年收入合计</w:t>
            </w:r>
          </w:p>
        </w:tc>
        <w:tc>
          <w:tcPr>
            <w:tcW w:w="682" w:type="dxa"/>
            <w:tcBorders>
              <w:top w:val="nil"/>
              <w:left w:val="nil"/>
              <w:bottom w:val="single" w:color="000000" w:sz="8" w:space="0"/>
              <w:right w:val="single" w:color="000000" w:sz="4" w:space="0"/>
            </w:tcBorders>
            <w:noWrap/>
            <w:vAlign w:val="center"/>
          </w:tcPr>
          <w:p>
            <w:pPr>
              <w:keepNext w:val="0"/>
              <w:keepLines w:val="0"/>
              <w:suppressLineNumbers w:val="0"/>
              <w:adjustRightInd w:val="0"/>
              <w:snapToGrid w:val="0"/>
              <w:spacing w:before="0" w:beforeAutospacing="0" w:after="200" w:afterAutospacing="0"/>
              <w:ind w:left="0" w:right="0"/>
              <w:jc w:val="center"/>
              <w:rPr>
                <w:rFonts w:hint="default" w:ascii="Tahoma" w:hAnsi="Tahoma" w:eastAsia="微软雅黑" w:cs="Arial"/>
                <w:color w:val="000000"/>
              </w:rPr>
            </w:pPr>
            <w:r>
              <w:rPr>
                <w:rFonts w:hint="default" w:ascii="Tahoma" w:hAnsi="Tahoma" w:eastAsia="微软雅黑" w:cs="Arial"/>
                <w:color w:val="000000"/>
              </w:rPr>
              <w:t>59</w:t>
            </w:r>
          </w:p>
        </w:tc>
        <w:tc>
          <w:tcPr>
            <w:tcW w:w="1705"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544554846.6</w:t>
            </w:r>
          </w:p>
        </w:tc>
        <w:tc>
          <w:tcPr>
            <w:tcW w:w="1559"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331466111.03</w:t>
            </w:r>
          </w:p>
        </w:tc>
        <w:tc>
          <w:tcPr>
            <w:tcW w:w="1523"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213088735.57</w:t>
            </w:r>
          </w:p>
        </w:tc>
        <w:tc>
          <w:tcPr>
            <w:tcW w:w="937"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64.29</w:t>
            </w:r>
          </w:p>
        </w:tc>
      </w:tr>
      <w:tr>
        <w:tblPrEx>
          <w:tblCellMar>
            <w:top w:w="0" w:type="dxa"/>
            <w:left w:w="108" w:type="dxa"/>
            <w:bottom w:w="0" w:type="dxa"/>
            <w:right w:w="108" w:type="dxa"/>
          </w:tblCellMar>
        </w:tblPrEx>
        <w:trPr>
          <w:trHeight w:val="308" w:hRule="atLeast"/>
        </w:trPr>
        <w:tc>
          <w:tcPr>
            <w:tcW w:w="2023" w:type="dxa"/>
            <w:tcBorders>
              <w:top w:val="nil"/>
              <w:left w:val="single" w:color="000000" w:sz="4" w:space="0"/>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 xml:space="preserve">      本年支出合计</w:t>
            </w:r>
          </w:p>
        </w:tc>
        <w:tc>
          <w:tcPr>
            <w:tcW w:w="682" w:type="dxa"/>
            <w:tcBorders>
              <w:top w:val="nil"/>
              <w:left w:val="nil"/>
              <w:bottom w:val="single" w:color="000000" w:sz="8" w:space="0"/>
              <w:right w:val="single" w:color="000000" w:sz="4" w:space="0"/>
            </w:tcBorders>
            <w:noWrap/>
            <w:vAlign w:val="center"/>
          </w:tcPr>
          <w:p>
            <w:pPr>
              <w:keepNext w:val="0"/>
              <w:keepLines w:val="0"/>
              <w:suppressLineNumbers w:val="0"/>
              <w:adjustRightInd w:val="0"/>
              <w:snapToGrid w:val="0"/>
              <w:spacing w:before="0" w:beforeAutospacing="0" w:after="200" w:afterAutospacing="0"/>
              <w:ind w:left="0" w:right="0"/>
              <w:jc w:val="center"/>
              <w:rPr>
                <w:rFonts w:hint="default" w:ascii="Tahoma" w:hAnsi="Tahoma" w:eastAsia="微软雅黑" w:cs="Arial"/>
                <w:color w:val="000000"/>
              </w:rPr>
            </w:pPr>
            <w:r>
              <w:rPr>
                <w:rFonts w:hint="default" w:ascii="Tahoma" w:hAnsi="Tahoma" w:eastAsia="微软雅黑" w:cs="Arial"/>
                <w:color w:val="000000"/>
              </w:rPr>
              <w:t>60</w:t>
            </w:r>
          </w:p>
        </w:tc>
        <w:tc>
          <w:tcPr>
            <w:tcW w:w="1705"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544554846.6</w:t>
            </w:r>
          </w:p>
        </w:tc>
        <w:tc>
          <w:tcPr>
            <w:tcW w:w="1559"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331466111.03</w:t>
            </w:r>
          </w:p>
        </w:tc>
        <w:tc>
          <w:tcPr>
            <w:tcW w:w="1523"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213088735.57</w:t>
            </w:r>
          </w:p>
        </w:tc>
        <w:tc>
          <w:tcPr>
            <w:tcW w:w="937"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64.29</w:t>
            </w:r>
          </w:p>
        </w:tc>
      </w:tr>
      <w:tr>
        <w:tblPrEx>
          <w:tblCellMar>
            <w:top w:w="0" w:type="dxa"/>
            <w:left w:w="108" w:type="dxa"/>
            <w:bottom w:w="0" w:type="dxa"/>
            <w:right w:w="108" w:type="dxa"/>
          </w:tblCellMar>
        </w:tblPrEx>
        <w:trPr>
          <w:trHeight w:val="308" w:hRule="atLeast"/>
        </w:trPr>
        <w:tc>
          <w:tcPr>
            <w:tcW w:w="2023" w:type="dxa"/>
            <w:tcBorders>
              <w:top w:val="nil"/>
              <w:left w:val="single" w:color="000000" w:sz="4" w:space="0"/>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 xml:space="preserve">    年末结转和结余</w:t>
            </w:r>
          </w:p>
        </w:tc>
        <w:tc>
          <w:tcPr>
            <w:tcW w:w="682" w:type="dxa"/>
            <w:tcBorders>
              <w:top w:val="nil"/>
              <w:left w:val="nil"/>
              <w:bottom w:val="single" w:color="000000" w:sz="8" w:space="0"/>
              <w:right w:val="single" w:color="000000" w:sz="4" w:space="0"/>
            </w:tcBorders>
            <w:noWrap/>
            <w:vAlign w:val="center"/>
          </w:tcPr>
          <w:p>
            <w:pPr>
              <w:keepNext w:val="0"/>
              <w:keepLines w:val="0"/>
              <w:suppressLineNumbers w:val="0"/>
              <w:adjustRightInd w:val="0"/>
              <w:snapToGrid w:val="0"/>
              <w:spacing w:before="0" w:beforeAutospacing="0" w:after="200" w:afterAutospacing="0"/>
              <w:ind w:left="0" w:right="0"/>
              <w:jc w:val="center"/>
              <w:rPr>
                <w:rFonts w:hint="default" w:ascii="Tahoma" w:hAnsi="Tahoma" w:eastAsia="微软雅黑" w:cs="Arial"/>
                <w:color w:val="000000"/>
              </w:rPr>
            </w:pPr>
            <w:r>
              <w:rPr>
                <w:rFonts w:hint="default" w:ascii="Tahoma" w:hAnsi="Tahoma" w:eastAsia="微软雅黑" w:cs="Arial"/>
                <w:color w:val="000000"/>
              </w:rPr>
              <w:t>61</w:t>
            </w:r>
          </w:p>
        </w:tc>
        <w:tc>
          <w:tcPr>
            <w:tcW w:w="1705"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p>
        </w:tc>
        <w:tc>
          <w:tcPr>
            <w:tcW w:w="1559"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1523"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937"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p>
        </w:tc>
      </w:tr>
    </w:tbl>
    <w:p>
      <w:pPr>
        <w:snapToGrid w:val="0"/>
        <w:spacing w:line="520" w:lineRule="exact"/>
        <w:ind w:firstLine="643" w:firstLineChars="200"/>
        <w:rPr>
          <w:rFonts w:hint="eastAsia" w:ascii="楷体_GB2312" w:hAnsi="仿宋" w:eastAsia="楷体_GB2312" w:cs="Times New Roman"/>
          <w:b/>
          <w:sz w:val="32"/>
          <w:szCs w:val="32"/>
        </w:rPr>
      </w:pPr>
      <w:r>
        <w:rPr>
          <w:rFonts w:hint="eastAsia" w:ascii="楷体_GB2312" w:hAnsi="仿宋" w:eastAsia="楷体_GB2312" w:cs="Times New Roman"/>
          <w:b/>
          <w:sz w:val="32"/>
          <w:szCs w:val="32"/>
        </w:rPr>
        <w:t>（二）收入支出预算执行情况。</w:t>
      </w:r>
    </w:p>
    <w:p>
      <w:pPr>
        <w:snapToGrid w:val="0"/>
        <w:spacing w:line="520" w:lineRule="exact"/>
        <w:ind w:firstLine="643" w:firstLineChars="200"/>
        <w:rPr>
          <w:rFonts w:hint="eastAsia" w:ascii="仿宋_GB2312" w:hAnsi="仿宋" w:eastAsia="仿宋_GB2312" w:cs="Times New Roman"/>
          <w:b/>
          <w:sz w:val="32"/>
          <w:szCs w:val="32"/>
        </w:rPr>
      </w:pPr>
      <w:r>
        <w:rPr>
          <w:rFonts w:hint="eastAsia" w:ascii="仿宋_GB2312" w:hAnsi="仿宋" w:eastAsia="仿宋_GB2312" w:cs="Times New Roman"/>
          <w:b/>
          <w:sz w:val="32"/>
          <w:szCs w:val="32"/>
        </w:rPr>
        <w:t>1．收入支出具体情况分析。</w:t>
      </w:r>
    </w:p>
    <w:tbl>
      <w:tblPr>
        <w:tblStyle w:val="12"/>
        <w:tblW w:w="8457" w:type="dxa"/>
        <w:tblInd w:w="93" w:type="dxa"/>
        <w:tblLayout w:type="fixed"/>
        <w:tblCellMar>
          <w:top w:w="0" w:type="dxa"/>
          <w:left w:w="108" w:type="dxa"/>
          <w:bottom w:w="0" w:type="dxa"/>
          <w:right w:w="108" w:type="dxa"/>
        </w:tblCellMar>
      </w:tblPr>
      <w:tblGrid>
        <w:gridCol w:w="2127"/>
        <w:gridCol w:w="587"/>
        <w:gridCol w:w="1711"/>
        <w:gridCol w:w="1564"/>
        <w:gridCol w:w="1528"/>
        <w:gridCol w:w="940"/>
      </w:tblGrid>
      <w:tr>
        <w:tblPrEx>
          <w:tblCellMar>
            <w:top w:w="0" w:type="dxa"/>
            <w:left w:w="108" w:type="dxa"/>
            <w:bottom w:w="0" w:type="dxa"/>
            <w:right w:w="108" w:type="dxa"/>
          </w:tblCellMar>
        </w:tblPrEx>
        <w:trPr>
          <w:trHeight w:val="333" w:hRule="atLeast"/>
        </w:trPr>
        <w:tc>
          <w:tcPr>
            <w:tcW w:w="2127" w:type="dxa"/>
            <w:vMerge w:val="restart"/>
            <w:tcBorders>
              <w:top w:val="single" w:color="000000" w:sz="4" w:space="0"/>
              <w:left w:val="single" w:color="000000" w:sz="4" w:space="0"/>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eastAsia" w:ascii="宋体" w:hAnsi="宋体" w:eastAsia="宋体" w:cs="Arial"/>
                <w:color w:val="000000"/>
              </w:rPr>
              <w:t>指</w:t>
            </w:r>
            <w:r>
              <w:rPr>
                <w:rFonts w:hint="default" w:ascii="宋体" w:hAnsi="宋体" w:eastAsia="宋体" w:cs="Arial"/>
                <w:color w:val="000000"/>
              </w:rPr>
              <w:t xml:space="preserve">    </w:t>
            </w:r>
            <w:r>
              <w:rPr>
                <w:rFonts w:hint="eastAsia" w:ascii="宋体" w:hAnsi="宋体" w:eastAsia="宋体" w:cs="Arial"/>
                <w:color w:val="000000"/>
              </w:rPr>
              <w:t>标</w:t>
            </w:r>
          </w:p>
        </w:tc>
        <w:tc>
          <w:tcPr>
            <w:tcW w:w="587" w:type="dxa"/>
            <w:vMerge w:val="restart"/>
            <w:tcBorders>
              <w:top w:val="single" w:color="000000" w:sz="4" w:space="0"/>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eastAsia" w:ascii="宋体" w:hAnsi="宋体" w:eastAsia="宋体" w:cs="Arial"/>
                <w:color w:val="000000"/>
              </w:rPr>
              <w:t>行次</w:t>
            </w:r>
          </w:p>
        </w:tc>
        <w:tc>
          <w:tcPr>
            <w:tcW w:w="1711" w:type="dxa"/>
            <w:vMerge w:val="restart"/>
            <w:tcBorders>
              <w:top w:val="single" w:color="000000" w:sz="4" w:space="0"/>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eastAsia" w:ascii="宋体" w:hAnsi="宋体" w:eastAsia="宋体" w:cs="Arial"/>
                <w:color w:val="000000"/>
              </w:rPr>
              <w:t>本年度</w:t>
            </w:r>
          </w:p>
        </w:tc>
        <w:tc>
          <w:tcPr>
            <w:tcW w:w="1564" w:type="dxa"/>
            <w:vMerge w:val="restart"/>
            <w:tcBorders>
              <w:top w:val="single" w:color="000000" w:sz="4" w:space="0"/>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eastAsia" w:ascii="宋体" w:hAnsi="宋体" w:eastAsia="宋体" w:cs="Arial"/>
                <w:color w:val="000000"/>
              </w:rPr>
              <w:t>上年度</w:t>
            </w:r>
          </w:p>
        </w:tc>
        <w:tc>
          <w:tcPr>
            <w:tcW w:w="1528" w:type="dxa"/>
            <w:vMerge w:val="restart"/>
            <w:tcBorders>
              <w:top w:val="single" w:color="000000" w:sz="4" w:space="0"/>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eastAsia" w:ascii="宋体" w:hAnsi="宋体" w:eastAsia="宋体" w:cs="Arial"/>
                <w:color w:val="000000"/>
              </w:rPr>
              <w:t>比上年增减</w:t>
            </w:r>
          </w:p>
        </w:tc>
        <w:tc>
          <w:tcPr>
            <w:tcW w:w="940" w:type="dxa"/>
            <w:vMerge w:val="restart"/>
            <w:tcBorders>
              <w:top w:val="single" w:color="000000" w:sz="4" w:space="0"/>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eastAsia" w:ascii="宋体" w:hAnsi="宋体" w:eastAsia="宋体" w:cs="Arial"/>
                <w:color w:val="000000"/>
              </w:rPr>
              <w:t>增减％</w:t>
            </w:r>
          </w:p>
        </w:tc>
      </w:tr>
      <w:tr>
        <w:tblPrEx>
          <w:tblCellMar>
            <w:top w:w="0" w:type="dxa"/>
            <w:left w:w="108" w:type="dxa"/>
            <w:bottom w:w="0" w:type="dxa"/>
            <w:right w:w="108" w:type="dxa"/>
          </w:tblCellMar>
        </w:tblPrEx>
        <w:trPr>
          <w:trHeight w:val="333" w:hRule="atLeast"/>
        </w:trPr>
        <w:tc>
          <w:tcPr>
            <w:tcW w:w="2127" w:type="dxa"/>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suppressLineNumbers w:val="0"/>
              <w:spacing w:before="0" w:beforeAutospacing="0" w:after="0" w:afterAutospacing="0"/>
              <w:ind w:left="0" w:right="0"/>
              <w:rPr>
                <w:rFonts w:hint="default" w:ascii="宋体" w:hAnsi="Times New Roman" w:eastAsia="宋体" w:cs="Arial"/>
                <w:color w:val="000000"/>
              </w:rPr>
            </w:pPr>
          </w:p>
        </w:tc>
        <w:tc>
          <w:tcPr>
            <w:tcW w:w="587" w:type="dxa"/>
            <w:vMerge w:val="continue"/>
            <w:tcBorders>
              <w:top w:val="single" w:color="000000" w:sz="4" w:space="0"/>
              <w:left w:val="nil"/>
              <w:bottom w:val="single" w:color="000000" w:sz="4" w:space="0"/>
              <w:right w:val="single" w:color="000000" w:sz="4" w:space="0"/>
            </w:tcBorders>
            <w:noWrap w:val="0"/>
            <w:vAlign w:val="center"/>
          </w:tcPr>
          <w:p>
            <w:pPr>
              <w:keepNext w:val="0"/>
              <w:keepLines w:val="0"/>
              <w:suppressLineNumbers w:val="0"/>
              <w:spacing w:before="0" w:beforeAutospacing="0" w:after="0" w:afterAutospacing="0"/>
              <w:ind w:left="0" w:right="0"/>
              <w:rPr>
                <w:rFonts w:hint="default" w:ascii="宋体" w:hAnsi="Times New Roman" w:eastAsia="宋体" w:cs="Arial"/>
                <w:color w:val="000000"/>
              </w:rPr>
            </w:pPr>
          </w:p>
        </w:tc>
        <w:tc>
          <w:tcPr>
            <w:tcW w:w="1711" w:type="dxa"/>
            <w:vMerge w:val="continue"/>
            <w:tcBorders>
              <w:top w:val="single" w:color="000000" w:sz="4" w:space="0"/>
              <w:left w:val="nil"/>
              <w:bottom w:val="single" w:color="000000" w:sz="4" w:space="0"/>
              <w:right w:val="single" w:color="000000" w:sz="4" w:space="0"/>
            </w:tcBorders>
            <w:noWrap w:val="0"/>
            <w:vAlign w:val="center"/>
          </w:tcPr>
          <w:p>
            <w:pPr>
              <w:keepNext w:val="0"/>
              <w:keepLines w:val="0"/>
              <w:suppressLineNumbers w:val="0"/>
              <w:spacing w:before="0" w:beforeAutospacing="0" w:after="0" w:afterAutospacing="0"/>
              <w:ind w:left="0" w:right="0"/>
              <w:rPr>
                <w:rFonts w:hint="default" w:ascii="宋体" w:hAnsi="Times New Roman" w:eastAsia="宋体" w:cs="Arial"/>
                <w:color w:val="000000"/>
              </w:rPr>
            </w:pPr>
          </w:p>
        </w:tc>
        <w:tc>
          <w:tcPr>
            <w:tcW w:w="1564" w:type="dxa"/>
            <w:vMerge w:val="continue"/>
            <w:tcBorders>
              <w:top w:val="single" w:color="000000" w:sz="4" w:space="0"/>
              <w:left w:val="nil"/>
              <w:bottom w:val="single" w:color="000000" w:sz="4" w:space="0"/>
              <w:right w:val="single" w:color="000000" w:sz="4" w:space="0"/>
            </w:tcBorders>
            <w:noWrap w:val="0"/>
            <w:vAlign w:val="center"/>
          </w:tcPr>
          <w:p>
            <w:pPr>
              <w:keepNext w:val="0"/>
              <w:keepLines w:val="0"/>
              <w:suppressLineNumbers w:val="0"/>
              <w:spacing w:before="0" w:beforeAutospacing="0" w:after="0" w:afterAutospacing="0"/>
              <w:ind w:left="0" w:right="0"/>
              <w:rPr>
                <w:rFonts w:hint="default" w:ascii="宋体" w:hAnsi="Times New Roman" w:eastAsia="宋体" w:cs="Arial"/>
                <w:color w:val="000000"/>
              </w:rPr>
            </w:pPr>
          </w:p>
        </w:tc>
        <w:tc>
          <w:tcPr>
            <w:tcW w:w="1528" w:type="dxa"/>
            <w:vMerge w:val="continue"/>
            <w:tcBorders>
              <w:top w:val="single" w:color="000000" w:sz="4" w:space="0"/>
              <w:left w:val="nil"/>
              <w:bottom w:val="single" w:color="000000" w:sz="4" w:space="0"/>
              <w:right w:val="single" w:color="000000" w:sz="4" w:space="0"/>
            </w:tcBorders>
            <w:noWrap w:val="0"/>
            <w:vAlign w:val="center"/>
          </w:tcPr>
          <w:p>
            <w:pPr>
              <w:keepNext w:val="0"/>
              <w:keepLines w:val="0"/>
              <w:suppressLineNumbers w:val="0"/>
              <w:spacing w:before="0" w:beforeAutospacing="0" w:after="0" w:afterAutospacing="0"/>
              <w:ind w:left="0" w:right="0"/>
              <w:rPr>
                <w:rFonts w:hint="default" w:ascii="宋体" w:hAnsi="Times New Roman" w:eastAsia="宋体" w:cs="Arial"/>
                <w:color w:val="000000"/>
              </w:rPr>
            </w:pPr>
          </w:p>
        </w:tc>
        <w:tc>
          <w:tcPr>
            <w:tcW w:w="940" w:type="dxa"/>
            <w:vMerge w:val="continue"/>
            <w:tcBorders>
              <w:top w:val="single" w:color="000000" w:sz="4" w:space="0"/>
              <w:left w:val="nil"/>
              <w:bottom w:val="single" w:color="000000" w:sz="4" w:space="0"/>
              <w:right w:val="single" w:color="000000" w:sz="4" w:space="0"/>
            </w:tcBorders>
            <w:noWrap w:val="0"/>
            <w:vAlign w:val="center"/>
          </w:tcPr>
          <w:p>
            <w:pPr>
              <w:keepNext w:val="0"/>
              <w:keepLines w:val="0"/>
              <w:suppressLineNumbers w:val="0"/>
              <w:spacing w:before="0" w:beforeAutospacing="0" w:after="0" w:afterAutospacing="0"/>
              <w:ind w:left="0" w:right="0"/>
              <w:rPr>
                <w:rFonts w:hint="default" w:ascii="宋体" w:hAnsi="Times New Roman" w:eastAsia="宋体" w:cs="Arial"/>
                <w:color w:val="000000"/>
              </w:rPr>
            </w:pPr>
          </w:p>
        </w:tc>
      </w:tr>
      <w:tr>
        <w:tblPrEx>
          <w:tblCellMar>
            <w:top w:w="0" w:type="dxa"/>
            <w:left w:w="108" w:type="dxa"/>
            <w:bottom w:w="0" w:type="dxa"/>
            <w:right w:w="108" w:type="dxa"/>
          </w:tblCellMar>
        </w:tblPrEx>
        <w:trPr>
          <w:trHeight w:val="584" w:hRule="atLeast"/>
        </w:trPr>
        <w:tc>
          <w:tcPr>
            <w:tcW w:w="2127" w:type="dxa"/>
            <w:tcBorders>
              <w:top w:val="nil"/>
              <w:left w:val="single" w:color="000000" w:sz="4" w:space="0"/>
              <w:bottom w:val="single" w:color="000000" w:sz="4" w:space="0"/>
              <w:right w:val="single" w:color="000000" w:sz="4" w:space="0"/>
            </w:tcBorders>
            <w:shd w:val="clear" w:color="FFFFFF" w:fill="C0C0C0"/>
            <w:noWrap w:val="0"/>
            <w:vAlign w:val="center"/>
          </w:tcPr>
          <w:p>
            <w:pPr>
              <w:keepNext w:val="0"/>
              <w:keepLines w:val="0"/>
              <w:suppressLineNumbers w:val="0"/>
              <w:spacing w:before="0" w:beforeAutospacing="0" w:after="240" w:afterAutospacing="0"/>
              <w:ind w:left="0" w:right="0"/>
              <w:jc w:val="center"/>
              <w:rPr>
                <w:rFonts w:hint="default" w:ascii="宋体" w:hAnsi="Times New Roman" w:eastAsia="宋体" w:cs="Arial"/>
                <w:color w:val="000000"/>
              </w:rPr>
            </w:pPr>
            <w:r>
              <w:rPr>
                <w:rFonts w:hint="eastAsia" w:ascii="宋体" w:hAnsi="宋体" w:eastAsia="宋体" w:cs="Arial"/>
                <w:color w:val="000000"/>
              </w:rPr>
              <w:t>栏</w:t>
            </w:r>
            <w:r>
              <w:rPr>
                <w:rFonts w:hint="default" w:ascii="宋体" w:hAnsi="宋体" w:eastAsia="宋体" w:cs="Arial"/>
                <w:color w:val="000000"/>
              </w:rPr>
              <w:t xml:space="preserve">    </w:t>
            </w:r>
            <w:r>
              <w:rPr>
                <w:rFonts w:hint="eastAsia" w:ascii="宋体" w:hAnsi="宋体" w:eastAsia="宋体" w:cs="Arial"/>
                <w:color w:val="000000"/>
              </w:rPr>
              <w:t>次</w:t>
            </w:r>
          </w:p>
        </w:tc>
        <w:tc>
          <w:tcPr>
            <w:tcW w:w="587" w:type="dxa"/>
            <w:vMerge w:val="continue"/>
            <w:tcBorders>
              <w:top w:val="single" w:color="000000" w:sz="4" w:space="0"/>
              <w:left w:val="nil"/>
              <w:bottom w:val="single" w:color="000000" w:sz="4" w:space="0"/>
              <w:right w:val="single" w:color="000000" w:sz="4" w:space="0"/>
            </w:tcBorders>
            <w:shd w:val="clear" w:color="auto" w:fill="auto"/>
            <w:noWrap w:val="0"/>
            <w:vAlign w:val="center"/>
          </w:tcPr>
          <w:p>
            <w:pPr>
              <w:keepNext w:val="0"/>
              <w:keepLines w:val="0"/>
              <w:suppressLineNumbers w:val="0"/>
              <w:spacing w:before="0" w:beforeAutospacing="0" w:after="0" w:afterAutospacing="0"/>
              <w:ind w:left="0" w:right="0"/>
              <w:rPr>
                <w:rFonts w:hint="default" w:ascii="宋体" w:hAnsi="Times New Roman" w:eastAsia="宋体" w:cs="Arial"/>
                <w:color w:val="000000"/>
              </w:rPr>
            </w:pPr>
          </w:p>
        </w:tc>
        <w:tc>
          <w:tcPr>
            <w:tcW w:w="1711" w:type="dxa"/>
            <w:tcBorders>
              <w:top w:val="nil"/>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default" w:ascii="宋体" w:hAnsi="宋体" w:eastAsia="宋体" w:cs="Arial"/>
                <w:color w:val="000000"/>
              </w:rPr>
              <w:t>1</w:t>
            </w:r>
          </w:p>
        </w:tc>
        <w:tc>
          <w:tcPr>
            <w:tcW w:w="1564" w:type="dxa"/>
            <w:tcBorders>
              <w:top w:val="nil"/>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default" w:ascii="宋体" w:hAnsi="宋体" w:eastAsia="宋体" w:cs="Arial"/>
                <w:color w:val="000000"/>
              </w:rPr>
              <w:t>2</w:t>
            </w:r>
          </w:p>
        </w:tc>
        <w:tc>
          <w:tcPr>
            <w:tcW w:w="1528" w:type="dxa"/>
            <w:tcBorders>
              <w:top w:val="nil"/>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default" w:ascii="宋体" w:hAnsi="宋体" w:eastAsia="宋体" w:cs="Arial"/>
                <w:color w:val="000000"/>
              </w:rPr>
              <w:t>3</w:t>
            </w:r>
          </w:p>
        </w:tc>
        <w:tc>
          <w:tcPr>
            <w:tcW w:w="940" w:type="dxa"/>
            <w:tcBorders>
              <w:top w:val="nil"/>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default" w:ascii="宋体" w:hAnsi="宋体" w:eastAsia="宋体" w:cs="Arial"/>
                <w:color w:val="000000"/>
              </w:rPr>
              <w:t>4</w:t>
            </w:r>
          </w:p>
        </w:tc>
      </w:tr>
      <w:tr>
        <w:tblPrEx>
          <w:tblCellMar>
            <w:top w:w="0" w:type="dxa"/>
            <w:left w:w="108" w:type="dxa"/>
            <w:bottom w:w="0" w:type="dxa"/>
            <w:right w:w="108" w:type="dxa"/>
          </w:tblCellMar>
        </w:tblPrEx>
        <w:trPr>
          <w:trHeight w:val="661" w:hRule="atLeast"/>
        </w:trPr>
        <w:tc>
          <w:tcPr>
            <w:tcW w:w="2127" w:type="dxa"/>
            <w:tcBorders>
              <w:top w:val="nil"/>
              <w:left w:val="single" w:color="000000" w:sz="4" w:space="0"/>
              <w:bottom w:val="single" w:color="000000" w:sz="8"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rPr>
                <w:rFonts w:hint="default" w:ascii="宋体" w:hAnsi="宋体" w:eastAsia="宋体" w:cs="宋体"/>
                <w:b/>
                <w:bCs/>
                <w:color w:val="000000"/>
                <w:sz w:val="20"/>
                <w:szCs w:val="20"/>
              </w:rPr>
            </w:pPr>
            <w:r>
              <w:rPr>
                <w:rFonts w:hint="eastAsia" w:ascii="Times New Roman" w:hAnsi="Times New Roman" w:eastAsia="宋体" w:cs="Times New Roman"/>
                <w:b/>
                <w:bCs/>
                <w:color w:val="000000"/>
                <w:sz w:val="20"/>
                <w:szCs w:val="20"/>
              </w:rPr>
              <w:t>一、年度收支情况（单位：元）</w:t>
            </w:r>
          </w:p>
        </w:tc>
        <w:tc>
          <w:tcPr>
            <w:tcW w:w="587" w:type="dxa"/>
            <w:tcBorders>
              <w:top w:val="nil"/>
              <w:left w:val="nil"/>
              <w:bottom w:val="single" w:color="000000" w:sz="8" w:space="0"/>
              <w:right w:val="single" w:color="000000" w:sz="4" w:space="0"/>
            </w:tcBorders>
            <w:shd w:val="clear" w:color="FFFFFF" w:fill="C0C0C0"/>
            <w:noWrap/>
            <w:vAlign w:val="center"/>
          </w:tcPr>
          <w:p>
            <w:pPr>
              <w:keepNext w:val="0"/>
              <w:keepLines w:val="0"/>
              <w:suppressLineNumbers w:val="0"/>
              <w:adjustRightInd w:val="0"/>
              <w:snapToGrid w:val="0"/>
              <w:spacing w:before="0" w:beforeAutospacing="0" w:after="200" w:afterAutospacing="0"/>
              <w:ind w:left="0" w:right="0"/>
              <w:jc w:val="center"/>
              <w:rPr>
                <w:rFonts w:hint="default" w:ascii="Tahoma" w:hAnsi="Tahoma" w:eastAsia="微软雅黑" w:cs="Arial"/>
                <w:color w:val="000000"/>
              </w:rPr>
            </w:pPr>
            <w:r>
              <w:rPr>
                <w:rFonts w:hint="default" w:ascii="Tahoma" w:hAnsi="Tahoma" w:eastAsia="微软雅黑" w:cs="Arial"/>
                <w:color w:val="000000"/>
              </w:rPr>
              <w:t>1</w:t>
            </w:r>
          </w:p>
        </w:tc>
        <w:tc>
          <w:tcPr>
            <w:tcW w:w="1711" w:type="dxa"/>
            <w:tcBorders>
              <w:top w:val="nil"/>
              <w:left w:val="nil"/>
              <w:bottom w:val="single" w:color="000000" w:sz="8" w:space="0"/>
              <w:right w:val="single" w:color="000000" w:sz="4" w:space="0"/>
            </w:tcBorders>
            <w:noWrap/>
            <w:vAlign w:val="top"/>
          </w:tcPr>
          <w:p>
            <w:pPr>
              <w:keepNext w:val="0"/>
              <w:keepLines w:val="0"/>
              <w:suppressLineNumbers w:val="0"/>
              <w:spacing w:before="0" w:beforeAutospacing="0" w:after="0" w:afterAutospacing="0"/>
              <w:ind w:left="0" w:right="0"/>
              <w:rPr>
                <w:rFonts w:hint="default" w:ascii="Times New Roman" w:hAnsi="Times New Roman" w:eastAsia="宋体" w:cs="Times New Roman"/>
              </w:rPr>
            </w:pPr>
            <w:r>
              <w:rPr>
                <w:rFonts w:hint="eastAsia" w:ascii="Times New Roman" w:hAnsi="Times New Roman" w:eastAsia="宋体" w:cs="Times New Roman"/>
              </w:rPr>
              <w:t>—</w:t>
            </w:r>
          </w:p>
        </w:tc>
        <w:tc>
          <w:tcPr>
            <w:tcW w:w="1564" w:type="dxa"/>
            <w:tcBorders>
              <w:top w:val="nil"/>
              <w:left w:val="nil"/>
              <w:bottom w:val="single" w:color="000000" w:sz="8" w:space="0"/>
              <w:right w:val="single" w:color="000000" w:sz="4" w:space="0"/>
            </w:tcBorders>
            <w:noWrap/>
            <w:vAlign w:val="top"/>
          </w:tcPr>
          <w:p>
            <w:pPr>
              <w:keepNext w:val="0"/>
              <w:keepLines w:val="0"/>
              <w:suppressLineNumbers w:val="0"/>
              <w:spacing w:before="0" w:beforeAutospacing="0" w:after="0" w:afterAutospacing="0"/>
              <w:ind w:left="0" w:right="0"/>
              <w:rPr>
                <w:rFonts w:hint="default" w:ascii="Times New Roman" w:hAnsi="Times New Roman" w:eastAsia="宋体" w:cs="Times New Roman"/>
              </w:rPr>
            </w:pPr>
            <w:r>
              <w:rPr>
                <w:rFonts w:hint="default" w:ascii="Times New Roman" w:hAnsi="Times New Roman" w:eastAsia="宋体" w:cs="Times New Roman"/>
              </w:rPr>
              <w:t>—</w:t>
            </w:r>
          </w:p>
        </w:tc>
        <w:tc>
          <w:tcPr>
            <w:tcW w:w="1528" w:type="dxa"/>
            <w:tcBorders>
              <w:top w:val="nil"/>
              <w:left w:val="nil"/>
              <w:bottom w:val="single" w:color="000000" w:sz="8" w:space="0"/>
              <w:right w:val="single" w:color="000000" w:sz="4" w:space="0"/>
            </w:tcBorders>
            <w:noWrap/>
            <w:vAlign w:val="top"/>
          </w:tcPr>
          <w:p>
            <w:pPr>
              <w:keepNext w:val="0"/>
              <w:keepLines w:val="0"/>
              <w:suppressLineNumbers w:val="0"/>
              <w:spacing w:before="0" w:beforeAutospacing="0" w:after="0" w:afterAutospacing="0"/>
              <w:ind w:left="0" w:right="0"/>
              <w:rPr>
                <w:rFonts w:hint="default" w:ascii="Times New Roman" w:hAnsi="Times New Roman" w:eastAsia="宋体" w:cs="Times New Roman"/>
              </w:rPr>
            </w:pPr>
            <w:r>
              <w:rPr>
                <w:rFonts w:hint="default" w:ascii="Times New Roman" w:hAnsi="Times New Roman" w:eastAsia="宋体" w:cs="Times New Roman"/>
              </w:rPr>
              <w:t>—</w:t>
            </w:r>
          </w:p>
        </w:tc>
        <w:tc>
          <w:tcPr>
            <w:tcW w:w="940" w:type="dxa"/>
            <w:tcBorders>
              <w:top w:val="nil"/>
              <w:left w:val="nil"/>
              <w:bottom w:val="single" w:color="000000" w:sz="8" w:space="0"/>
              <w:right w:val="single" w:color="000000" w:sz="4" w:space="0"/>
            </w:tcBorders>
            <w:noWrap/>
            <w:vAlign w:val="top"/>
          </w:tcPr>
          <w:p>
            <w:pPr>
              <w:keepNext w:val="0"/>
              <w:keepLines w:val="0"/>
              <w:suppressLineNumbers w:val="0"/>
              <w:spacing w:before="0" w:beforeAutospacing="0" w:after="0" w:afterAutospacing="0"/>
              <w:ind w:left="0" w:right="0"/>
              <w:rPr>
                <w:rFonts w:hint="default" w:ascii="Times New Roman" w:hAnsi="Times New Roman" w:eastAsia="宋体" w:cs="Times New Roman"/>
              </w:rPr>
            </w:pPr>
            <w:r>
              <w:rPr>
                <w:rFonts w:hint="default" w:ascii="Times New Roman" w:hAnsi="Times New Roman" w:eastAsia="宋体" w:cs="Times New Roman"/>
              </w:rPr>
              <w:t>—</w:t>
            </w:r>
          </w:p>
        </w:tc>
      </w:tr>
      <w:tr>
        <w:tblPrEx>
          <w:tblCellMar>
            <w:top w:w="0" w:type="dxa"/>
            <w:left w:w="108" w:type="dxa"/>
            <w:bottom w:w="0" w:type="dxa"/>
            <w:right w:w="108" w:type="dxa"/>
          </w:tblCellMar>
        </w:tblPrEx>
        <w:trPr>
          <w:trHeight w:val="490" w:hRule="atLeast"/>
        </w:trPr>
        <w:tc>
          <w:tcPr>
            <w:tcW w:w="2127" w:type="dxa"/>
            <w:tcBorders>
              <w:top w:val="nil"/>
              <w:left w:val="single" w:color="000000" w:sz="4" w:space="0"/>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 xml:space="preserve">    1.本年收入</w:t>
            </w:r>
          </w:p>
        </w:tc>
        <w:tc>
          <w:tcPr>
            <w:tcW w:w="587" w:type="dxa"/>
            <w:tcBorders>
              <w:top w:val="nil"/>
              <w:left w:val="nil"/>
              <w:bottom w:val="single" w:color="000000" w:sz="8" w:space="0"/>
              <w:right w:val="single" w:color="000000" w:sz="4" w:space="0"/>
            </w:tcBorders>
            <w:noWrap/>
            <w:vAlign w:val="center"/>
          </w:tcPr>
          <w:p>
            <w:pPr>
              <w:keepNext w:val="0"/>
              <w:keepLines w:val="0"/>
              <w:suppressLineNumbers w:val="0"/>
              <w:adjustRightInd w:val="0"/>
              <w:snapToGrid w:val="0"/>
              <w:spacing w:before="0" w:beforeAutospacing="0" w:after="200" w:afterAutospacing="0"/>
              <w:ind w:left="0" w:right="0"/>
              <w:jc w:val="center"/>
              <w:rPr>
                <w:rFonts w:hint="default" w:ascii="Tahoma" w:hAnsi="Tahoma" w:eastAsia="微软雅黑" w:cs="Arial"/>
                <w:color w:val="000000"/>
              </w:rPr>
            </w:pPr>
            <w:r>
              <w:rPr>
                <w:rFonts w:hint="default" w:ascii="Tahoma" w:hAnsi="Tahoma" w:eastAsia="微软雅黑" w:cs="Arial"/>
                <w:color w:val="000000"/>
              </w:rPr>
              <w:t>2</w:t>
            </w:r>
          </w:p>
        </w:tc>
        <w:tc>
          <w:tcPr>
            <w:tcW w:w="1711"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544554846.6</w:t>
            </w:r>
          </w:p>
        </w:tc>
        <w:tc>
          <w:tcPr>
            <w:tcW w:w="1564"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331466111.03</w:t>
            </w:r>
          </w:p>
        </w:tc>
        <w:tc>
          <w:tcPr>
            <w:tcW w:w="1528"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213088735.57</w:t>
            </w:r>
          </w:p>
        </w:tc>
        <w:tc>
          <w:tcPr>
            <w:tcW w:w="940"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64.29</w:t>
            </w:r>
          </w:p>
        </w:tc>
      </w:tr>
      <w:tr>
        <w:tblPrEx>
          <w:tblCellMar>
            <w:top w:w="0" w:type="dxa"/>
            <w:left w:w="108" w:type="dxa"/>
            <w:bottom w:w="0" w:type="dxa"/>
            <w:right w:w="108" w:type="dxa"/>
          </w:tblCellMar>
        </w:tblPrEx>
        <w:trPr>
          <w:trHeight w:val="672" w:hRule="atLeast"/>
        </w:trPr>
        <w:tc>
          <w:tcPr>
            <w:tcW w:w="2127" w:type="dxa"/>
            <w:tcBorders>
              <w:top w:val="nil"/>
              <w:left w:val="single" w:color="000000" w:sz="4" w:space="0"/>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其中：一般公共预算财政拨款</w:t>
            </w:r>
          </w:p>
        </w:tc>
        <w:tc>
          <w:tcPr>
            <w:tcW w:w="587" w:type="dxa"/>
            <w:tcBorders>
              <w:top w:val="nil"/>
              <w:left w:val="nil"/>
              <w:bottom w:val="single" w:color="000000" w:sz="8" w:space="0"/>
              <w:right w:val="single" w:color="000000" w:sz="4" w:space="0"/>
            </w:tcBorders>
            <w:noWrap/>
            <w:vAlign w:val="center"/>
          </w:tcPr>
          <w:p>
            <w:pPr>
              <w:keepNext w:val="0"/>
              <w:keepLines w:val="0"/>
              <w:suppressLineNumbers w:val="0"/>
              <w:adjustRightInd w:val="0"/>
              <w:snapToGrid w:val="0"/>
              <w:spacing w:before="0" w:beforeAutospacing="0" w:after="200" w:afterAutospacing="0"/>
              <w:ind w:left="0" w:right="0"/>
              <w:jc w:val="center"/>
              <w:rPr>
                <w:rFonts w:hint="default" w:ascii="Tahoma" w:hAnsi="Tahoma" w:eastAsia="微软雅黑" w:cs="Arial"/>
                <w:color w:val="000000"/>
              </w:rPr>
            </w:pPr>
            <w:r>
              <w:rPr>
                <w:rFonts w:hint="default" w:ascii="Tahoma" w:hAnsi="Tahoma" w:eastAsia="微软雅黑" w:cs="Arial"/>
                <w:color w:val="000000"/>
              </w:rPr>
              <w:t>3</w:t>
            </w:r>
          </w:p>
        </w:tc>
        <w:tc>
          <w:tcPr>
            <w:tcW w:w="1711"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414842926.6</w:t>
            </w:r>
          </w:p>
        </w:tc>
        <w:tc>
          <w:tcPr>
            <w:tcW w:w="1564"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331466111.03</w:t>
            </w:r>
          </w:p>
        </w:tc>
        <w:tc>
          <w:tcPr>
            <w:tcW w:w="1528"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83376815.57</w:t>
            </w:r>
          </w:p>
        </w:tc>
        <w:tc>
          <w:tcPr>
            <w:tcW w:w="940"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25.15</w:t>
            </w:r>
          </w:p>
        </w:tc>
      </w:tr>
      <w:tr>
        <w:tblPrEx>
          <w:tblCellMar>
            <w:top w:w="0" w:type="dxa"/>
            <w:left w:w="108" w:type="dxa"/>
            <w:bottom w:w="0" w:type="dxa"/>
            <w:right w:w="108" w:type="dxa"/>
          </w:tblCellMar>
        </w:tblPrEx>
        <w:trPr>
          <w:trHeight w:val="672" w:hRule="atLeast"/>
        </w:trPr>
        <w:tc>
          <w:tcPr>
            <w:tcW w:w="2127" w:type="dxa"/>
            <w:tcBorders>
              <w:top w:val="nil"/>
              <w:left w:val="single" w:color="000000" w:sz="4" w:space="0"/>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政府性基金预算财政拨款</w:t>
            </w:r>
          </w:p>
        </w:tc>
        <w:tc>
          <w:tcPr>
            <w:tcW w:w="587" w:type="dxa"/>
            <w:tcBorders>
              <w:top w:val="nil"/>
              <w:left w:val="nil"/>
              <w:bottom w:val="single" w:color="000000" w:sz="8" w:space="0"/>
              <w:right w:val="single" w:color="000000" w:sz="4" w:space="0"/>
            </w:tcBorders>
            <w:noWrap/>
            <w:vAlign w:val="center"/>
          </w:tcPr>
          <w:p>
            <w:pPr>
              <w:keepNext w:val="0"/>
              <w:keepLines w:val="0"/>
              <w:suppressLineNumbers w:val="0"/>
              <w:adjustRightInd w:val="0"/>
              <w:snapToGrid w:val="0"/>
              <w:spacing w:before="0" w:beforeAutospacing="0" w:after="200" w:afterAutospacing="0"/>
              <w:ind w:left="0" w:right="0"/>
              <w:jc w:val="center"/>
              <w:rPr>
                <w:rFonts w:hint="default" w:ascii="Tahoma" w:hAnsi="Tahoma" w:eastAsia="微软雅黑" w:cs="Arial"/>
                <w:color w:val="000000"/>
              </w:rPr>
            </w:pPr>
            <w:r>
              <w:rPr>
                <w:rFonts w:hint="default" w:ascii="Tahoma" w:hAnsi="Tahoma" w:eastAsia="微软雅黑" w:cs="Arial"/>
                <w:color w:val="000000"/>
              </w:rPr>
              <w:t>4</w:t>
            </w:r>
          </w:p>
        </w:tc>
        <w:tc>
          <w:tcPr>
            <w:tcW w:w="1711"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129711920</w:t>
            </w:r>
          </w:p>
        </w:tc>
        <w:tc>
          <w:tcPr>
            <w:tcW w:w="1564"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1528"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129711920</w:t>
            </w:r>
          </w:p>
        </w:tc>
        <w:tc>
          <w:tcPr>
            <w:tcW w:w="940"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100</w:t>
            </w:r>
          </w:p>
        </w:tc>
      </w:tr>
      <w:tr>
        <w:tblPrEx>
          <w:tblCellMar>
            <w:top w:w="0" w:type="dxa"/>
            <w:left w:w="108" w:type="dxa"/>
            <w:bottom w:w="0" w:type="dxa"/>
            <w:right w:w="108" w:type="dxa"/>
          </w:tblCellMar>
        </w:tblPrEx>
        <w:trPr>
          <w:trHeight w:val="672" w:hRule="atLeast"/>
        </w:trPr>
        <w:tc>
          <w:tcPr>
            <w:tcW w:w="2127" w:type="dxa"/>
            <w:tcBorders>
              <w:top w:val="nil"/>
              <w:left w:val="single" w:color="000000" w:sz="4" w:space="0"/>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国有资本经营预算财政拨款</w:t>
            </w:r>
          </w:p>
        </w:tc>
        <w:tc>
          <w:tcPr>
            <w:tcW w:w="587" w:type="dxa"/>
            <w:tcBorders>
              <w:top w:val="nil"/>
              <w:left w:val="nil"/>
              <w:bottom w:val="single" w:color="000000" w:sz="8" w:space="0"/>
              <w:right w:val="single" w:color="000000" w:sz="4" w:space="0"/>
            </w:tcBorders>
            <w:noWrap/>
            <w:vAlign w:val="center"/>
          </w:tcPr>
          <w:p>
            <w:pPr>
              <w:keepNext w:val="0"/>
              <w:keepLines w:val="0"/>
              <w:suppressLineNumbers w:val="0"/>
              <w:adjustRightInd w:val="0"/>
              <w:snapToGrid w:val="0"/>
              <w:spacing w:before="0" w:beforeAutospacing="0" w:after="200" w:afterAutospacing="0"/>
              <w:ind w:left="0" w:right="0"/>
              <w:jc w:val="center"/>
              <w:rPr>
                <w:rFonts w:hint="default" w:ascii="Tahoma" w:hAnsi="Tahoma" w:eastAsia="微软雅黑" w:cs="Arial"/>
                <w:color w:val="000000"/>
              </w:rPr>
            </w:pPr>
            <w:r>
              <w:rPr>
                <w:rFonts w:hint="default" w:ascii="Tahoma" w:hAnsi="Tahoma" w:eastAsia="微软雅黑" w:cs="Arial"/>
                <w:color w:val="000000"/>
              </w:rPr>
              <w:t>5</w:t>
            </w:r>
          </w:p>
        </w:tc>
        <w:tc>
          <w:tcPr>
            <w:tcW w:w="1711"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1564"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1528"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940"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r>
      <w:tr>
        <w:tblPrEx>
          <w:tblCellMar>
            <w:top w:w="0" w:type="dxa"/>
            <w:left w:w="108" w:type="dxa"/>
            <w:bottom w:w="0" w:type="dxa"/>
            <w:right w:w="108" w:type="dxa"/>
          </w:tblCellMar>
        </w:tblPrEx>
        <w:trPr>
          <w:trHeight w:val="490" w:hRule="atLeast"/>
        </w:trPr>
        <w:tc>
          <w:tcPr>
            <w:tcW w:w="2127" w:type="dxa"/>
            <w:tcBorders>
              <w:top w:val="nil"/>
              <w:left w:val="single" w:color="000000" w:sz="4" w:space="0"/>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 xml:space="preserve">  *事业收入</w:t>
            </w:r>
          </w:p>
        </w:tc>
        <w:tc>
          <w:tcPr>
            <w:tcW w:w="587" w:type="dxa"/>
            <w:tcBorders>
              <w:top w:val="nil"/>
              <w:left w:val="nil"/>
              <w:bottom w:val="single" w:color="000000" w:sz="8" w:space="0"/>
              <w:right w:val="single" w:color="000000" w:sz="4" w:space="0"/>
            </w:tcBorders>
            <w:noWrap/>
            <w:vAlign w:val="center"/>
          </w:tcPr>
          <w:p>
            <w:pPr>
              <w:keepNext w:val="0"/>
              <w:keepLines w:val="0"/>
              <w:suppressLineNumbers w:val="0"/>
              <w:adjustRightInd w:val="0"/>
              <w:snapToGrid w:val="0"/>
              <w:spacing w:before="0" w:beforeAutospacing="0" w:after="200" w:afterAutospacing="0"/>
              <w:ind w:left="0" w:right="0"/>
              <w:jc w:val="center"/>
              <w:rPr>
                <w:rFonts w:hint="default" w:ascii="Tahoma" w:hAnsi="Tahoma" w:eastAsia="微软雅黑" w:cs="Arial"/>
                <w:color w:val="000000"/>
              </w:rPr>
            </w:pPr>
            <w:r>
              <w:rPr>
                <w:rFonts w:hint="default" w:ascii="Tahoma" w:hAnsi="Tahoma" w:eastAsia="微软雅黑" w:cs="Arial"/>
                <w:color w:val="000000"/>
              </w:rPr>
              <w:t>6</w:t>
            </w:r>
          </w:p>
        </w:tc>
        <w:tc>
          <w:tcPr>
            <w:tcW w:w="1711"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1564"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1528"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940"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r>
      <w:tr>
        <w:tblPrEx>
          <w:tblCellMar>
            <w:top w:w="0" w:type="dxa"/>
            <w:left w:w="108" w:type="dxa"/>
            <w:bottom w:w="0" w:type="dxa"/>
            <w:right w:w="108" w:type="dxa"/>
          </w:tblCellMar>
        </w:tblPrEx>
        <w:trPr>
          <w:trHeight w:val="490" w:hRule="atLeast"/>
        </w:trPr>
        <w:tc>
          <w:tcPr>
            <w:tcW w:w="2127" w:type="dxa"/>
            <w:tcBorders>
              <w:top w:val="nil"/>
              <w:left w:val="single" w:color="000000" w:sz="4" w:space="0"/>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事业单位经营收入</w:t>
            </w:r>
          </w:p>
        </w:tc>
        <w:tc>
          <w:tcPr>
            <w:tcW w:w="587" w:type="dxa"/>
            <w:tcBorders>
              <w:top w:val="nil"/>
              <w:left w:val="nil"/>
              <w:bottom w:val="single" w:color="000000" w:sz="8" w:space="0"/>
              <w:right w:val="single" w:color="000000" w:sz="4" w:space="0"/>
            </w:tcBorders>
            <w:noWrap/>
            <w:vAlign w:val="center"/>
          </w:tcPr>
          <w:p>
            <w:pPr>
              <w:keepNext w:val="0"/>
              <w:keepLines w:val="0"/>
              <w:suppressLineNumbers w:val="0"/>
              <w:adjustRightInd w:val="0"/>
              <w:snapToGrid w:val="0"/>
              <w:spacing w:before="0" w:beforeAutospacing="0" w:after="200" w:afterAutospacing="0"/>
              <w:ind w:left="0" w:right="0"/>
              <w:jc w:val="center"/>
              <w:rPr>
                <w:rFonts w:hint="default" w:ascii="Tahoma" w:hAnsi="Tahoma" w:eastAsia="微软雅黑" w:cs="Arial"/>
                <w:color w:val="000000"/>
              </w:rPr>
            </w:pPr>
            <w:r>
              <w:rPr>
                <w:rFonts w:hint="default" w:ascii="Tahoma" w:hAnsi="Tahoma" w:eastAsia="微软雅黑" w:cs="Arial"/>
                <w:color w:val="000000"/>
              </w:rPr>
              <w:t>7</w:t>
            </w:r>
          </w:p>
        </w:tc>
        <w:tc>
          <w:tcPr>
            <w:tcW w:w="1711"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1564"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1528"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940"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r>
      <w:tr>
        <w:tblPrEx>
          <w:tblCellMar>
            <w:top w:w="0" w:type="dxa"/>
            <w:left w:w="108" w:type="dxa"/>
            <w:bottom w:w="0" w:type="dxa"/>
            <w:right w:w="108" w:type="dxa"/>
          </w:tblCellMar>
        </w:tblPrEx>
        <w:trPr>
          <w:trHeight w:val="490" w:hRule="atLeast"/>
        </w:trPr>
        <w:tc>
          <w:tcPr>
            <w:tcW w:w="2127" w:type="dxa"/>
            <w:tcBorders>
              <w:top w:val="nil"/>
              <w:left w:val="single" w:color="000000" w:sz="4" w:space="0"/>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*其他收入</w:t>
            </w:r>
          </w:p>
        </w:tc>
        <w:tc>
          <w:tcPr>
            <w:tcW w:w="587" w:type="dxa"/>
            <w:tcBorders>
              <w:top w:val="nil"/>
              <w:left w:val="nil"/>
              <w:bottom w:val="single" w:color="000000" w:sz="8" w:space="0"/>
              <w:right w:val="single" w:color="000000" w:sz="4" w:space="0"/>
            </w:tcBorders>
            <w:noWrap/>
            <w:vAlign w:val="center"/>
          </w:tcPr>
          <w:p>
            <w:pPr>
              <w:keepNext w:val="0"/>
              <w:keepLines w:val="0"/>
              <w:suppressLineNumbers w:val="0"/>
              <w:adjustRightInd w:val="0"/>
              <w:snapToGrid w:val="0"/>
              <w:spacing w:before="0" w:beforeAutospacing="0" w:after="200" w:afterAutospacing="0"/>
              <w:ind w:left="0" w:right="0"/>
              <w:jc w:val="center"/>
              <w:rPr>
                <w:rFonts w:hint="default" w:ascii="Tahoma" w:hAnsi="Tahoma" w:eastAsia="微软雅黑" w:cs="Arial"/>
                <w:color w:val="000000"/>
              </w:rPr>
            </w:pPr>
            <w:r>
              <w:rPr>
                <w:rFonts w:hint="default" w:ascii="Tahoma" w:hAnsi="Tahoma" w:eastAsia="微软雅黑" w:cs="Arial"/>
                <w:color w:val="000000"/>
              </w:rPr>
              <w:t>8</w:t>
            </w:r>
          </w:p>
        </w:tc>
        <w:tc>
          <w:tcPr>
            <w:tcW w:w="1711"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1564"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1528"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940"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r>
      <w:tr>
        <w:tblPrEx>
          <w:tblCellMar>
            <w:top w:w="0" w:type="dxa"/>
            <w:left w:w="108" w:type="dxa"/>
            <w:bottom w:w="0" w:type="dxa"/>
            <w:right w:w="108" w:type="dxa"/>
          </w:tblCellMar>
        </w:tblPrEx>
        <w:trPr>
          <w:trHeight w:val="490" w:hRule="atLeast"/>
        </w:trPr>
        <w:tc>
          <w:tcPr>
            <w:tcW w:w="2127" w:type="dxa"/>
            <w:tcBorders>
              <w:top w:val="nil"/>
              <w:left w:val="single" w:color="000000" w:sz="4" w:space="0"/>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 xml:space="preserve">    2.本年支出</w:t>
            </w:r>
          </w:p>
        </w:tc>
        <w:tc>
          <w:tcPr>
            <w:tcW w:w="587" w:type="dxa"/>
            <w:tcBorders>
              <w:top w:val="nil"/>
              <w:left w:val="nil"/>
              <w:bottom w:val="single" w:color="000000" w:sz="8" w:space="0"/>
              <w:right w:val="single" w:color="000000" w:sz="4" w:space="0"/>
            </w:tcBorders>
            <w:noWrap/>
            <w:vAlign w:val="center"/>
          </w:tcPr>
          <w:p>
            <w:pPr>
              <w:keepNext w:val="0"/>
              <w:keepLines w:val="0"/>
              <w:suppressLineNumbers w:val="0"/>
              <w:adjustRightInd w:val="0"/>
              <w:snapToGrid w:val="0"/>
              <w:spacing w:before="0" w:beforeAutospacing="0" w:after="200" w:afterAutospacing="0"/>
              <w:ind w:left="0" w:right="0"/>
              <w:jc w:val="center"/>
              <w:rPr>
                <w:rFonts w:hint="default" w:ascii="Tahoma" w:hAnsi="Tahoma" w:eastAsia="微软雅黑" w:cs="Arial"/>
                <w:color w:val="000000"/>
              </w:rPr>
            </w:pPr>
            <w:r>
              <w:rPr>
                <w:rFonts w:hint="default" w:ascii="Tahoma" w:hAnsi="Tahoma" w:eastAsia="微软雅黑" w:cs="Arial"/>
                <w:color w:val="000000"/>
              </w:rPr>
              <w:t>9</w:t>
            </w:r>
          </w:p>
        </w:tc>
        <w:tc>
          <w:tcPr>
            <w:tcW w:w="1711"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544554846.6</w:t>
            </w:r>
          </w:p>
        </w:tc>
        <w:tc>
          <w:tcPr>
            <w:tcW w:w="1564"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331466111.03</w:t>
            </w:r>
          </w:p>
        </w:tc>
        <w:tc>
          <w:tcPr>
            <w:tcW w:w="1528"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213088735.57</w:t>
            </w:r>
          </w:p>
        </w:tc>
        <w:tc>
          <w:tcPr>
            <w:tcW w:w="940"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64.29</w:t>
            </w:r>
          </w:p>
        </w:tc>
      </w:tr>
      <w:tr>
        <w:tblPrEx>
          <w:tblCellMar>
            <w:top w:w="0" w:type="dxa"/>
            <w:left w:w="108" w:type="dxa"/>
            <w:bottom w:w="0" w:type="dxa"/>
            <w:right w:w="108" w:type="dxa"/>
          </w:tblCellMar>
        </w:tblPrEx>
        <w:trPr>
          <w:trHeight w:val="490" w:hRule="atLeast"/>
        </w:trPr>
        <w:tc>
          <w:tcPr>
            <w:tcW w:w="2127" w:type="dxa"/>
            <w:tcBorders>
              <w:top w:val="nil"/>
              <w:left w:val="single" w:color="000000" w:sz="4" w:space="0"/>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其中：基本支出</w:t>
            </w:r>
          </w:p>
        </w:tc>
        <w:tc>
          <w:tcPr>
            <w:tcW w:w="587" w:type="dxa"/>
            <w:tcBorders>
              <w:top w:val="nil"/>
              <w:left w:val="nil"/>
              <w:bottom w:val="single" w:color="000000" w:sz="8" w:space="0"/>
              <w:right w:val="single" w:color="000000" w:sz="4" w:space="0"/>
            </w:tcBorders>
            <w:noWrap/>
            <w:vAlign w:val="center"/>
          </w:tcPr>
          <w:p>
            <w:pPr>
              <w:keepNext w:val="0"/>
              <w:keepLines w:val="0"/>
              <w:suppressLineNumbers w:val="0"/>
              <w:adjustRightInd w:val="0"/>
              <w:snapToGrid w:val="0"/>
              <w:spacing w:before="0" w:beforeAutospacing="0" w:after="200" w:afterAutospacing="0"/>
              <w:ind w:left="0" w:right="0"/>
              <w:jc w:val="center"/>
              <w:rPr>
                <w:rFonts w:hint="default" w:ascii="Tahoma" w:hAnsi="Tahoma" w:eastAsia="微软雅黑" w:cs="Arial"/>
                <w:color w:val="000000"/>
              </w:rPr>
            </w:pPr>
            <w:r>
              <w:rPr>
                <w:rFonts w:hint="default" w:ascii="Tahoma" w:hAnsi="Tahoma" w:eastAsia="微软雅黑" w:cs="Arial"/>
                <w:color w:val="000000"/>
              </w:rPr>
              <w:t>10</w:t>
            </w:r>
          </w:p>
        </w:tc>
        <w:tc>
          <w:tcPr>
            <w:tcW w:w="1711"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15690462.31</w:t>
            </w:r>
          </w:p>
        </w:tc>
        <w:tc>
          <w:tcPr>
            <w:tcW w:w="1564"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15561342.39</w:t>
            </w:r>
          </w:p>
        </w:tc>
        <w:tc>
          <w:tcPr>
            <w:tcW w:w="1528"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129119.92</w:t>
            </w:r>
          </w:p>
        </w:tc>
        <w:tc>
          <w:tcPr>
            <w:tcW w:w="940"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0.83</w:t>
            </w:r>
          </w:p>
        </w:tc>
      </w:tr>
      <w:tr>
        <w:tblPrEx>
          <w:tblCellMar>
            <w:top w:w="0" w:type="dxa"/>
            <w:left w:w="108" w:type="dxa"/>
            <w:bottom w:w="0" w:type="dxa"/>
            <w:right w:w="108" w:type="dxa"/>
          </w:tblCellMar>
        </w:tblPrEx>
        <w:trPr>
          <w:trHeight w:val="490" w:hRule="atLeast"/>
        </w:trPr>
        <w:tc>
          <w:tcPr>
            <w:tcW w:w="2127" w:type="dxa"/>
            <w:tcBorders>
              <w:top w:val="nil"/>
              <w:left w:val="single" w:color="000000" w:sz="4" w:space="0"/>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（1）人员经费</w:t>
            </w:r>
          </w:p>
        </w:tc>
        <w:tc>
          <w:tcPr>
            <w:tcW w:w="587" w:type="dxa"/>
            <w:tcBorders>
              <w:top w:val="nil"/>
              <w:left w:val="nil"/>
              <w:bottom w:val="single" w:color="000000" w:sz="8" w:space="0"/>
              <w:right w:val="single" w:color="000000" w:sz="4" w:space="0"/>
            </w:tcBorders>
            <w:noWrap/>
            <w:vAlign w:val="center"/>
          </w:tcPr>
          <w:p>
            <w:pPr>
              <w:keepNext w:val="0"/>
              <w:keepLines w:val="0"/>
              <w:suppressLineNumbers w:val="0"/>
              <w:adjustRightInd w:val="0"/>
              <w:snapToGrid w:val="0"/>
              <w:spacing w:before="0" w:beforeAutospacing="0" w:after="200" w:afterAutospacing="0"/>
              <w:ind w:left="0" w:right="0"/>
              <w:jc w:val="center"/>
              <w:rPr>
                <w:rFonts w:hint="default" w:ascii="Tahoma" w:hAnsi="Tahoma" w:eastAsia="微软雅黑" w:cs="Arial"/>
                <w:color w:val="000000"/>
              </w:rPr>
            </w:pPr>
            <w:r>
              <w:rPr>
                <w:rFonts w:hint="default" w:ascii="Tahoma" w:hAnsi="Tahoma" w:eastAsia="微软雅黑" w:cs="Arial"/>
                <w:color w:val="000000"/>
              </w:rPr>
              <w:t>11</w:t>
            </w:r>
          </w:p>
        </w:tc>
        <w:tc>
          <w:tcPr>
            <w:tcW w:w="1711"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12692572.06</w:t>
            </w:r>
          </w:p>
        </w:tc>
        <w:tc>
          <w:tcPr>
            <w:tcW w:w="1564"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11975100</w:t>
            </w:r>
          </w:p>
        </w:tc>
        <w:tc>
          <w:tcPr>
            <w:tcW w:w="1528"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717472.06</w:t>
            </w:r>
          </w:p>
        </w:tc>
        <w:tc>
          <w:tcPr>
            <w:tcW w:w="940"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5.99</w:t>
            </w:r>
          </w:p>
        </w:tc>
      </w:tr>
      <w:tr>
        <w:tblPrEx>
          <w:tblCellMar>
            <w:top w:w="0" w:type="dxa"/>
            <w:left w:w="108" w:type="dxa"/>
            <w:bottom w:w="0" w:type="dxa"/>
            <w:right w:w="108" w:type="dxa"/>
          </w:tblCellMar>
        </w:tblPrEx>
        <w:trPr>
          <w:trHeight w:val="490" w:hRule="atLeast"/>
        </w:trPr>
        <w:tc>
          <w:tcPr>
            <w:tcW w:w="2127" w:type="dxa"/>
            <w:tcBorders>
              <w:top w:val="nil"/>
              <w:left w:val="single" w:color="000000" w:sz="4" w:space="0"/>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（2）日常公用经费</w:t>
            </w:r>
          </w:p>
        </w:tc>
        <w:tc>
          <w:tcPr>
            <w:tcW w:w="587" w:type="dxa"/>
            <w:tcBorders>
              <w:top w:val="nil"/>
              <w:left w:val="nil"/>
              <w:bottom w:val="single" w:color="000000" w:sz="8" w:space="0"/>
              <w:right w:val="single" w:color="000000" w:sz="4" w:space="0"/>
            </w:tcBorders>
            <w:noWrap/>
            <w:vAlign w:val="center"/>
          </w:tcPr>
          <w:p>
            <w:pPr>
              <w:keepNext w:val="0"/>
              <w:keepLines w:val="0"/>
              <w:suppressLineNumbers w:val="0"/>
              <w:adjustRightInd w:val="0"/>
              <w:snapToGrid w:val="0"/>
              <w:spacing w:before="0" w:beforeAutospacing="0" w:after="200" w:afterAutospacing="0"/>
              <w:ind w:left="0" w:right="0"/>
              <w:jc w:val="center"/>
              <w:rPr>
                <w:rFonts w:hint="default" w:ascii="Tahoma" w:hAnsi="Tahoma" w:eastAsia="微软雅黑" w:cs="Arial"/>
                <w:color w:val="000000"/>
              </w:rPr>
            </w:pPr>
            <w:r>
              <w:rPr>
                <w:rFonts w:hint="default" w:ascii="Tahoma" w:hAnsi="Tahoma" w:eastAsia="微软雅黑" w:cs="Arial"/>
                <w:color w:val="000000"/>
              </w:rPr>
              <w:t>12</w:t>
            </w:r>
          </w:p>
        </w:tc>
        <w:tc>
          <w:tcPr>
            <w:tcW w:w="1711"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2997890.25</w:t>
            </w:r>
          </w:p>
        </w:tc>
        <w:tc>
          <w:tcPr>
            <w:tcW w:w="1564"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3586242.39</w:t>
            </w:r>
          </w:p>
        </w:tc>
        <w:tc>
          <w:tcPr>
            <w:tcW w:w="1528"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-588352.14</w:t>
            </w:r>
          </w:p>
        </w:tc>
        <w:tc>
          <w:tcPr>
            <w:tcW w:w="940"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-16.41</w:t>
            </w:r>
          </w:p>
        </w:tc>
      </w:tr>
      <w:tr>
        <w:tblPrEx>
          <w:tblCellMar>
            <w:top w:w="0" w:type="dxa"/>
            <w:left w:w="108" w:type="dxa"/>
            <w:bottom w:w="0" w:type="dxa"/>
            <w:right w:w="108" w:type="dxa"/>
          </w:tblCellMar>
        </w:tblPrEx>
        <w:trPr>
          <w:trHeight w:val="490" w:hRule="atLeast"/>
        </w:trPr>
        <w:tc>
          <w:tcPr>
            <w:tcW w:w="2127" w:type="dxa"/>
            <w:tcBorders>
              <w:top w:val="nil"/>
              <w:left w:val="single" w:color="000000" w:sz="4" w:space="0"/>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项目支出</w:t>
            </w:r>
          </w:p>
        </w:tc>
        <w:tc>
          <w:tcPr>
            <w:tcW w:w="587" w:type="dxa"/>
            <w:tcBorders>
              <w:top w:val="nil"/>
              <w:left w:val="nil"/>
              <w:bottom w:val="single" w:color="000000" w:sz="8" w:space="0"/>
              <w:right w:val="single" w:color="000000" w:sz="4" w:space="0"/>
            </w:tcBorders>
            <w:noWrap/>
            <w:vAlign w:val="center"/>
          </w:tcPr>
          <w:p>
            <w:pPr>
              <w:keepNext w:val="0"/>
              <w:keepLines w:val="0"/>
              <w:suppressLineNumbers w:val="0"/>
              <w:adjustRightInd w:val="0"/>
              <w:snapToGrid w:val="0"/>
              <w:spacing w:before="0" w:beforeAutospacing="0" w:after="200" w:afterAutospacing="0"/>
              <w:ind w:left="0" w:right="0"/>
              <w:jc w:val="center"/>
              <w:rPr>
                <w:rFonts w:hint="default" w:ascii="Tahoma" w:hAnsi="Tahoma" w:eastAsia="微软雅黑" w:cs="Arial"/>
                <w:color w:val="000000"/>
              </w:rPr>
            </w:pPr>
            <w:r>
              <w:rPr>
                <w:rFonts w:hint="default" w:ascii="Tahoma" w:hAnsi="Tahoma" w:eastAsia="微软雅黑" w:cs="Arial"/>
                <w:color w:val="000000"/>
              </w:rPr>
              <w:t>13</w:t>
            </w:r>
          </w:p>
        </w:tc>
        <w:tc>
          <w:tcPr>
            <w:tcW w:w="1711"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528864384.29</w:t>
            </w:r>
          </w:p>
        </w:tc>
        <w:tc>
          <w:tcPr>
            <w:tcW w:w="1564"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315904768.64</w:t>
            </w:r>
          </w:p>
        </w:tc>
        <w:tc>
          <w:tcPr>
            <w:tcW w:w="1528"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212959615.65</w:t>
            </w:r>
          </w:p>
        </w:tc>
        <w:tc>
          <w:tcPr>
            <w:tcW w:w="940"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67.41</w:t>
            </w:r>
          </w:p>
        </w:tc>
      </w:tr>
      <w:tr>
        <w:tblPrEx>
          <w:tblCellMar>
            <w:top w:w="0" w:type="dxa"/>
            <w:left w:w="108" w:type="dxa"/>
            <w:bottom w:w="0" w:type="dxa"/>
            <w:right w:w="108" w:type="dxa"/>
          </w:tblCellMar>
        </w:tblPrEx>
        <w:trPr>
          <w:trHeight w:val="490" w:hRule="atLeast"/>
        </w:trPr>
        <w:tc>
          <w:tcPr>
            <w:tcW w:w="2127" w:type="dxa"/>
            <w:tcBorders>
              <w:top w:val="nil"/>
              <w:left w:val="single" w:color="000000" w:sz="4" w:space="0"/>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其中：基本建设类项目</w:t>
            </w:r>
          </w:p>
        </w:tc>
        <w:tc>
          <w:tcPr>
            <w:tcW w:w="587" w:type="dxa"/>
            <w:tcBorders>
              <w:top w:val="nil"/>
              <w:left w:val="nil"/>
              <w:bottom w:val="single" w:color="000000" w:sz="8" w:space="0"/>
              <w:right w:val="single" w:color="000000" w:sz="4" w:space="0"/>
            </w:tcBorders>
            <w:noWrap/>
            <w:vAlign w:val="center"/>
          </w:tcPr>
          <w:p>
            <w:pPr>
              <w:keepNext w:val="0"/>
              <w:keepLines w:val="0"/>
              <w:suppressLineNumbers w:val="0"/>
              <w:adjustRightInd w:val="0"/>
              <w:snapToGrid w:val="0"/>
              <w:spacing w:before="0" w:beforeAutospacing="0" w:after="200" w:afterAutospacing="0"/>
              <w:ind w:left="0" w:right="0"/>
              <w:jc w:val="center"/>
              <w:rPr>
                <w:rFonts w:hint="default" w:ascii="Tahoma" w:hAnsi="Tahoma" w:eastAsia="微软雅黑" w:cs="Arial"/>
                <w:color w:val="000000"/>
              </w:rPr>
            </w:pPr>
            <w:r>
              <w:rPr>
                <w:rFonts w:hint="default" w:ascii="Tahoma" w:hAnsi="Tahoma" w:eastAsia="微软雅黑" w:cs="Arial"/>
                <w:color w:val="000000"/>
              </w:rPr>
              <w:t>14</w:t>
            </w:r>
          </w:p>
        </w:tc>
        <w:tc>
          <w:tcPr>
            <w:tcW w:w="1711"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60844973.29</w:t>
            </w:r>
          </w:p>
        </w:tc>
        <w:tc>
          <w:tcPr>
            <w:tcW w:w="1564"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eastAsia"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1528"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60844973.29</w:t>
            </w:r>
          </w:p>
        </w:tc>
        <w:tc>
          <w:tcPr>
            <w:tcW w:w="940"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100</w:t>
            </w:r>
          </w:p>
        </w:tc>
      </w:tr>
      <w:tr>
        <w:tblPrEx>
          <w:tblCellMar>
            <w:top w:w="0" w:type="dxa"/>
            <w:left w:w="108" w:type="dxa"/>
            <w:bottom w:w="0" w:type="dxa"/>
            <w:right w:w="108" w:type="dxa"/>
          </w:tblCellMar>
        </w:tblPrEx>
        <w:trPr>
          <w:trHeight w:val="511" w:hRule="atLeast"/>
        </w:trPr>
        <w:tc>
          <w:tcPr>
            <w:tcW w:w="2127" w:type="dxa"/>
            <w:tcBorders>
              <w:top w:val="nil"/>
              <w:left w:val="single" w:color="000000" w:sz="4" w:space="0"/>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事业单位经营支出</w:t>
            </w:r>
          </w:p>
        </w:tc>
        <w:tc>
          <w:tcPr>
            <w:tcW w:w="587" w:type="dxa"/>
            <w:tcBorders>
              <w:top w:val="nil"/>
              <w:left w:val="nil"/>
              <w:bottom w:val="single" w:color="000000" w:sz="8" w:space="0"/>
              <w:right w:val="single" w:color="000000" w:sz="4" w:space="0"/>
            </w:tcBorders>
            <w:noWrap/>
            <w:vAlign w:val="center"/>
          </w:tcPr>
          <w:p>
            <w:pPr>
              <w:keepNext w:val="0"/>
              <w:keepLines w:val="0"/>
              <w:suppressLineNumbers w:val="0"/>
              <w:adjustRightInd w:val="0"/>
              <w:snapToGrid w:val="0"/>
              <w:spacing w:before="0" w:beforeAutospacing="0" w:after="200" w:afterAutospacing="0"/>
              <w:ind w:left="0" w:right="0"/>
              <w:jc w:val="center"/>
              <w:rPr>
                <w:rFonts w:hint="default" w:ascii="Tahoma" w:hAnsi="Tahoma" w:eastAsia="微软雅黑" w:cs="Arial"/>
                <w:color w:val="000000"/>
              </w:rPr>
            </w:pPr>
            <w:r>
              <w:rPr>
                <w:rFonts w:hint="default" w:ascii="Tahoma" w:hAnsi="Tahoma" w:eastAsia="微软雅黑" w:cs="Arial"/>
                <w:color w:val="000000"/>
              </w:rPr>
              <w:t>15</w:t>
            </w:r>
          </w:p>
        </w:tc>
        <w:tc>
          <w:tcPr>
            <w:tcW w:w="1711"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eastAsia" w:ascii="宋体" w:hAnsi="宋体" w:eastAsia="宋体" w:cs="宋体"/>
                <w:color w:val="000000"/>
                <w:sz w:val="20"/>
                <w:szCs w:val="20"/>
              </w:rPr>
            </w:pPr>
            <w:r>
              <w:rPr>
                <w:rFonts w:hint="eastAsia" w:ascii="宋体" w:hAnsi="宋体" w:eastAsia="宋体" w:cs="宋体"/>
                <w:color w:val="000000"/>
                <w:sz w:val="20"/>
                <w:szCs w:val="20"/>
              </w:rPr>
              <w:t>0</w:t>
            </w:r>
          </w:p>
        </w:tc>
        <w:tc>
          <w:tcPr>
            <w:tcW w:w="1564"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1528"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940"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eastAsia" w:ascii="宋体" w:hAnsi="宋体" w:eastAsia="宋体" w:cs="宋体"/>
                <w:color w:val="000000"/>
                <w:sz w:val="20"/>
                <w:szCs w:val="20"/>
              </w:rPr>
            </w:pPr>
            <w:r>
              <w:rPr>
                <w:rFonts w:hint="eastAsia" w:ascii="宋体" w:hAnsi="宋体" w:eastAsia="宋体" w:cs="宋体"/>
                <w:color w:val="000000"/>
                <w:sz w:val="20"/>
                <w:szCs w:val="20"/>
              </w:rPr>
              <w:t>0</w:t>
            </w:r>
          </w:p>
        </w:tc>
      </w:tr>
    </w:tbl>
    <w:p>
      <w:pPr>
        <w:snapToGrid w:val="0"/>
        <w:spacing w:line="520" w:lineRule="exact"/>
        <w:ind w:firstLine="643" w:firstLineChars="200"/>
        <w:rPr>
          <w:rFonts w:hint="eastAsia" w:ascii="仿宋_GB2312" w:hAnsi="仿宋" w:eastAsia="仿宋_GB2312" w:cs="Times New Roman"/>
          <w:b/>
          <w:sz w:val="32"/>
          <w:szCs w:val="32"/>
        </w:rPr>
      </w:pPr>
      <w:r>
        <w:rPr>
          <w:rFonts w:hint="eastAsia" w:ascii="仿宋_GB2312" w:hAnsi="仿宋" w:eastAsia="仿宋_GB2312" w:cs="Times New Roman"/>
          <w:b/>
          <w:sz w:val="32"/>
          <w:szCs w:val="32"/>
        </w:rPr>
        <w:t>2．支出按经济分类科目分析。</w:t>
      </w:r>
    </w:p>
    <w:p>
      <w:pPr>
        <w:snapToGrid w:val="0"/>
        <w:spacing w:line="520" w:lineRule="exact"/>
        <w:ind w:firstLine="640" w:firstLineChars="200"/>
        <w:rPr>
          <w:rFonts w:hint="eastAsia" w:ascii="仿宋_GB2312" w:hAnsi="仿宋" w:eastAsia="仿宋_GB2312" w:cs="Times New Roman"/>
          <w:sz w:val="32"/>
          <w:szCs w:val="32"/>
        </w:rPr>
      </w:pPr>
      <w:r>
        <w:rPr>
          <w:rFonts w:hint="eastAsia" w:ascii="仿宋_GB2312" w:hAnsi="仿宋" w:eastAsia="仿宋_GB2312" w:cs="Times New Roman"/>
          <w:sz w:val="32"/>
          <w:szCs w:val="32"/>
        </w:rPr>
        <w:t>（1）“三公”经费支出情况。</w:t>
      </w:r>
    </w:p>
    <w:tbl>
      <w:tblPr>
        <w:tblStyle w:val="12"/>
        <w:tblW w:w="8397" w:type="dxa"/>
        <w:tblInd w:w="93" w:type="dxa"/>
        <w:tblLayout w:type="fixed"/>
        <w:tblCellMar>
          <w:top w:w="0" w:type="dxa"/>
          <w:left w:w="108" w:type="dxa"/>
          <w:bottom w:w="0" w:type="dxa"/>
          <w:right w:w="108" w:type="dxa"/>
        </w:tblCellMar>
      </w:tblPr>
      <w:tblGrid>
        <w:gridCol w:w="2187"/>
        <w:gridCol w:w="766"/>
        <w:gridCol w:w="1440"/>
        <w:gridCol w:w="1554"/>
        <w:gridCol w:w="1517"/>
        <w:gridCol w:w="933"/>
      </w:tblGrid>
      <w:tr>
        <w:tblPrEx>
          <w:tblCellMar>
            <w:top w:w="0" w:type="dxa"/>
            <w:left w:w="108" w:type="dxa"/>
            <w:bottom w:w="0" w:type="dxa"/>
            <w:right w:w="108" w:type="dxa"/>
          </w:tblCellMar>
        </w:tblPrEx>
        <w:trPr>
          <w:trHeight w:val="358" w:hRule="atLeast"/>
        </w:trPr>
        <w:tc>
          <w:tcPr>
            <w:tcW w:w="2187" w:type="dxa"/>
            <w:vMerge w:val="restart"/>
            <w:tcBorders>
              <w:top w:val="single" w:color="000000" w:sz="4" w:space="0"/>
              <w:left w:val="single" w:color="000000" w:sz="4" w:space="0"/>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eastAsia" w:ascii="宋体" w:hAnsi="宋体" w:eastAsia="宋体" w:cs="Arial"/>
                <w:color w:val="000000"/>
              </w:rPr>
              <w:t>指</w:t>
            </w:r>
            <w:r>
              <w:rPr>
                <w:rFonts w:hint="default" w:ascii="宋体" w:hAnsi="宋体" w:eastAsia="宋体" w:cs="Arial"/>
                <w:color w:val="000000"/>
              </w:rPr>
              <w:t xml:space="preserve">    </w:t>
            </w:r>
            <w:r>
              <w:rPr>
                <w:rFonts w:hint="eastAsia" w:ascii="宋体" w:hAnsi="宋体" w:eastAsia="宋体" w:cs="Arial"/>
                <w:color w:val="000000"/>
              </w:rPr>
              <w:t>标</w:t>
            </w:r>
          </w:p>
        </w:tc>
        <w:tc>
          <w:tcPr>
            <w:tcW w:w="766" w:type="dxa"/>
            <w:vMerge w:val="restart"/>
            <w:tcBorders>
              <w:top w:val="single" w:color="000000" w:sz="4" w:space="0"/>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eastAsia" w:ascii="宋体" w:hAnsi="宋体" w:eastAsia="宋体" w:cs="Arial"/>
                <w:color w:val="000000"/>
              </w:rPr>
              <w:t>行次</w:t>
            </w:r>
          </w:p>
        </w:tc>
        <w:tc>
          <w:tcPr>
            <w:tcW w:w="1440" w:type="dxa"/>
            <w:vMerge w:val="restart"/>
            <w:tcBorders>
              <w:top w:val="single" w:color="000000" w:sz="4" w:space="0"/>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eastAsia" w:ascii="宋体" w:hAnsi="宋体" w:eastAsia="宋体" w:cs="Arial"/>
                <w:color w:val="000000"/>
              </w:rPr>
              <w:t>本年度</w:t>
            </w:r>
          </w:p>
        </w:tc>
        <w:tc>
          <w:tcPr>
            <w:tcW w:w="1554" w:type="dxa"/>
            <w:vMerge w:val="restart"/>
            <w:tcBorders>
              <w:top w:val="single" w:color="000000" w:sz="4" w:space="0"/>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eastAsia" w:ascii="宋体" w:hAnsi="宋体" w:eastAsia="宋体" w:cs="Arial"/>
                <w:color w:val="000000"/>
              </w:rPr>
              <w:t>上年度</w:t>
            </w:r>
          </w:p>
        </w:tc>
        <w:tc>
          <w:tcPr>
            <w:tcW w:w="1517" w:type="dxa"/>
            <w:vMerge w:val="restart"/>
            <w:tcBorders>
              <w:top w:val="single" w:color="000000" w:sz="4" w:space="0"/>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eastAsia" w:ascii="宋体" w:hAnsi="宋体" w:eastAsia="宋体" w:cs="Arial"/>
                <w:color w:val="000000"/>
              </w:rPr>
              <w:t>比上年增减</w:t>
            </w:r>
          </w:p>
        </w:tc>
        <w:tc>
          <w:tcPr>
            <w:tcW w:w="933" w:type="dxa"/>
            <w:vMerge w:val="restart"/>
            <w:tcBorders>
              <w:top w:val="single" w:color="000000" w:sz="4" w:space="0"/>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eastAsia" w:ascii="宋体" w:hAnsi="宋体" w:eastAsia="宋体" w:cs="Arial"/>
                <w:color w:val="000000"/>
              </w:rPr>
              <w:t>增减％</w:t>
            </w:r>
          </w:p>
        </w:tc>
      </w:tr>
      <w:tr>
        <w:tblPrEx>
          <w:tblCellMar>
            <w:top w:w="0" w:type="dxa"/>
            <w:left w:w="108" w:type="dxa"/>
            <w:bottom w:w="0" w:type="dxa"/>
            <w:right w:w="108" w:type="dxa"/>
          </w:tblCellMar>
        </w:tblPrEx>
        <w:trPr>
          <w:trHeight w:val="358" w:hRule="atLeast"/>
        </w:trPr>
        <w:tc>
          <w:tcPr>
            <w:tcW w:w="2187" w:type="dxa"/>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suppressLineNumbers w:val="0"/>
              <w:spacing w:before="0" w:beforeAutospacing="0" w:after="0" w:afterAutospacing="0"/>
              <w:ind w:left="0" w:right="0"/>
              <w:rPr>
                <w:rFonts w:hint="default" w:ascii="宋体" w:hAnsi="Times New Roman" w:eastAsia="宋体" w:cs="Arial"/>
                <w:color w:val="000000"/>
              </w:rPr>
            </w:pPr>
          </w:p>
        </w:tc>
        <w:tc>
          <w:tcPr>
            <w:tcW w:w="766" w:type="dxa"/>
            <w:vMerge w:val="continue"/>
            <w:tcBorders>
              <w:top w:val="single" w:color="000000" w:sz="4" w:space="0"/>
              <w:left w:val="nil"/>
              <w:bottom w:val="single" w:color="000000" w:sz="4" w:space="0"/>
              <w:right w:val="single" w:color="000000" w:sz="4" w:space="0"/>
            </w:tcBorders>
            <w:noWrap w:val="0"/>
            <w:vAlign w:val="center"/>
          </w:tcPr>
          <w:p>
            <w:pPr>
              <w:keepNext w:val="0"/>
              <w:keepLines w:val="0"/>
              <w:suppressLineNumbers w:val="0"/>
              <w:spacing w:before="0" w:beforeAutospacing="0" w:after="0" w:afterAutospacing="0"/>
              <w:ind w:left="0" w:right="0"/>
              <w:rPr>
                <w:rFonts w:hint="default" w:ascii="宋体" w:hAnsi="Times New Roman" w:eastAsia="宋体" w:cs="Arial"/>
                <w:color w:val="000000"/>
              </w:rPr>
            </w:pPr>
          </w:p>
        </w:tc>
        <w:tc>
          <w:tcPr>
            <w:tcW w:w="1440" w:type="dxa"/>
            <w:vMerge w:val="continue"/>
            <w:tcBorders>
              <w:top w:val="single" w:color="000000" w:sz="4" w:space="0"/>
              <w:left w:val="nil"/>
              <w:bottom w:val="single" w:color="000000" w:sz="4" w:space="0"/>
              <w:right w:val="single" w:color="000000" w:sz="4" w:space="0"/>
            </w:tcBorders>
            <w:noWrap w:val="0"/>
            <w:vAlign w:val="center"/>
          </w:tcPr>
          <w:p>
            <w:pPr>
              <w:keepNext w:val="0"/>
              <w:keepLines w:val="0"/>
              <w:suppressLineNumbers w:val="0"/>
              <w:spacing w:before="0" w:beforeAutospacing="0" w:after="0" w:afterAutospacing="0"/>
              <w:ind w:left="0" w:right="0"/>
              <w:rPr>
                <w:rFonts w:hint="default" w:ascii="宋体" w:hAnsi="Times New Roman" w:eastAsia="宋体" w:cs="Arial"/>
                <w:color w:val="000000"/>
              </w:rPr>
            </w:pPr>
          </w:p>
        </w:tc>
        <w:tc>
          <w:tcPr>
            <w:tcW w:w="1554" w:type="dxa"/>
            <w:vMerge w:val="continue"/>
            <w:tcBorders>
              <w:top w:val="single" w:color="000000" w:sz="4" w:space="0"/>
              <w:left w:val="nil"/>
              <w:bottom w:val="single" w:color="000000" w:sz="4" w:space="0"/>
              <w:right w:val="single" w:color="000000" w:sz="4" w:space="0"/>
            </w:tcBorders>
            <w:noWrap w:val="0"/>
            <w:vAlign w:val="center"/>
          </w:tcPr>
          <w:p>
            <w:pPr>
              <w:keepNext w:val="0"/>
              <w:keepLines w:val="0"/>
              <w:suppressLineNumbers w:val="0"/>
              <w:spacing w:before="0" w:beforeAutospacing="0" w:after="0" w:afterAutospacing="0"/>
              <w:ind w:left="0" w:right="0"/>
              <w:rPr>
                <w:rFonts w:hint="default" w:ascii="宋体" w:hAnsi="Times New Roman" w:eastAsia="宋体" w:cs="Arial"/>
                <w:color w:val="000000"/>
              </w:rPr>
            </w:pPr>
          </w:p>
        </w:tc>
        <w:tc>
          <w:tcPr>
            <w:tcW w:w="1517" w:type="dxa"/>
            <w:vMerge w:val="continue"/>
            <w:tcBorders>
              <w:top w:val="single" w:color="000000" w:sz="4" w:space="0"/>
              <w:left w:val="nil"/>
              <w:bottom w:val="single" w:color="000000" w:sz="4" w:space="0"/>
              <w:right w:val="single" w:color="000000" w:sz="4" w:space="0"/>
            </w:tcBorders>
            <w:noWrap w:val="0"/>
            <w:vAlign w:val="center"/>
          </w:tcPr>
          <w:p>
            <w:pPr>
              <w:keepNext w:val="0"/>
              <w:keepLines w:val="0"/>
              <w:suppressLineNumbers w:val="0"/>
              <w:spacing w:before="0" w:beforeAutospacing="0" w:after="0" w:afterAutospacing="0"/>
              <w:ind w:left="0" w:right="0"/>
              <w:rPr>
                <w:rFonts w:hint="default" w:ascii="宋体" w:hAnsi="Times New Roman" w:eastAsia="宋体" w:cs="Arial"/>
                <w:color w:val="000000"/>
              </w:rPr>
            </w:pPr>
          </w:p>
        </w:tc>
        <w:tc>
          <w:tcPr>
            <w:tcW w:w="933" w:type="dxa"/>
            <w:vMerge w:val="continue"/>
            <w:tcBorders>
              <w:top w:val="single" w:color="000000" w:sz="4" w:space="0"/>
              <w:left w:val="nil"/>
              <w:bottom w:val="single" w:color="000000" w:sz="4" w:space="0"/>
              <w:right w:val="single" w:color="000000" w:sz="4" w:space="0"/>
            </w:tcBorders>
            <w:noWrap w:val="0"/>
            <w:vAlign w:val="center"/>
          </w:tcPr>
          <w:p>
            <w:pPr>
              <w:keepNext w:val="0"/>
              <w:keepLines w:val="0"/>
              <w:suppressLineNumbers w:val="0"/>
              <w:spacing w:before="0" w:beforeAutospacing="0" w:after="0" w:afterAutospacing="0"/>
              <w:ind w:left="0" w:right="0"/>
              <w:rPr>
                <w:rFonts w:hint="default" w:ascii="宋体" w:hAnsi="Times New Roman" w:eastAsia="宋体" w:cs="Arial"/>
                <w:color w:val="000000"/>
              </w:rPr>
            </w:pPr>
          </w:p>
        </w:tc>
      </w:tr>
      <w:tr>
        <w:tblPrEx>
          <w:tblCellMar>
            <w:top w:w="0" w:type="dxa"/>
            <w:left w:w="108" w:type="dxa"/>
            <w:bottom w:w="0" w:type="dxa"/>
            <w:right w:w="108" w:type="dxa"/>
          </w:tblCellMar>
        </w:tblPrEx>
        <w:trPr>
          <w:trHeight w:val="628" w:hRule="atLeast"/>
        </w:trPr>
        <w:tc>
          <w:tcPr>
            <w:tcW w:w="2187" w:type="dxa"/>
            <w:tcBorders>
              <w:top w:val="nil"/>
              <w:left w:val="single" w:color="000000" w:sz="4" w:space="0"/>
              <w:bottom w:val="single" w:color="000000" w:sz="4" w:space="0"/>
              <w:right w:val="single" w:color="000000" w:sz="4" w:space="0"/>
            </w:tcBorders>
            <w:shd w:val="clear" w:color="FFFFFF" w:fill="C0C0C0"/>
            <w:noWrap w:val="0"/>
            <w:vAlign w:val="center"/>
          </w:tcPr>
          <w:p>
            <w:pPr>
              <w:keepNext w:val="0"/>
              <w:keepLines w:val="0"/>
              <w:suppressLineNumbers w:val="0"/>
              <w:spacing w:before="0" w:beforeAutospacing="0" w:after="240" w:afterAutospacing="0"/>
              <w:ind w:left="0" w:right="0"/>
              <w:jc w:val="center"/>
              <w:rPr>
                <w:rFonts w:hint="default" w:ascii="宋体" w:hAnsi="Times New Roman" w:eastAsia="宋体" w:cs="Arial"/>
                <w:color w:val="000000"/>
              </w:rPr>
            </w:pPr>
            <w:r>
              <w:rPr>
                <w:rFonts w:hint="eastAsia" w:ascii="宋体" w:hAnsi="宋体" w:eastAsia="宋体" w:cs="Arial"/>
                <w:color w:val="000000"/>
              </w:rPr>
              <w:t>栏</w:t>
            </w:r>
            <w:r>
              <w:rPr>
                <w:rFonts w:hint="default" w:ascii="宋体" w:hAnsi="宋体" w:eastAsia="宋体" w:cs="Arial"/>
                <w:color w:val="000000"/>
              </w:rPr>
              <w:t xml:space="preserve">    </w:t>
            </w:r>
            <w:r>
              <w:rPr>
                <w:rFonts w:hint="eastAsia" w:ascii="宋体" w:hAnsi="宋体" w:eastAsia="宋体" w:cs="Arial"/>
                <w:color w:val="000000"/>
              </w:rPr>
              <w:t>次</w:t>
            </w:r>
          </w:p>
        </w:tc>
        <w:tc>
          <w:tcPr>
            <w:tcW w:w="766" w:type="dxa"/>
            <w:vMerge w:val="continue"/>
            <w:tcBorders>
              <w:top w:val="single" w:color="000000" w:sz="4" w:space="0"/>
              <w:left w:val="nil"/>
              <w:bottom w:val="single" w:color="000000" w:sz="4" w:space="0"/>
              <w:right w:val="single" w:color="000000" w:sz="4" w:space="0"/>
            </w:tcBorders>
            <w:shd w:val="clear" w:color="auto" w:fill="auto"/>
            <w:noWrap w:val="0"/>
            <w:vAlign w:val="center"/>
          </w:tcPr>
          <w:p>
            <w:pPr>
              <w:keepNext w:val="0"/>
              <w:keepLines w:val="0"/>
              <w:suppressLineNumbers w:val="0"/>
              <w:spacing w:before="0" w:beforeAutospacing="0" w:after="0" w:afterAutospacing="0"/>
              <w:ind w:left="0" w:right="0"/>
              <w:rPr>
                <w:rFonts w:hint="default" w:ascii="宋体" w:hAnsi="Times New Roman" w:eastAsia="宋体" w:cs="Arial"/>
                <w:color w:val="000000"/>
              </w:rPr>
            </w:pPr>
          </w:p>
        </w:tc>
        <w:tc>
          <w:tcPr>
            <w:tcW w:w="1440" w:type="dxa"/>
            <w:tcBorders>
              <w:top w:val="nil"/>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default" w:ascii="宋体" w:hAnsi="宋体" w:eastAsia="宋体" w:cs="Arial"/>
                <w:color w:val="000000"/>
              </w:rPr>
              <w:t>1</w:t>
            </w:r>
          </w:p>
        </w:tc>
        <w:tc>
          <w:tcPr>
            <w:tcW w:w="1554" w:type="dxa"/>
            <w:tcBorders>
              <w:top w:val="nil"/>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default" w:ascii="宋体" w:hAnsi="宋体" w:eastAsia="宋体" w:cs="Arial"/>
                <w:color w:val="000000"/>
              </w:rPr>
              <w:t>2</w:t>
            </w:r>
          </w:p>
        </w:tc>
        <w:tc>
          <w:tcPr>
            <w:tcW w:w="1517" w:type="dxa"/>
            <w:tcBorders>
              <w:top w:val="nil"/>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default" w:ascii="宋体" w:hAnsi="宋体" w:eastAsia="宋体" w:cs="Arial"/>
                <w:color w:val="000000"/>
              </w:rPr>
              <w:t>3</w:t>
            </w:r>
          </w:p>
        </w:tc>
        <w:tc>
          <w:tcPr>
            <w:tcW w:w="933" w:type="dxa"/>
            <w:tcBorders>
              <w:top w:val="nil"/>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default" w:ascii="宋体" w:hAnsi="宋体" w:eastAsia="宋体" w:cs="Arial"/>
                <w:color w:val="000000"/>
              </w:rPr>
              <w:t>4</w:t>
            </w:r>
          </w:p>
        </w:tc>
      </w:tr>
      <w:tr>
        <w:tblPrEx>
          <w:tblCellMar>
            <w:top w:w="0" w:type="dxa"/>
            <w:left w:w="108" w:type="dxa"/>
            <w:bottom w:w="0" w:type="dxa"/>
            <w:right w:w="108" w:type="dxa"/>
          </w:tblCellMar>
        </w:tblPrEx>
        <w:trPr>
          <w:trHeight w:val="516" w:hRule="atLeast"/>
        </w:trPr>
        <w:tc>
          <w:tcPr>
            <w:tcW w:w="2187" w:type="dxa"/>
            <w:tcBorders>
              <w:top w:val="nil"/>
              <w:left w:val="single" w:color="000000" w:sz="4" w:space="0"/>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1.“三公”经费支出</w:t>
            </w:r>
          </w:p>
        </w:tc>
        <w:tc>
          <w:tcPr>
            <w:tcW w:w="766" w:type="dxa"/>
            <w:tcBorders>
              <w:top w:val="nil"/>
              <w:left w:val="nil"/>
              <w:bottom w:val="single" w:color="000000" w:sz="8" w:space="0"/>
              <w:right w:val="single" w:color="000000" w:sz="4" w:space="0"/>
            </w:tcBorders>
            <w:noWrap/>
            <w:vAlign w:val="center"/>
          </w:tcPr>
          <w:p>
            <w:pPr>
              <w:keepNext w:val="0"/>
              <w:keepLines w:val="0"/>
              <w:suppressLineNumbers w:val="0"/>
              <w:adjustRightInd w:val="0"/>
              <w:snapToGrid w:val="0"/>
              <w:spacing w:before="0" w:beforeAutospacing="0" w:after="200" w:afterAutospacing="0"/>
              <w:ind w:left="0" w:right="0"/>
              <w:jc w:val="center"/>
              <w:rPr>
                <w:rFonts w:hint="default" w:ascii="Tahoma" w:hAnsi="Tahoma" w:eastAsia="微软雅黑" w:cs="Arial"/>
                <w:color w:val="000000"/>
              </w:rPr>
            </w:pPr>
            <w:r>
              <w:rPr>
                <w:rFonts w:hint="default" w:ascii="Tahoma" w:hAnsi="Tahoma" w:eastAsia="微软雅黑" w:cs="Arial"/>
                <w:color w:val="000000"/>
              </w:rPr>
              <w:t>45</w:t>
            </w:r>
          </w:p>
        </w:tc>
        <w:tc>
          <w:tcPr>
            <w:tcW w:w="1440"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47587</w:t>
            </w:r>
          </w:p>
        </w:tc>
        <w:tc>
          <w:tcPr>
            <w:tcW w:w="1554"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34000</w:t>
            </w:r>
          </w:p>
        </w:tc>
        <w:tc>
          <w:tcPr>
            <w:tcW w:w="1517"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13587</w:t>
            </w:r>
          </w:p>
        </w:tc>
        <w:tc>
          <w:tcPr>
            <w:tcW w:w="933"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39.96</w:t>
            </w:r>
          </w:p>
        </w:tc>
      </w:tr>
      <w:tr>
        <w:tblPrEx>
          <w:tblCellMar>
            <w:top w:w="0" w:type="dxa"/>
            <w:left w:w="108" w:type="dxa"/>
            <w:bottom w:w="0" w:type="dxa"/>
            <w:right w:w="108" w:type="dxa"/>
          </w:tblCellMar>
        </w:tblPrEx>
        <w:trPr>
          <w:trHeight w:val="722" w:hRule="atLeast"/>
        </w:trPr>
        <w:tc>
          <w:tcPr>
            <w:tcW w:w="2187" w:type="dxa"/>
            <w:tcBorders>
              <w:top w:val="nil"/>
              <w:left w:val="single" w:color="000000" w:sz="4" w:space="0"/>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其中：因公出国（境）费</w:t>
            </w:r>
          </w:p>
        </w:tc>
        <w:tc>
          <w:tcPr>
            <w:tcW w:w="766" w:type="dxa"/>
            <w:tcBorders>
              <w:top w:val="nil"/>
              <w:left w:val="nil"/>
              <w:bottom w:val="single" w:color="000000" w:sz="8" w:space="0"/>
              <w:right w:val="single" w:color="000000" w:sz="4" w:space="0"/>
            </w:tcBorders>
            <w:noWrap/>
            <w:vAlign w:val="center"/>
          </w:tcPr>
          <w:p>
            <w:pPr>
              <w:keepNext w:val="0"/>
              <w:keepLines w:val="0"/>
              <w:suppressLineNumbers w:val="0"/>
              <w:adjustRightInd w:val="0"/>
              <w:snapToGrid w:val="0"/>
              <w:spacing w:before="0" w:beforeAutospacing="0" w:after="200" w:afterAutospacing="0"/>
              <w:ind w:left="0" w:right="0"/>
              <w:jc w:val="center"/>
              <w:rPr>
                <w:rFonts w:hint="default" w:ascii="Tahoma" w:hAnsi="Tahoma" w:eastAsia="微软雅黑" w:cs="Arial"/>
                <w:color w:val="000000"/>
              </w:rPr>
            </w:pPr>
            <w:r>
              <w:rPr>
                <w:rFonts w:hint="default" w:ascii="Tahoma" w:hAnsi="Tahoma" w:eastAsia="微软雅黑" w:cs="Arial"/>
                <w:color w:val="000000"/>
              </w:rPr>
              <w:t>46</w:t>
            </w:r>
          </w:p>
        </w:tc>
        <w:tc>
          <w:tcPr>
            <w:tcW w:w="1440"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1554"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1517"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933"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r>
      <w:tr>
        <w:tblPrEx>
          <w:tblCellMar>
            <w:top w:w="0" w:type="dxa"/>
            <w:left w:w="108" w:type="dxa"/>
            <w:bottom w:w="0" w:type="dxa"/>
            <w:right w:w="108" w:type="dxa"/>
          </w:tblCellMar>
        </w:tblPrEx>
        <w:trPr>
          <w:trHeight w:val="722" w:hRule="atLeast"/>
        </w:trPr>
        <w:tc>
          <w:tcPr>
            <w:tcW w:w="2187" w:type="dxa"/>
            <w:tcBorders>
              <w:top w:val="nil"/>
              <w:left w:val="single" w:color="000000" w:sz="4" w:space="0"/>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公务用车购置及运行维护费</w:t>
            </w:r>
          </w:p>
        </w:tc>
        <w:tc>
          <w:tcPr>
            <w:tcW w:w="766" w:type="dxa"/>
            <w:tcBorders>
              <w:top w:val="nil"/>
              <w:left w:val="nil"/>
              <w:bottom w:val="single" w:color="000000" w:sz="8" w:space="0"/>
              <w:right w:val="single" w:color="000000" w:sz="4" w:space="0"/>
            </w:tcBorders>
            <w:noWrap/>
            <w:vAlign w:val="center"/>
          </w:tcPr>
          <w:p>
            <w:pPr>
              <w:keepNext w:val="0"/>
              <w:keepLines w:val="0"/>
              <w:suppressLineNumbers w:val="0"/>
              <w:adjustRightInd w:val="0"/>
              <w:snapToGrid w:val="0"/>
              <w:spacing w:before="0" w:beforeAutospacing="0" w:after="200" w:afterAutospacing="0"/>
              <w:ind w:left="0" w:right="0"/>
              <w:jc w:val="center"/>
              <w:rPr>
                <w:rFonts w:hint="default" w:ascii="Tahoma" w:hAnsi="Tahoma" w:eastAsia="微软雅黑" w:cs="Arial"/>
                <w:color w:val="000000"/>
              </w:rPr>
            </w:pPr>
            <w:r>
              <w:rPr>
                <w:rFonts w:hint="default" w:ascii="Tahoma" w:hAnsi="Tahoma" w:eastAsia="微软雅黑" w:cs="Arial"/>
                <w:color w:val="000000"/>
              </w:rPr>
              <w:t>47</w:t>
            </w:r>
          </w:p>
        </w:tc>
        <w:tc>
          <w:tcPr>
            <w:tcW w:w="1440"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1554"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1517"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933"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r>
      <w:tr>
        <w:tblPrEx>
          <w:tblCellMar>
            <w:top w:w="0" w:type="dxa"/>
            <w:left w:w="108" w:type="dxa"/>
            <w:bottom w:w="0" w:type="dxa"/>
            <w:right w:w="108" w:type="dxa"/>
          </w:tblCellMar>
        </w:tblPrEx>
        <w:trPr>
          <w:trHeight w:val="527" w:hRule="atLeast"/>
        </w:trPr>
        <w:tc>
          <w:tcPr>
            <w:tcW w:w="2187" w:type="dxa"/>
            <w:tcBorders>
              <w:top w:val="nil"/>
              <w:left w:val="single" w:color="000000" w:sz="4" w:space="0"/>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其中：公务用车购置费</w:t>
            </w:r>
          </w:p>
        </w:tc>
        <w:tc>
          <w:tcPr>
            <w:tcW w:w="766" w:type="dxa"/>
            <w:tcBorders>
              <w:top w:val="nil"/>
              <w:left w:val="nil"/>
              <w:bottom w:val="single" w:color="000000" w:sz="8" w:space="0"/>
              <w:right w:val="single" w:color="000000" w:sz="4" w:space="0"/>
            </w:tcBorders>
            <w:noWrap/>
            <w:vAlign w:val="center"/>
          </w:tcPr>
          <w:p>
            <w:pPr>
              <w:keepNext w:val="0"/>
              <w:keepLines w:val="0"/>
              <w:suppressLineNumbers w:val="0"/>
              <w:adjustRightInd w:val="0"/>
              <w:snapToGrid w:val="0"/>
              <w:spacing w:before="0" w:beforeAutospacing="0" w:after="200" w:afterAutospacing="0"/>
              <w:ind w:left="0" w:right="0"/>
              <w:jc w:val="center"/>
              <w:rPr>
                <w:rFonts w:hint="default" w:ascii="Tahoma" w:hAnsi="Tahoma" w:eastAsia="微软雅黑" w:cs="Arial"/>
                <w:color w:val="000000"/>
              </w:rPr>
            </w:pPr>
            <w:r>
              <w:rPr>
                <w:rFonts w:hint="default" w:ascii="Tahoma" w:hAnsi="Tahoma" w:eastAsia="微软雅黑" w:cs="Arial"/>
                <w:color w:val="000000"/>
              </w:rPr>
              <w:t>48</w:t>
            </w:r>
          </w:p>
        </w:tc>
        <w:tc>
          <w:tcPr>
            <w:tcW w:w="1440"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1554"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1517"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933"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r>
      <w:tr>
        <w:tblPrEx>
          <w:tblCellMar>
            <w:top w:w="0" w:type="dxa"/>
            <w:left w:w="108" w:type="dxa"/>
            <w:bottom w:w="0" w:type="dxa"/>
            <w:right w:w="108" w:type="dxa"/>
          </w:tblCellMar>
        </w:tblPrEx>
        <w:trPr>
          <w:trHeight w:val="527" w:hRule="atLeast"/>
        </w:trPr>
        <w:tc>
          <w:tcPr>
            <w:tcW w:w="2187" w:type="dxa"/>
            <w:tcBorders>
              <w:top w:val="nil"/>
              <w:left w:val="single" w:color="000000" w:sz="4" w:space="0"/>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公务用车运行维护费</w:t>
            </w:r>
          </w:p>
        </w:tc>
        <w:tc>
          <w:tcPr>
            <w:tcW w:w="766" w:type="dxa"/>
            <w:tcBorders>
              <w:top w:val="nil"/>
              <w:left w:val="nil"/>
              <w:bottom w:val="single" w:color="000000" w:sz="8" w:space="0"/>
              <w:right w:val="single" w:color="000000" w:sz="4" w:space="0"/>
            </w:tcBorders>
            <w:noWrap/>
            <w:vAlign w:val="center"/>
          </w:tcPr>
          <w:p>
            <w:pPr>
              <w:keepNext w:val="0"/>
              <w:keepLines w:val="0"/>
              <w:suppressLineNumbers w:val="0"/>
              <w:adjustRightInd w:val="0"/>
              <w:snapToGrid w:val="0"/>
              <w:spacing w:before="0" w:beforeAutospacing="0" w:after="200" w:afterAutospacing="0"/>
              <w:ind w:left="0" w:right="0"/>
              <w:jc w:val="center"/>
              <w:rPr>
                <w:rFonts w:hint="default" w:ascii="Tahoma" w:hAnsi="Tahoma" w:eastAsia="微软雅黑" w:cs="Arial"/>
                <w:color w:val="000000"/>
              </w:rPr>
            </w:pPr>
            <w:r>
              <w:rPr>
                <w:rFonts w:hint="default" w:ascii="Tahoma" w:hAnsi="Tahoma" w:eastAsia="微软雅黑" w:cs="Arial"/>
                <w:color w:val="000000"/>
              </w:rPr>
              <w:t>49</w:t>
            </w:r>
          </w:p>
        </w:tc>
        <w:tc>
          <w:tcPr>
            <w:tcW w:w="1440"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1554"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1517"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933"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r>
      <w:tr>
        <w:tblPrEx>
          <w:tblCellMar>
            <w:top w:w="0" w:type="dxa"/>
            <w:left w:w="108" w:type="dxa"/>
            <w:bottom w:w="0" w:type="dxa"/>
            <w:right w:w="108" w:type="dxa"/>
          </w:tblCellMar>
        </w:tblPrEx>
        <w:trPr>
          <w:trHeight w:val="549" w:hRule="atLeast"/>
        </w:trPr>
        <w:tc>
          <w:tcPr>
            <w:tcW w:w="2187" w:type="dxa"/>
            <w:tcBorders>
              <w:top w:val="nil"/>
              <w:left w:val="single" w:color="000000" w:sz="4" w:space="0"/>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公务接待费</w:t>
            </w:r>
          </w:p>
        </w:tc>
        <w:tc>
          <w:tcPr>
            <w:tcW w:w="766" w:type="dxa"/>
            <w:tcBorders>
              <w:top w:val="nil"/>
              <w:left w:val="nil"/>
              <w:bottom w:val="single" w:color="000000" w:sz="8" w:space="0"/>
              <w:right w:val="single" w:color="000000" w:sz="4" w:space="0"/>
            </w:tcBorders>
            <w:noWrap/>
            <w:vAlign w:val="center"/>
          </w:tcPr>
          <w:p>
            <w:pPr>
              <w:keepNext w:val="0"/>
              <w:keepLines w:val="0"/>
              <w:suppressLineNumbers w:val="0"/>
              <w:adjustRightInd w:val="0"/>
              <w:snapToGrid w:val="0"/>
              <w:spacing w:before="0" w:beforeAutospacing="0" w:after="200" w:afterAutospacing="0"/>
              <w:ind w:left="0" w:right="0"/>
              <w:jc w:val="center"/>
              <w:rPr>
                <w:rFonts w:hint="default" w:ascii="Tahoma" w:hAnsi="Tahoma" w:eastAsia="微软雅黑" w:cs="Arial"/>
                <w:color w:val="000000"/>
              </w:rPr>
            </w:pPr>
            <w:r>
              <w:rPr>
                <w:rFonts w:hint="default" w:ascii="Tahoma" w:hAnsi="Tahoma" w:eastAsia="微软雅黑" w:cs="Arial"/>
                <w:color w:val="000000"/>
              </w:rPr>
              <w:t>50</w:t>
            </w:r>
          </w:p>
        </w:tc>
        <w:tc>
          <w:tcPr>
            <w:tcW w:w="1440"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47587</w:t>
            </w:r>
          </w:p>
        </w:tc>
        <w:tc>
          <w:tcPr>
            <w:tcW w:w="1554"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34000</w:t>
            </w:r>
          </w:p>
        </w:tc>
        <w:tc>
          <w:tcPr>
            <w:tcW w:w="1517"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13587</w:t>
            </w:r>
          </w:p>
        </w:tc>
        <w:tc>
          <w:tcPr>
            <w:tcW w:w="933"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39.96</w:t>
            </w:r>
          </w:p>
        </w:tc>
      </w:tr>
    </w:tbl>
    <w:p>
      <w:pPr>
        <w:snapToGrid w:val="0"/>
        <w:spacing w:line="520" w:lineRule="exact"/>
        <w:ind w:firstLine="640" w:firstLineChars="200"/>
        <w:rPr>
          <w:rFonts w:hint="eastAsia" w:ascii="仿宋_GB2312" w:hAnsi="仿宋" w:eastAsia="仿宋_GB2312" w:cs="Times New Roman"/>
          <w:sz w:val="32"/>
          <w:szCs w:val="32"/>
        </w:rPr>
      </w:pPr>
      <w:r>
        <w:rPr>
          <w:rFonts w:hint="eastAsia" w:ascii="仿宋_GB2312" w:hAnsi="仿宋" w:eastAsia="仿宋_GB2312" w:cs="Times New Roman"/>
          <w:sz w:val="32"/>
          <w:szCs w:val="32"/>
        </w:rPr>
        <w:t>（2）会议费、培训费支出情况。</w:t>
      </w:r>
    </w:p>
    <w:tbl>
      <w:tblPr>
        <w:tblStyle w:val="12"/>
        <w:tblW w:w="8418" w:type="dxa"/>
        <w:tblInd w:w="93" w:type="dxa"/>
        <w:tblLayout w:type="autofit"/>
        <w:tblCellMar>
          <w:top w:w="0" w:type="dxa"/>
          <w:left w:w="108" w:type="dxa"/>
          <w:bottom w:w="0" w:type="dxa"/>
          <w:right w:w="108" w:type="dxa"/>
        </w:tblCellMar>
      </w:tblPr>
      <w:tblGrid>
        <w:gridCol w:w="2021"/>
        <w:gridCol w:w="681"/>
        <w:gridCol w:w="1703"/>
        <w:gridCol w:w="1557"/>
        <w:gridCol w:w="1521"/>
        <w:gridCol w:w="935"/>
      </w:tblGrid>
      <w:tr>
        <w:tblPrEx>
          <w:tblCellMar>
            <w:top w:w="0" w:type="dxa"/>
            <w:left w:w="108" w:type="dxa"/>
            <w:bottom w:w="0" w:type="dxa"/>
            <w:right w:w="108" w:type="dxa"/>
          </w:tblCellMar>
        </w:tblPrEx>
        <w:trPr>
          <w:trHeight w:val="358" w:hRule="atLeast"/>
        </w:trPr>
        <w:tc>
          <w:tcPr>
            <w:tcW w:w="2021" w:type="dxa"/>
            <w:vMerge w:val="restart"/>
            <w:tcBorders>
              <w:top w:val="single" w:color="000000" w:sz="4" w:space="0"/>
              <w:left w:val="single" w:color="000000" w:sz="4" w:space="0"/>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eastAsia" w:ascii="宋体" w:hAnsi="宋体" w:eastAsia="宋体" w:cs="Arial"/>
                <w:color w:val="000000"/>
              </w:rPr>
              <w:t>指</w:t>
            </w:r>
            <w:r>
              <w:rPr>
                <w:rFonts w:hint="default" w:ascii="宋体" w:hAnsi="宋体" w:eastAsia="宋体" w:cs="Arial"/>
                <w:color w:val="000000"/>
              </w:rPr>
              <w:t xml:space="preserve">    </w:t>
            </w:r>
            <w:r>
              <w:rPr>
                <w:rFonts w:hint="eastAsia" w:ascii="宋体" w:hAnsi="宋体" w:eastAsia="宋体" w:cs="Arial"/>
                <w:color w:val="000000"/>
              </w:rPr>
              <w:t>标</w:t>
            </w:r>
          </w:p>
        </w:tc>
        <w:tc>
          <w:tcPr>
            <w:tcW w:w="681" w:type="dxa"/>
            <w:vMerge w:val="restart"/>
            <w:tcBorders>
              <w:top w:val="single" w:color="000000" w:sz="4" w:space="0"/>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eastAsia" w:ascii="宋体" w:hAnsi="宋体" w:eastAsia="宋体" w:cs="Arial"/>
                <w:color w:val="000000"/>
              </w:rPr>
              <w:t>行次</w:t>
            </w:r>
          </w:p>
        </w:tc>
        <w:tc>
          <w:tcPr>
            <w:tcW w:w="1703" w:type="dxa"/>
            <w:vMerge w:val="restart"/>
            <w:tcBorders>
              <w:top w:val="single" w:color="000000" w:sz="4" w:space="0"/>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eastAsia" w:ascii="宋体" w:hAnsi="宋体" w:eastAsia="宋体" w:cs="Arial"/>
                <w:color w:val="000000"/>
              </w:rPr>
              <w:t>本年度</w:t>
            </w:r>
          </w:p>
        </w:tc>
        <w:tc>
          <w:tcPr>
            <w:tcW w:w="1557" w:type="dxa"/>
            <w:vMerge w:val="restart"/>
            <w:tcBorders>
              <w:top w:val="single" w:color="000000" w:sz="4" w:space="0"/>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eastAsia" w:ascii="宋体" w:hAnsi="宋体" w:eastAsia="宋体" w:cs="Arial"/>
                <w:color w:val="000000"/>
              </w:rPr>
              <w:t>上年度</w:t>
            </w:r>
          </w:p>
        </w:tc>
        <w:tc>
          <w:tcPr>
            <w:tcW w:w="1521" w:type="dxa"/>
            <w:vMerge w:val="restart"/>
            <w:tcBorders>
              <w:top w:val="single" w:color="000000" w:sz="4" w:space="0"/>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eastAsia" w:ascii="宋体" w:hAnsi="宋体" w:eastAsia="宋体" w:cs="Arial"/>
                <w:color w:val="000000"/>
              </w:rPr>
              <w:t>比上年增减</w:t>
            </w:r>
          </w:p>
        </w:tc>
        <w:tc>
          <w:tcPr>
            <w:tcW w:w="935" w:type="dxa"/>
            <w:vMerge w:val="restart"/>
            <w:tcBorders>
              <w:top w:val="single" w:color="000000" w:sz="4" w:space="0"/>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eastAsia" w:ascii="宋体" w:hAnsi="宋体" w:eastAsia="宋体" w:cs="Arial"/>
                <w:color w:val="000000"/>
              </w:rPr>
              <w:t>增减％</w:t>
            </w:r>
          </w:p>
        </w:tc>
      </w:tr>
      <w:tr>
        <w:tblPrEx>
          <w:tblCellMar>
            <w:top w:w="0" w:type="dxa"/>
            <w:left w:w="108" w:type="dxa"/>
            <w:bottom w:w="0" w:type="dxa"/>
            <w:right w:w="108" w:type="dxa"/>
          </w:tblCellMar>
        </w:tblPrEx>
        <w:trPr>
          <w:trHeight w:val="358" w:hRule="atLeast"/>
        </w:trPr>
        <w:tc>
          <w:tcPr>
            <w:tcW w:w="2021" w:type="dxa"/>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suppressLineNumbers w:val="0"/>
              <w:spacing w:before="0" w:beforeAutospacing="0" w:after="0" w:afterAutospacing="0"/>
              <w:ind w:left="0" w:right="0"/>
              <w:rPr>
                <w:rFonts w:hint="default" w:ascii="宋体" w:hAnsi="Times New Roman" w:eastAsia="宋体" w:cs="Arial"/>
                <w:color w:val="000000"/>
              </w:rPr>
            </w:pPr>
          </w:p>
        </w:tc>
        <w:tc>
          <w:tcPr>
            <w:tcW w:w="681" w:type="dxa"/>
            <w:vMerge w:val="continue"/>
            <w:tcBorders>
              <w:top w:val="single" w:color="000000" w:sz="4" w:space="0"/>
              <w:left w:val="nil"/>
              <w:bottom w:val="single" w:color="000000" w:sz="4" w:space="0"/>
              <w:right w:val="single" w:color="000000" w:sz="4" w:space="0"/>
            </w:tcBorders>
            <w:noWrap w:val="0"/>
            <w:vAlign w:val="center"/>
          </w:tcPr>
          <w:p>
            <w:pPr>
              <w:keepNext w:val="0"/>
              <w:keepLines w:val="0"/>
              <w:suppressLineNumbers w:val="0"/>
              <w:spacing w:before="0" w:beforeAutospacing="0" w:after="0" w:afterAutospacing="0"/>
              <w:ind w:left="0" w:right="0"/>
              <w:rPr>
                <w:rFonts w:hint="default" w:ascii="宋体" w:hAnsi="Times New Roman" w:eastAsia="宋体" w:cs="Arial"/>
                <w:color w:val="000000"/>
              </w:rPr>
            </w:pPr>
          </w:p>
        </w:tc>
        <w:tc>
          <w:tcPr>
            <w:tcW w:w="1703" w:type="dxa"/>
            <w:vMerge w:val="continue"/>
            <w:tcBorders>
              <w:top w:val="single" w:color="000000" w:sz="4" w:space="0"/>
              <w:left w:val="nil"/>
              <w:bottom w:val="single" w:color="000000" w:sz="4" w:space="0"/>
              <w:right w:val="single" w:color="000000" w:sz="4" w:space="0"/>
            </w:tcBorders>
            <w:noWrap w:val="0"/>
            <w:vAlign w:val="center"/>
          </w:tcPr>
          <w:p>
            <w:pPr>
              <w:keepNext w:val="0"/>
              <w:keepLines w:val="0"/>
              <w:suppressLineNumbers w:val="0"/>
              <w:spacing w:before="0" w:beforeAutospacing="0" w:after="0" w:afterAutospacing="0"/>
              <w:ind w:left="0" w:right="0"/>
              <w:rPr>
                <w:rFonts w:hint="default" w:ascii="宋体" w:hAnsi="Times New Roman" w:eastAsia="宋体" w:cs="Arial"/>
                <w:color w:val="000000"/>
              </w:rPr>
            </w:pPr>
          </w:p>
        </w:tc>
        <w:tc>
          <w:tcPr>
            <w:tcW w:w="1557" w:type="dxa"/>
            <w:vMerge w:val="continue"/>
            <w:tcBorders>
              <w:top w:val="single" w:color="000000" w:sz="4" w:space="0"/>
              <w:left w:val="nil"/>
              <w:bottom w:val="single" w:color="000000" w:sz="4" w:space="0"/>
              <w:right w:val="single" w:color="000000" w:sz="4" w:space="0"/>
            </w:tcBorders>
            <w:noWrap w:val="0"/>
            <w:vAlign w:val="center"/>
          </w:tcPr>
          <w:p>
            <w:pPr>
              <w:keepNext w:val="0"/>
              <w:keepLines w:val="0"/>
              <w:suppressLineNumbers w:val="0"/>
              <w:spacing w:before="0" w:beforeAutospacing="0" w:after="0" w:afterAutospacing="0"/>
              <w:ind w:left="0" w:right="0"/>
              <w:rPr>
                <w:rFonts w:hint="default" w:ascii="宋体" w:hAnsi="Times New Roman" w:eastAsia="宋体" w:cs="Arial"/>
                <w:color w:val="000000"/>
              </w:rPr>
            </w:pPr>
          </w:p>
        </w:tc>
        <w:tc>
          <w:tcPr>
            <w:tcW w:w="1521" w:type="dxa"/>
            <w:vMerge w:val="continue"/>
            <w:tcBorders>
              <w:top w:val="single" w:color="000000" w:sz="4" w:space="0"/>
              <w:left w:val="nil"/>
              <w:bottom w:val="single" w:color="000000" w:sz="4" w:space="0"/>
              <w:right w:val="single" w:color="000000" w:sz="4" w:space="0"/>
            </w:tcBorders>
            <w:noWrap w:val="0"/>
            <w:vAlign w:val="center"/>
          </w:tcPr>
          <w:p>
            <w:pPr>
              <w:keepNext w:val="0"/>
              <w:keepLines w:val="0"/>
              <w:suppressLineNumbers w:val="0"/>
              <w:spacing w:before="0" w:beforeAutospacing="0" w:after="0" w:afterAutospacing="0"/>
              <w:ind w:left="0" w:right="0"/>
              <w:rPr>
                <w:rFonts w:hint="default" w:ascii="宋体" w:hAnsi="Times New Roman" w:eastAsia="宋体" w:cs="Arial"/>
                <w:color w:val="000000"/>
              </w:rPr>
            </w:pPr>
          </w:p>
        </w:tc>
        <w:tc>
          <w:tcPr>
            <w:tcW w:w="935" w:type="dxa"/>
            <w:vMerge w:val="continue"/>
            <w:tcBorders>
              <w:top w:val="single" w:color="000000" w:sz="4" w:space="0"/>
              <w:left w:val="nil"/>
              <w:bottom w:val="single" w:color="000000" w:sz="4" w:space="0"/>
              <w:right w:val="single" w:color="000000" w:sz="4" w:space="0"/>
            </w:tcBorders>
            <w:noWrap w:val="0"/>
            <w:vAlign w:val="center"/>
          </w:tcPr>
          <w:p>
            <w:pPr>
              <w:keepNext w:val="0"/>
              <w:keepLines w:val="0"/>
              <w:suppressLineNumbers w:val="0"/>
              <w:spacing w:before="0" w:beforeAutospacing="0" w:after="0" w:afterAutospacing="0"/>
              <w:ind w:left="0" w:right="0"/>
              <w:rPr>
                <w:rFonts w:hint="default" w:ascii="宋体" w:hAnsi="Times New Roman" w:eastAsia="宋体" w:cs="Arial"/>
                <w:color w:val="000000"/>
              </w:rPr>
            </w:pPr>
          </w:p>
        </w:tc>
      </w:tr>
      <w:tr>
        <w:tblPrEx>
          <w:tblCellMar>
            <w:top w:w="0" w:type="dxa"/>
            <w:left w:w="108" w:type="dxa"/>
            <w:bottom w:w="0" w:type="dxa"/>
            <w:right w:w="108" w:type="dxa"/>
          </w:tblCellMar>
        </w:tblPrEx>
        <w:trPr>
          <w:trHeight w:val="627" w:hRule="atLeast"/>
        </w:trPr>
        <w:tc>
          <w:tcPr>
            <w:tcW w:w="2021" w:type="dxa"/>
            <w:tcBorders>
              <w:top w:val="nil"/>
              <w:left w:val="single" w:color="000000" w:sz="4" w:space="0"/>
              <w:bottom w:val="single" w:color="000000" w:sz="4" w:space="0"/>
              <w:right w:val="single" w:color="000000" w:sz="4" w:space="0"/>
            </w:tcBorders>
            <w:shd w:val="clear" w:color="FFFFFF" w:fill="C0C0C0"/>
            <w:noWrap w:val="0"/>
            <w:vAlign w:val="center"/>
          </w:tcPr>
          <w:p>
            <w:pPr>
              <w:keepNext w:val="0"/>
              <w:keepLines w:val="0"/>
              <w:suppressLineNumbers w:val="0"/>
              <w:spacing w:before="0" w:beforeAutospacing="0" w:after="240" w:afterAutospacing="0"/>
              <w:ind w:left="0" w:right="0"/>
              <w:jc w:val="center"/>
              <w:rPr>
                <w:rFonts w:hint="default" w:ascii="宋体" w:hAnsi="Times New Roman" w:eastAsia="宋体" w:cs="Arial"/>
                <w:color w:val="000000"/>
              </w:rPr>
            </w:pPr>
            <w:r>
              <w:rPr>
                <w:rFonts w:hint="eastAsia" w:ascii="宋体" w:hAnsi="宋体" w:eastAsia="宋体" w:cs="Arial"/>
                <w:color w:val="000000"/>
              </w:rPr>
              <w:t>栏</w:t>
            </w:r>
            <w:r>
              <w:rPr>
                <w:rFonts w:hint="default" w:ascii="宋体" w:hAnsi="宋体" w:eastAsia="宋体" w:cs="Arial"/>
                <w:color w:val="000000"/>
              </w:rPr>
              <w:t xml:space="preserve">    </w:t>
            </w:r>
            <w:r>
              <w:rPr>
                <w:rFonts w:hint="eastAsia" w:ascii="宋体" w:hAnsi="宋体" w:eastAsia="宋体" w:cs="Arial"/>
                <w:color w:val="000000"/>
              </w:rPr>
              <w:t>次</w:t>
            </w:r>
          </w:p>
        </w:tc>
        <w:tc>
          <w:tcPr>
            <w:tcW w:w="681" w:type="dxa"/>
            <w:vMerge w:val="continue"/>
            <w:tcBorders>
              <w:top w:val="single" w:color="000000" w:sz="4" w:space="0"/>
              <w:left w:val="nil"/>
              <w:bottom w:val="single" w:color="000000" w:sz="4" w:space="0"/>
              <w:right w:val="single" w:color="000000" w:sz="4" w:space="0"/>
            </w:tcBorders>
            <w:shd w:val="clear" w:color="auto" w:fill="auto"/>
            <w:noWrap w:val="0"/>
            <w:vAlign w:val="center"/>
          </w:tcPr>
          <w:p>
            <w:pPr>
              <w:keepNext w:val="0"/>
              <w:keepLines w:val="0"/>
              <w:suppressLineNumbers w:val="0"/>
              <w:spacing w:before="0" w:beforeAutospacing="0" w:after="0" w:afterAutospacing="0"/>
              <w:ind w:left="0" w:right="0"/>
              <w:rPr>
                <w:rFonts w:hint="default" w:ascii="宋体" w:hAnsi="Times New Roman" w:eastAsia="宋体" w:cs="Arial"/>
                <w:color w:val="000000"/>
              </w:rPr>
            </w:pPr>
          </w:p>
        </w:tc>
        <w:tc>
          <w:tcPr>
            <w:tcW w:w="1703" w:type="dxa"/>
            <w:tcBorders>
              <w:top w:val="nil"/>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default" w:ascii="宋体" w:hAnsi="宋体" w:eastAsia="宋体" w:cs="Arial"/>
                <w:color w:val="000000"/>
              </w:rPr>
              <w:t>1</w:t>
            </w:r>
          </w:p>
        </w:tc>
        <w:tc>
          <w:tcPr>
            <w:tcW w:w="1557" w:type="dxa"/>
            <w:tcBorders>
              <w:top w:val="nil"/>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default" w:ascii="宋体" w:hAnsi="宋体" w:eastAsia="宋体" w:cs="Arial"/>
                <w:color w:val="000000"/>
              </w:rPr>
              <w:t>2</w:t>
            </w:r>
          </w:p>
        </w:tc>
        <w:tc>
          <w:tcPr>
            <w:tcW w:w="1521" w:type="dxa"/>
            <w:tcBorders>
              <w:top w:val="nil"/>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default" w:ascii="宋体" w:hAnsi="宋体" w:eastAsia="宋体" w:cs="Arial"/>
                <w:color w:val="000000"/>
              </w:rPr>
              <w:t>3</w:t>
            </w:r>
          </w:p>
        </w:tc>
        <w:tc>
          <w:tcPr>
            <w:tcW w:w="935" w:type="dxa"/>
            <w:tcBorders>
              <w:top w:val="nil"/>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default" w:ascii="宋体" w:hAnsi="宋体" w:eastAsia="宋体" w:cs="Arial"/>
                <w:color w:val="000000"/>
              </w:rPr>
              <w:t>4</w:t>
            </w:r>
          </w:p>
        </w:tc>
      </w:tr>
      <w:tr>
        <w:tblPrEx>
          <w:tblCellMar>
            <w:top w:w="0" w:type="dxa"/>
            <w:left w:w="108" w:type="dxa"/>
            <w:bottom w:w="0" w:type="dxa"/>
            <w:right w:w="108" w:type="dxa"/>
          </w:tblCellMar>
        </w:tblPrEx>
        <w:trPr>
          <w:trHeight w:val="515" w:hRule="atLeast"/>
        </w:trPr>
        <w:tc>
          <w:tcPr>
            <w:tcW w:w="2021" w:type="dxa"/>
            <w:tcBorders>
              <w:top w:val="nil"/>
              <w:left w:val="single" w:color="000000" w:sz="4" w:space="0"/>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 xml:space="preserve">   2.培训费</w:t>
            </w:r>
          </w:p>
        </w:tc>
        <w:tc>
          <w:tcPr>
            <w:tcW w:w="681" w:type="dxa"/>
            <w:tcBorders>
              <w:top w:val="nil"/>
              <w:left w:val="nil"/>
              <w:bottom w:val="single" w:color="000000" w:sz="8" w:space="0"/>
              <w:right w:val="single" w:color="000000" w:sz="4" w:space="0"/>
            </w:tcBorders>
            <w:noWrap/>
            <w:vAlign w:val="center"/>
          </w:tcPr>
          <w:p>
            <w:pPr>
              <w:keepNext w:val="0"/>
              <w:keepLines w:val="0"/>
              <w:suppressLineNumbers w:val="0"/>
              <w:adjustRightInd w:val="0"/>
              <w:snapToGrid w:val="0"/>
              <w:spacing w:before="0" w:beforeAutospacing="0" w:after="200" w:afterAutospacing="0"/>
              <w:ind w:left="0" w:right="0"/>
              <w:jc w:val="center"/>
              <w:rPr>
                <w:rFonts w:hint="default" w:ascii="Tahoma" w:hAnsi="Tahoma" w:eastAsia="微软雅黑" w:cs="Arial"/>
                <w:color w:val="000000"/>
              </w:rPr>
            </w:pPr>
            <w:r>
              <w:rPr>
                <w:rFonts w:hint="default" w:ascii="Tahoma" w:hAnsi="Tahoma" w:eastAsia="微软雅黑" w:cs="Arial"/>
                <w:color w:val="000000"/>
              </w:rPr>
              <w:t>51</w:t>
            </w:r>
          </w:p>
        </w:tc>
        <w:tc>
          <w:tcPr>
            <w:tcW w:w="1703"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75403.5</w:t>
            </w:r>
          </w:p>
        </w:tc>
        <w:tc>
          <w:tcPr>
            <w:tcW w:w="1557"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7000</w:t>
            </w:r>
          </w:p>
        </w:tc>
        <w:tc>
          <w:tcPr>
            <w:tcW w:w="1521"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68403.5</w:t>
            </w:r>
          </w:p>
        </w:tc>
        <w:tc>
          <w:tcPr>
            <w:tcW w:w="935"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977.19</w:t>
            </w:r>
          </w:p>
        </w:tc>
      </w:tr>
      <w:tr>
        <w:tblPrEx>
          <w:tblCellMar>
            <w:top w:w="0" w:type="dxa"/>
            <w:left w:w="108" w:type="dxa"/>
            <w:bottom w:w="0" w:type="dxa"/>
            <w:right w:w="108" w:type="dxa"/>
          </w:tblCellMar>
        </w:tblPrEx>
        <w:trPr>
          <w:trHeight w:val="548" w:hRule="atLeast"/>
        </w:trPr>
        <w:tc>
          <w:tcPr>
            <w:tcW w:w="2021" w:type="dxa"/>
            <w:tcBorders>
              <w:top w:val="nil"/>
              <w:left w:val="single" w:color="000000" w:sz="4" w:space="0"/>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 xml:space="preserve">   3.会议费</w:t>
            </w:r>
          </w:p>
        </w:tc>
        <w:tc>
          <w:tcPr>
            <w:tcW w:w="681" w:type="dxa"/>
            <w:tcBorders>
              <w:top w:val="nil"/>
              <w:left w:val="nil"/>
              <w:bottom w:val="single" w:color="000000" w:sz="8" w:space="0"/>
              <w:right w:val="single" w:color="000000" w:sz="4" w:space="0"/>
            </w:tcBorders>
            <w:noWrap/>
            <w:vAlign w:val="center"/>
          </w:tcPr>
          <w:p>
            <w:pPr>
              <w:keepNext w:val="0"/>
              <w:keepLines w:val="0"/>
              <w:suppressLineNumbers w:val="0"/>
              <w:adjustRightInd w:val="0"/>
              <w:snapToGrid w:val="0"/>
              <w:spacing w:before="0" w:beforeAutospacing="0" w:after="200" w:afterAutospacing="0"/>
              <w:ind w:left="0" w:right="0"/>
              <w:jc w:val="center"/>
              <w:rPr>
                <w:rFonts w:hint="default" w:ascii="Tahoma" w:hAnsi="Tahoma" w:eastAsia="微软雅黑" w:cs="Arial"/>
                <w:color w:val="000000"/>
              </w:rPr>
            </w:pPr>
            <w:r>
              <w:rPr>
                <w:rFonts w:hint="default" w:ascii="Tahoma" w:hAnsi="Tahoma" w:eastAsia="微软雅黑" w:cs="Arial"/>
                <w:color w:val="000000"/>
              </w:rPr>
              <w:t>52</w:t>
            </w:r>
          </w:p>
        </w:tc>
        <w:tc>
          <w:tcPr>
            <w:tcW w:w="1703"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31521</w:t>
            </w:r>
          </w:p>
        </w:tc>
        <w:tc>
          <w:tcPr>
            <w:tcW w:w="1557"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13000</w:t>
            </w:r>
          </w:p>
        </w:tc>
        <w:tc>
          <w:tcPr>
            <w:tcW w:w="1521"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18521</w:t>
            </w:r>
          </w:p>
        </w:tc>
        <w:tc>
          <w:tcPr>
            <w:tcW w:w="935"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142.47</w:t>
            </w:r>
          </w:p>
        </w:tc>
      </w:tr>
    </w:tbl>
    <w:p>
      <w:pPr>
        <w:snapToGrid w:val="0"/>
        <w:spacing w:line="520" w:lineRule="exact"/>
        <w:ind w:firstLine="643" w:firstLineChars="200"/>
        <w:rPr>
          <w:rFonts w:ascii="仿宋_GB2312" w:hAnsi="仿宋" w:eastAsia="仿宋_GB2312" w:cs="Times New Roman"/>
          <w:b/>
          <w:sz w:val="32"/>
          <w:szCs w:val="32"/>
        </w:rPr>
      </w:pPr>
      <w:r>
        <w:rPr>
          <w:rFonts w:hint="eastAsia" w:ascii="仿宋_GB2312" w:hAnsi="仿宋" w:eastAsia="仿宋_GB2312" w:cs="Times New Roman"/>
          <w:b/>
          <w:sz w:val="32"/>
          <w:szCs w:val="32"/>
        </w:rPr>
        <w:t>3.非财政拨款收入分析。</w:t>
      </w:r>
    </w:p>
    <w:p>
      <w:pPr>
        <w:snapToGrid w:val="0"/>
        <w:spacing w:line="520" w:lineRule="exact"/>
        <w:ind w:firstLine="640" w:firstLineChars="200"/>
        <w:rPr>
          <w:rFonts w:hint="eastAsia" w:ascii="仿宋_GB2312" w:hAnsi="仿宋" w:eastAsia="仿宋_GB2312" w:cs="Times New Roman"/>
          <w:sz w:val="32"/>
          <w:szCs w:val="32"/>
        </w:rPr>
      </w:pPr>
      <w:r>
        <w:rPr>
          <w:rFonts w:hint="eastAsia" w:ascii="仿宋_GB2312" w:hAnsi="仿宋" w:eastAsia="仿宋_GB2312" w:cs="Times New Roman"/>
          <w:sz w:val="32"/>
          <w:szCs w:val="32"/>
        </w:rPr>
        <w:t>2023年单位无非财政拨款收入。</w:t>
      </w:r>
    </w:p>
    <w:p>
      <w:pPr>
        <w:snapToGrid w:val="0"/>
        <w:spacing w:line="520" w:lineRule="exact"/>
        <w:ind w:firstLine="643" w:firstLineChars="200"/>
        <w:rPr>
          <w:rFonts w:hint="eastAsia" w:ascii="楷体_GB2312" w:hAnsi="仿宋" w:eastAsia="楷体_GB2312" w:cs="Times New Roman"/>
          <w:b/>
          <w:sz w:val="32"/>
          <w:szCs w:val="32"/>
        </w:rPr>
      </w:pPr>
      <w:r>
        <w:rPr>
          <w:rFonts w:hint="eastAsia" w:ascii="楷体_GB2312" w:hAnsi="仿宋" w:eastAsia="楷体_GB2312" w:cs="Times New Roman"/>
          <w:b/>
          <w:sz w:val="32"/>
          <w:szCs w:val="32"/>
        </w:rPr>
        <w:t>（三）年末结转和结余情况。</w:t>
      </w:r>
    </w:p>
    <w:bookmarkEnd w:id="1"/>
    <w:p>
      <w:pPr>
        <w:autoSpaceDE w:val="0"/>
        <w:autoSpaceDN w:val="0"/>
        <w:adjustRightInd w:val="0"/>
        <w:spacing w:line="520" w:lineRule="exact"/>
        <w:ind w:firstLine="643"/>
        <w:rPr>
          <w:rFonts w:hint="eastAsia" w:ascii="仿宋_GB2312" w:hAnsi="仿宋_GB2312" w:eastAsia="仿宋_GB2312" w:cs="仿宋_GB2312"/>
          <w:sz w:val="32"/>
          <w:szCs w:val="32"/>
        </w:rPr>
      </w:pPr>
      <w:bookmarkStart w:id="4" w:name="YS060103"/>
      <w:r>
        <w:rPr>
          <w:rFonts w:hint="eastAsia" w:ascii="仿宋_GB2312" w:hAnsi="仿宋_GB2312" w:eastAsia="仿宋_GB2312" w:cs="仿宋_GB2312"/>
          <w:sz w:val="32"/>
          <w:szCs w:val="32"/>
        </w:rPr>
        <w:t>2023年，本单位年末结转和结余资金0元，比上年增减0元，增加下降0%。</w:t>
      </w:r>
    </w:p>
    <w:tbl>
      <w:tblPr>
        <w:tblStyle w:val="12"/>
        <w:tblW w:w="8478" w:type="dxa"/>
        <w:tblInd w:w="93" w:type="dxa"/>
        <w:tblLayout w:type="autofit"/>
        <w:tblCellMar>
          <w:top w:w="0" w:type="dxa"/>
          <w:left w:w="108" w:type="dxa"/>
          <w:bottom w:w="0" w:type="dxa"/>
          <w:right w:w="108" w:type="dxa"/>
        </w:tblCellMar>
      </w:tblPr>
      <w:tblGrid>
        <w:gridCol w:w="2035"/>
        <w:gridCol w:w="686"/>
        <w:gridCol w:w="1715"/>
        <w:gridCol w:w="1568"/>
        <w:gridCol w:w="1532"/>
        <w:gridCol w:w="942"/>
      </w:tblGrid>
      <w:tr>
        <w:tblPrEx>
          <w:tblCellMar>
            <w:top w:w="0" w:type="dxa"/>
            <w:left w:w="108" w:type="dxa"/>
            <w:bottom w:w="0" w:type="dxa"/>
            <w:right w:w="108" w:type="dxa"/>
          </w:tblCellMar>
        </w:tblPrEx>
        <w:trPr>
          <w:trHeight w:val="312" w:hRule="atLeast"/>
        </w:trPr>
        <w:tc>
          <w:tcPr>
            <w:tcW w:w="2035" w:type="dxa"/>
            <w:vMerge w:val="restart"/>
            <w:tcBorders>
              <w:top w:val="single" w:color="000000" w:sz="4" w:space="0"/>
              <w:left w:val="single" w:color="000000" w:sz="4" w:space="0"/>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eastAsia" w:ascii="宋体" w:hAnsi="宋体" w:eastAsia="宋体" w:cs="Arial"/>
                <w:color w:val="000000"/>
              </w:rPr>
              <w:t>指</w:t>
            </w:r>
            <w:r>
              <w:rPr>
                <w:rFonts w:hint="default" w:ascii="宋体" w:hAnsi="宋体" w:eastAsia="宋体" w:cs="Arial"/>
                <w:color w:val="000000"/>
              </w:rPr>
              <w:t xml:space="preserve">    </w:t>
            </w:r>
            <w:r>
              <w:rPr>
                <w:rFonts w:hint="eastAsia" w:ascii="宋体" w:hAnsi="宋体" w:eastAsia="宋体" w:cs="Arial"/>
                <w:color w:val="000000"/>
              </w:rPr>
              <w:t>标</w:t>
            </w:r>
          </w:p>
        </w:tc>
        <w:tc>
          <w:tcPr>
            <w:tcW w:w="686" w:type="dxa"/>
            <w:vMerge w:val="restart"/>
            <w:tcBorders>
              <w:top w:val="single" w:color="000000" w:sz="4" w:space="0"/>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eastAsia" w:ascii="宋体" w:hAnsi="宋体" w:eastAsia="宋体" w:cs="Arial"/>
                <w:color w:val="000000"/>
              </w:rPr>
              <w:t>行次</w:t>
            </w:r>
          </w:p>
        </w:tc>
        <w:tc>
          <w:tcPr>
            <w:tcW w:w="1715" w:type="dxa"/>
            <w:vMerge w:val="restart"/>
            <w:tcBorders>
              <w:top w:val="single" w:color="000000" w:sz="4" w:space="0"/>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eastAsia" w:ascii="宋体" w:hAnsi="宋体" w:eastAsia="宋体" w:cs="Arial"/>
                <w:color w:val="000000"/>
              </w:rPr>
              <w:t>本年度</w:t>
            </w:r>
          </w:p>
        </w:tc>
        <w:tc>
          <w:tcPr>
            <w:tcW w:w="1568" w:type="dxa"/>
            <w:vMerge w:val="restart"/>
            <w:tcBorders>
              <w:top w:val="single" w:color="000000" w:sz="4" w:space="0"/>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eastAsia" w:ascii="宋体" w:hAnsi="宋体" w:eastAsia="宋体" w:cs="Arial"/>
                <w:color w:val="000000"/>
              </w:rPr>
              <w:t>上年度</w:t>
            </w:r>
          </w:p>
        </w:tc>
        <w:tc>
          <w:tcPr>
            <w:tcW w:w="1532" w:type="dxa"/>
            <w:vMerge w:val="restart"/>
            <w:tcBorders>
              <w:top w:val="single" w:color="000000" w:sz="4" w:space="0"/>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eastAsia" w:ascii="宋体" w:hAnsi="宋体" w:eastAsia="宋体" w:cs="Arial"/>
                <w:color w:val="000000"/>
              </w:rPr>
              <w:t>比上年增减</w:t>
            </w:r>
          </w:p>
        </w:tc>
        <w:tc>
          <w:tcPr>
            <w:tcW w:w="942" w:type="dxa"/>
            <w:vMerge w:val="restart"/>
            <w:tcBorders>
              <w:top w:val="single" w:color="000000" w:sz="4" w:space="0"/>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eastAsia" w:ascii="宋体" w:hAnsi="宋体" w:eastAsia="宋体" w:cs="Arial"/>
                <w:color w:val="000000"/>
              </w:rPr>
              <w:t>增减％</w:t>
            </w:r>
          </w:p>
        </w:tc>
      </w:tr>
      <w:tr>
        <w:tblPrEx>
          <w:tblCellMar>
            <w:top w:w="0" w:type="dxa"/>
            <w:left w:w="108" w:type="dxa"/>
            <w:bottom w:w="0" w:type="dxa"/>
            <w:right w:w="108" w:type="dxa"/>
          </w:tblCellMar>
        </w:tblPrEx>
        <w:trPr>
          <w:trHeight w:val="312" w:hRule="atLeast"/>
        </w:trPr>
        <w:tc>
          <w:tcPr>
            <w:tcW w:w="2035" w:type="dxa"/>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suppressLineNumbers w:val="0"/>
              <w:spacing w:before="0" w:beforeAutospacing="0" w:after="0" w:afterAutospacing="0"/>
              <w:ind w:left="0" w:right="0"/>
              <w:rPr>
                <w:rFonts w:hint="default" w:ascii="宋体" w:hAnsi="Times New Roman" w:eastAsia="宋体" w:cs="Arial"/>
                <w:color w:val="000000"/>
              </w:rPr>
            </w:pPr>
          </w:p>
        </w:tc>
        <w:tc>
          <w:tcPr>
            <w:tcW w:w="686" w:type="dxa"/>
            <w:vMerge w:val="continue"/>
            <w:tcBorders>
              <w:top w:val="single" w:color="000000" w:sz="4" w:space="0"/>
              <w:left w:val="nil"/>
              <w:bottom w:val="single" w:color="000000" w:sz="4" w:space="0"/>
              <w:right w:val="single" w:color="000000" w:sz="4" w:space="0"/>
            </w:tcBorders>
            <w:noWrap w:val="0"/>
            <w:vAlign w:val="center"/>
          </w:tcPr>
          <w:p>
            <w:pPr>
              <w:keepNext w:val="0"/>
              <w:keepLines w:val="0"/>
              <w:suppressLineNumbers w:val="0"/>
              <w:spacing w:before="0" w:beforeAutospacing="0" w:after="0" w:afterAutospacing="0"/>
              <w:ind w:left="0" w:right="0"/>
              <w:rPr>
                <w:rFonts w:hint="default" w:ascii="宋体" w:hAnsi="Times New Roman" w:eastAsia="宋体" w:cs="Arial"/>
                <w:color w:val="000000"/>
              </w:rPr>
            </w:pPr>
          </w:p>
        </w:tc>
        <w:tc>
          <w:tcPr>
            <w:tcW w:w="1715" w:type="dxa"/>
            <w:vMerge w:val="continue"/>
            <w:tcBorders>
              <w:top w:val="single" w:color="000000" w:sz="4" w:space="0"/>
              <w:left w:val="nil"/>
              <w:bottom w:val="single" w:color="000000" w:sz="4" w:space="0"/>
              <w:right w:val="single" w:color="000000" w:sz="4" w:space="0"/>
            </w:tcBorders>
            <w:noWrap w:val="0"/>
            <w:vAlign w:val="center"/>
          </w:tcPr>
          <w:p>
            <w:pPr>
              <w:keepNext w:val="0"/>
              <w:keepLines w:val="0"/>
              <w:suppressLineNumbers w:val="0"/>
              <w:spacing w:before="0" w:beforeAutospacing="0" w:after="0" w:afterAutospacing="0"/>
              <w:ind w:left="0" w:right="0"/>
              <w:rPr>
                <w:rFonts w:hint="default" w:ascii="宋体" w:hAnsi="Times New Roman" w:eastAsia="宋体" w:cs="Arial"/>
                <w:color w:val="000000"/>
              </w:rPr>
            </w:pPr>
          </w:p>
        </w:tc>
        <w:tc>
          <w:tcPr>
            <w:tcW w:w="1568" w:type="dxa"/>
            <w:vMerge w:val="continue"/>
            <w:tcBorders>
              <w:top w:val="single" w:color="000000" w:sz="4" w:space="0"/>
              <w:left w:val="nil"/>
              <w:bottom w:val="single" w:color="000000" w:sz="4" w:space="0"/>
              <w:right w:val="single" w:color="000000" w:sz="4" w:space="0"/>
            </w:tcBorders>
            <w:noWrap w:val="0"/>
            <w:vAlign w:val="center"/>
          </w:tcPr>
          <w:p>
            <w:pPr>
              <w:keepNext w:val="0"/>
              <w:keepLines w:val="0"/>
              <w:suppressLineNumbers w:val="0"/>
              <w:spacing w:before="0" w:beforeAutospacing="0" w:after="0" w:afterAutospacing="0"/>
              <w:ind w:left="0" w:right="0"/>
              <w:rPr>
                <w:rFonts w:hint="default" w:ascii="宋体" w:hAnsi="Times New Roman" w:eastAsia="宋体" w:cs="Arial"/>
                <w:color w:val="000000"/>
              </w:rPr>
            </w:pPr>
          </w:p>
        </w:tc>
        <w:tc>
          <w:tcPr>
            <w:tcW w:w="1532" w:type="dxa"/>
            <w:vMerge w:val="continue"/>
            <w:tcBorders>
              <w:top w:val="single" w:color="000000" w:sz="4" w:space="0"/>
              <w:left w:val="nil"/>
              <w:bottom w:val="single" w:color="000000" w:sz="4" w:space="0"/>
              <w:right w:val="single" w:color="000000" w:sz="4" w:space="0"/>
            </w:tcBorders>
            <w:noWrap w:val="0"/>
            <w:vAlign w:val="center"/>
          </w:tcPr>
          <w:p>
            <w:pPr>
              <w:keepNext w:val="0"/>
              <w:keepLines w:val="0"/>
              <w:suppressLineNumbers w:val="0"/>
              <w:spacing w:before="0" w:beforeAutospacing="0" w:after="0" w:afterAutospacing="0"/>
              <w:ind w:left="0" w:right="0"/>
              <w:rPr>
                <w:rFonts w:hint="default" w:ascii="宋体" w:hAnsi="Times New Roman" w:eastAsia="宋体" w:cs="Arial"/>
                <w:color w:val="000000"/>
              </w:rPr>
            </w:pPr>
          </w:p>
        </w:tc>
        <w:tc>
          <w:tcPr>
            <w:tcW w:w="942" w:type="dxa"/>
            <w:vMerge w:val="continue"/>
            <w:tcBorders>
              <w:top w:val="single" w:color="000000" w:sz="4" w:space="0"/>
              <w:left w:val="nil"/>
              <w:bottom w:val="single" w:color="000000" w:sz="4" w:space="0"/>
              <w:right w:val="single" w:color="000000" w:sz="4" w:space="0"/>
            </w:tcBorders>
            <w:noWrap w:val="0"/>
            <w:vAlign w:val="center"/>
          </w:tcPr>
          <w:p>
            <w:pPr>
              <w:keepNext w:val="0"/>
              <w:keepLines w:val="0"/>
              <w:suppressLineNumbers w:val="0"/>
              <w:spacing w:before="0" w:beforeAutospacing="0" w:after="0" w:afterAutospacing="0"/>
              <w:ind w:left="0" w:right="0"/>
              <w:rPr>
                <w:rFonts w:hint="default" w:ascii="宋体" w:hAnsi="Times New Roman" w:eastAsia="宋体" w:cs="Arial"/>
                <w:color w:val="000000"/>
              </w:rPr>
            </w:pPr>
          </w:p>
        </w:tc>
      </w:tr>
      <w:tr>
        <w:tblPrEx>
          <w:tblCellMar>
            <w:top w:w="0" w:type="dxa"/>
            <w:left w:w="108" w:type="dxa"/>
            <w:bottom w:w="0" w:type="dxa"/>
            <w:right w:w="108" w:type="dxa"/>
          </w:tblCellMar>
        </w:tblPrEx>
        <w:trPr>
          <w:trHeight w:val="422" w:hRule="atLeast"/>
        </w:trPr>
        <w:tc>
          <w:tcPr>
            <w:tcW w:w="2035" w:type="dxa"/>
            <w:tcBorders>
              <w:top w:val="nil"/>
              <w:left w:val="single" w:color="000000" w:sz="4" w:space="0"/>
              <w:bottom w:val="single" w:color="000000" w:sz="4" w:space="0"/>
              <w:right w:val="single" w:color="000000" w:sz="4" w:space="0"/>
            </w:tcBorders>
            <w:shd w:val="clear" w:color="FFFFFF" w:fill="C0C0C0"/>
            <w:noWrap w:val="0"/>
            <w:vAlign w:val="center"/>
          </w:tcPr>
          <w:p>
            <w:pPr>
              <w:keepNext w:val="0"/>
              <w:keepLines w:val="0"/>
              <w:suppressLineNumbers w:val="0"/>
              <w:spacing w:before="0" w:beforeAutospacing="0" w:after="240" w:afterAutospacing="0"/>
              <w:ind w:left="0" w:right="0"/>
              <w:jc w:val="center"/>
              <w:rPr>
                <w:rFonts w:hint="default" w:ascii="宋体" w:hAnsi="Times New Roman" w:eastAsia="宋体" w:cs="Arial"/>
                <w:color w:val="000000"/>
              </w:rPr>
            </w:pPr>
            <w:r>
              <w:rPr>
                <w:rFonts w:hint="eastAsia" w:ascii="宋体" w:hAnsi="宋体" w:eastAsia="宋体" w:cs="Arial"/>
                <w:color w:val="000000"/>
              </w:rPr>
              <w:t>栏</w:t>
            </w:r>
            <w:r>
              <w:rPr>
                <w:rFonts w:hint="default" w:ascii="宋体" w:hAnsi="宋体" w:eastAsia="宋体" w:cs="Arial"/>
                <w:color w:val="000000"/>
              </w:rPr>
              <w:t xml:space="preserve">    </w:t>
            </w:r>
            <w:r>
              <w:rPr>
                <w:rFonts w:hint="eastAsia" w:ascii="宋体" w:hAnsi="宋体" w:eastAsia="宋体" w:cs="Arial"/>
                <w:color w:val="000000"/>
              </w:rPr>
              <w:t>次</w:t>
            </w:r>
          </w:p>
        </w:tc>
        <w:tc>
          <w:tcPr>
            <w:tcW w:w="686" w:type="dxa"/>
            <w:vMerge w:val="continue"/>
            <w:tcBorders>
              <w:top w:val="single" w:color="000000" w:sz="4" w:space="0"/>
              <w:left w:val="nil"/>
              <w:bottom w:val="single" w:color="000000" w:sz="4" w:space="0"/>
              <w:right w:val="single" w:color="000000" w:sz="4" w:space="0"/>
            </w:tcBorders>
            <w:shd w:val="clear" w:color="auto" w:fill="auto"/>
            <w:noWrap w:val="0"/>
            <w:vAlign w:val="center"/>
          </w:tcPr>
          <w:p>
            <w:pPr>
              <w:keepNext w:val="0"/>
              <w:keepLines w:val="0"/>
              <w:suppressLineNumbers w:val="0"/>
              <w:spacing w:before="0" w:beforeAutospacing="0" w:after="0" w:afterAutospacing="0"/>
              <w:ind w:left="0" w:right="0"/>
              <w:rPr>
                <w:rFonts w:hint="default" w:ascii="宋体" w:hAnsi="Times New Roman" w:eastAsia="宋体" w:cs="Arial"/>
                <w:color w:val="000000"/>
              </w:rPr>
            </w:pPr>
          </w:p>
        </w:tc>
        <w:tc>
          <w:tcPr>
            <w:tcW w:w="1715" w:type="dxa"/>
            <w:tcBorders>
              <w:top w:val="nil"/>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default" w:ascii="宋体" w:hAnsi="宋体" w:eastAsia="宋体" w:cs="Arial"/>
                <w:color w:val="000000"/>
              </w:rPr>
              <w:t>1</w:t>
            </w:r>
          </w:p>
        </w:tc>
        <w:tc>
          <w:tcPr>
            <w:tcW w:w="1568" w:type="dxa"/>
            <w:tcBorders>
              <w:top w:val="nil"/>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default" w:ascii="宋体" w:hAnsi="宋体" w:eastAsia="宋体" w:cs="Arial"/>
                <w:color w:val="000000"/>
              </w:rPr>
              <w:t>2</w:t>
            </w:r>
          </w:p>
        </w:tc>
        <w:tc>
          <w:tcPr>
            <w:tcW w:w="1532" w:type="dxa"/>
            <w:tcBorders>
              <w:top w:val="nil"/>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default" w:ascii="宋体" w:hAnsi="宋体" w:eastAsia="宋体" w:cs="Arial"/>
                <w:color w:val="000000"/>
              </w:rPr>
              <w:t>3</w:t>
            </w:r>
          </w:p>
        </w:tc>
        <w:tc>
          <w:tcPr>
            <w:tcW w:w="942" w:type="dxa"/>
            <w:tcBorders>
              <w:top w:val="nil"/>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default" w:ascii="宋体" w:hAnsi="宋体" w:eastAsia="宋体" w:cs="Arial"/>
                <w:color w:val="000000"/>
              </w:rPr>
              <w:t>4</w:t>
            </w:r>
          </w:p>
        </w:tc>
      </w:tr>
      <w:tr>
        <w:tblPrEx>
          <w:tblCellMar>
            <w:top w:w="0" w:type="dxa"/>
            <w:left w:w="108" w:type="dxa"/>
            <w:bottom w:w="0" w:type="dxa"/>
            <w:right w:w="108" w:type="dxa"/>
          </w:tblCellMar>
        </w:tblPrEx>
        <w:trPr>
          <w:trHeight w:val="346" w:hRule="atLeast"/>
        </w:trPr>
        <w:tc>
          <w:tcPr>
            <w:tcW w:w="2035" w:type="dxa"/>
            <w:tcBorders>
              <w:top w:val="nil"/>
              <w:left w:val="single" w:color="000000" w:sz="4" w:space="0"/>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3.年末结转和结余</w:t>
            </w:r>
          </w:p>
        </w:tc>
        <w:tc>
          <w:tcPr>
            <w:tcW w:w="686" w:type="dxa"/>
            <w:tcBorders>
              <w:top w:val="nil"/>
              <w:left w:val="nil"/>
              <w:bottom w:val="single" w:color="000000" w:sz="8" w:space="0"/>
              <w:right w:val="single" w:color="000000" w:sz="4" w:space="0"/>
            </w:tcBorders>
            <w:noWrap/>
            <w:vAlign w:val="center"/>
          </w:tcPr>
          <w:p>
            <w:pPr>
              <w:keepNext w:val="0"/>
              <w:keepLines w:val="0"/>
              <w:suppressLineNumbers w:val="0"/>
              <w:adjustRightInd w:val="0"/>
              <w:snapToGrid w:val="0"/>
              <w:spacing w:before="0" w:beforeAutospacing="0" w:after="200" w:afterAutospacing="0"/>
              <w:ind w:left="0" w:right="0"/>
              <w:jc w:val="center"/>
              <w:rPr>
                <w:rFonts w:hint="default" w:ascii="Tahoma" w:hAnsi="Tahoma" w:eastAsia="微软雅黑" w:cs="Arial"/>
                <w:color w:val="000000"/>
              </w:rPr>
            </w:pPr>
            <w:r>
              <w:rPr>
                <w:rFonts w:hint="default" w:ascii="Tahoma" w:hAnsi="Tahoma" w:eastAsia="微软雅黑" w:cs="Arial"/>
                <w:color w:val="000000"/>
              </w:rPr>
              <w:t>16</w:t>
            </w:r>
          </w:p>
        </w:tc>
        <w:tc>
          <w:tcPr>
            <w:tcW w:w="1715" w:type="dxa"/>
            <w:tcBorders>
              <w:top w:val="nil"/>
              <w:left w:val="nil"/>
              <w:bottom w:val="single" w:color="000000" w:sz="8" w:space="0"/>
              <w:right w:val="single" w:color="000000" w:sz="4" w:space="0"/>
            </w:tcBorders>
            <w:noWrap/>
            <w:vAlign w:val="top"/>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rPr>
            </w:pPr>
            <w:r>
              <w:rPr>
                <w:rFonts w:hint="default" w:ascii="Times New Roman" w:hAnsi="Times New Roman" w:eastAsia="宋体" w:cs="Times New Roman"/>
              </w:rPr>
              <w:t>0.00</w:t>
            </w:r>
          </w:p>
        </w:tc>
        <w:tc>
          <w:tcPr>
            <w:tcW w:w="1568" w:type="dxa"/>
            <w:tcBorders>
              <w:top w:val="nil"/>
              <w:left w:val="nil"/>
              <w:bottom w:val="single" w:color="000000" w:sz="8" w:space="0"/>
              <w:right w:val="single" w:color="000000" w:sz="4" w:space="0"/>
            </w:tcBorders>
            <w:noWrap/>
            <w:vAlign w:val="top"/>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rPr>
            </w:pPr>
            <w:r>
              <w:rPr>
                <w:rFonts w:hint="default" w:ascii="Times New Roman" w:hAnsi="Times New Roman" w:eastAsia="宋体" w:cs="Times New Roman"/>
              </w:rPr>
              <w:t>0.00</w:t>
            </w:r>
          </w:p>
        </w:tc>
        <w:tc>
          <w:tcPr>
            <w:tcW w:w="1532" w:type="dxa"/>
            <w:tcBorders>
              <w:top w:val="nil"/>
              <w:left w:val="nil"/>
              <w:bottom w:val="single" w:color="000000" w:sz="8" w:space="0"/>
              <w:right w:val="single" w:color="000000" w:sz="4" w:space="0"/>
            </w:tcBorders>
            <w:noWrap/>
            <w:vAlign w:val="top"/>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rPr>
            </w:pPr>
            <w:r>
              <w:rPr>
                <w:rFonts w:hint="default" w:ascii="Times New Roman" w:hAnsi="Times New Roman" w:eastAsia="宋体" w:cs="Times New Roman"/>
              </w:rPr>
              <w:t>0.00</w:t>
            </w:r>
          </w:p>
        </w:tc>
        <w:tc>
          <w:tcPr>
            <w:tcW w:w="942" w:type="dxa"/>
            <w:tcBorders>
              <w:top w:val="nil"/>
              <w:left w:val="nil"/>
              <w:bottom w:val="single" w:color="000000" w:sz="8" w:space="0"/>
              <w:right w:val="single" w:color="000000" w:sz="4" w:space="0"/>
            </w:tcBorders>
            <w:noWrap/>
            <w:vAlign w:val="top"/>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rPr>
            </w:pPr>
            <w:r>
              <w:rPr>
                <w:rFonts w:hint="default" w:ascii="Times New Roman" w:hAnsi="Times New Roman" w:eastAsia="宋体" w:cs="Times New Roman"/>
              </w:rPr>
              <w:t>0.00</w:t>
            </w:r>
          </w:p>
        </w:tc>
      </w:tr>
      <w:tr>
        <w:tblPrEx>
          <w:tblCellMar>
            <w:top w:w="0" w:type="dxa"/>
            <w:left w:w="108" w:type="dxa"/>
            <w:bottom w:w="0" w:type="dxa"/>
            <w:right w:w="108" w:type="dxa"/>
          </w:tblCellMar>
        </w:tblPrEx>
        <w:trPr>
          <w:trHeight w:val="485" w:hRule="atLeast"/>
        </w:trPr>
        <w:tc>
          <w:tcPr>
            <w:tcW w:w="2035" w:type="dxa"/>
            <w:tcBorders>
              <w:top w:val="nil"/>
              <w:left w:val="single" w:color="000000" w:sz="4" w:space="0"/>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其中：一般公共预算财政拨款</w:t>
            </w:r>
          </w:p>
        </w:tc>
        <w:tc>
          <w:tcPr>
            <w:tcW w:w="686" w:type="dxa"/>
            <w:tcBorders>
              <w:top w:val="nil"/>
              <w:left w:val="nil"/>
              <w:bottom w:val="single" w:color="000000" w:sz="8" w:space="0"/>
              <w:right w:val="single" w:color="000000" w:sz="4" w:space="0"/>
            </w:tcBorders>
            <w:noWrap/>
            <w:vAlign w:val="center"/>
          </w:tcPr>
          <w:p>
            <w:pPr>
              <w:keepNext w:val="0"/>
              <w:keepLines w:val="0"/>
              <w:suppressLineNumbers w:val="0"/>
              <w:adjustRightInd w:val="0"/>
              <w:snapToGrid w:val="0"/>
              <w:spacing w:before="0" w:beforeAutospacing="0" w:after="200" w:afterAutospacing="0"/>
              <w:ind w:left="0" w:right="0"/>
              <w:jc w:val="center"/>
              <w:rPr>
                <w:rFonts w:hint="default" w:ascii="Tahoma" w:hAnsi="Tahoma" w:eastAsia="微软雅黑" w:cs="Arial"/>
                <w:color w:val="000000"/>
              </w:rPr>
            </w:pPr>
            <w:r>
              <w:rPr>
                <w:rFonts w:hint="default" w:ascii="Tahoma" w:hAnsi="Tahoma" w:eastAsia="微软雅黑" w:cs="Arial"/>
                <w:color w:val="000000"/>
              </w:rPr>
              <w:t>17</w:t>
            </w:r>
          </w:p>
        </w:tc>
        <w:tc>
          <w:tcPr>
            <w:tcW w:w="1715" w:type="dxa"/>
            <w:tcBorders>
              <w:top w:val="nil"/>
              <w:left w:val="nil"/>
              <w:bottom w:val="single" w:color="000000" w:sz="8" w:space="0"/>
              <w:right w:val="single" w:color="000000" w:sz="4" w:space="0"/>
            </w:tcBorders>
            <w:noWrap/>
            <w:vAlign w:val="top"/>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rPr>
            </w:pPr>
            <w:r>
              <w:rPr>
                <w:rFonts w:hint="default" w:ascii="Times New Roman" w:hAnsi="Times New Roman" w:eastAsia="宋体" w:cs="Times New Roman"/>
              </w:rPr>
              <w:t>0.00</w:t>
            </w:r>
          </w:p>
        </w:tc>
        <w:tc>
          <w:tcPr>
            <w:tcW w:w="1568" w:type="dxa"/>
            <w:tcBorders>
              <w:top w:val="nil"/>
              <w:left w:val="nil"/>
              <w:bottom w:val="single" w:color="000000" w:sz="8" w:space="0"/>
              <w:right w:val="single" w:color="000000" w:sz="4" w:space="0"/>
            </w:tcBorders>
            <w:noWrap/>
            <w:vAlign w:val="top"/>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rPr>
            </w:pPr>
            <w:r>
              <w:rPr>
                <w:rFonts w:hint="default" w:ascii="Times New Roman" w:hAnsi="Times New Roman" w:eastAsia="宋体" w:cs="Times New Roman"/>
              </w:rPr>
              <w:t>0.00</w:t>
            </w:r>
          </w:p>
        </w:tc>
        <w:tc>
          <w:tcPr>
            <w:tcW w:w="1532" w:type="dxa"/>
            <w:tcBorders>
              <w:top w:val="nil"/>
              <w:left w:val="nil"/>
              <w:bottom w:val="single" w:color="000000" w:sz="8" w:space="0"/>
              <w:right w:val="single" w:color="000000" w:sz="4" w:space="0"/>
            </w:tcBorders>
            <w:noWrap/>
            <w:vAlign w:val="top"/>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rPr>
            </w:pPr>
            <w:r>
              <w:rPr>
                <w:rFonts w:hint="default" w:ascii="Times New Roman" w:hAnsi="Times New Roman" w:eastAsia="宋体" w:cs="Times New Roman"/>
              </w:rPr>
              <w:t>0.00</w:t>
            </w:r>
          </w:p>
        </w:tc>
        <w:tc>
          <w:tcPr>
            <w:tcW w:w="942" w:type="dxa"/>
            <w:tcBorders>
              <w:top w:val="nil"/>
              <w:left w:val="nil"/>
              <w:bottom w:val="single" w:color="000000" w:sz="8" w:space="0"/>
              <w:right w:val="single" w:color="000000" w:sz="4" w:space="0"/>
            </w:tcBorders>
            <w:noWrap/>
            <w:vAlign w:val="top"/>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rPr>
            </w:pPr>
            <w:r>
              <w:rPr>
                <w:rFonts w:hint="default" w:ascii="Times New Roman" w:hAnsi="Times New Roman" w:eastAsia="宋体" w:cs="Times New Roman"/>
              </w:rPr>
              <w:t>0.00</w:t>
            </w:r>
          </w:p>
        </w:tc>
      </w:tr>
      <w:tr>
        <w:tblPrEx>
          <w:tblCellMar>
            <w:top w:w="0" w:type="dxa"/>
            <w:left w:w="108" w:type="dxa"/>
            <w:bottom w:w="0" w:type="dxa"/>
            <w:right w:w="108" w:type="dxa"/>
          </w:tblCellMar>
        </w:tblPrEx>
        <w:trPr>
          <w:trHeight w:val="485" w:hRule="atLeast"/>
        </w:trPr>
        <w:tc>
          <w:tcPr>
            <w:tcW w:w="2035" w:type="dxa"/>
            <w:tcBorders>
              <w:top w:val="nil"/>
              <w:left w:val="single" w:color="000000" w:sz="4" w:space="0"/>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政府性基金预算财政拨款</w:t>
            </w:r>
          </w:p>
        </w:tc>
        <w:tc>
          <w:tcPr>
            <w:tcW w:w="686" w:type="dxa"/>
            <w:tcBorders>
              <w:top w:val="nil"/>
              <w:left w:val="nil"/>
              <w:bottom w:val="single" w:color="000000" w:sz="8" w:space="0"/>
              <w:right w:val="single" w:color="000000" w:sz="4" w:space="0"/>
            </w:tcBorders>
            <w:noWrap/>
            <w:vAlign w:val="center"/>
          </w:tcPr>
          <w:p>
            <w:pPr>
              <w:keepNext w:val="0"/>
              <w:keepLines w:val="0"/>
              <w:suppressLineNumbers w:val="0"/>
              <w:adjustRightInd w:val="0"/>
              <w:snapToGrid w:val="0"/>
              <w:spacing w:before="0" w:beforeAutospacing="0" w:after="200" w:afterAutospacing="0"/>
              <w:ind w:left="0" w:right="0"/>
              <w:jc w:val="center"/>
              <w:rPr>
                <w:rFonts w:hint="default" w:ascii="Tahoma" w:hAnsi="Tahoma" w:eastAsia="微软雅黑" w:cs="Arial"/>
                <w:color w:val="000000"/>
              </w:rPr>
            </w:pPr>
            <w:r>
              <w:rPr>
                <w:rFonts w:hint="default" w:ascii="Tahoma" w:hAnsi="Tahoma" w:eastAsia="微软雅黑" w:cs="Arial"/>
                <w:color w:val="000000"/>
              </w:rPr>
              <w:t>18</w:t>
            </w:r>
          </w:p>
        </w:tc>
        <w:tc>
          <w:tcPr>
            <w:tcW w:w="1715" w:type="dxa"/>
            <w:tcBorders>
              <w:top w:val="nil"/>
              <w:left w:val="nil"/>
              <w:bottom w:val="single" w:color="000000" w:sz="8" w:space="0"/>
              <w:right w:val="single" w:color="000000" w:sz="4" w:space="0"/>
            </w:tcBorders>
            <w:noWrap/>
            <w:vAlign w:val="top"/>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rPr>
            </w:pPr>
            <w:r>
              <w:rPr>
                <w:rFonts w:hint="default" w:ascii="Times New Roman" w:hAnsi="Times New Roman" w:eastAsia="宋体" w:cs="Times New Roman"/>
              </w:rPr>
              <w:t>0.00</w:t>
            </w:r>
          </w:p>
        </w:tc>
        <w:tc>
          <w:tcPr>
            <w:tcW w:w="1568" w:type="dxa"/>
            <w:tcBorders>
              <w:top w:val="nil"/>
              <w:left w:val="nil"/>
              <w:bottom w:val="single" w:color="000000" w:sz="8" w:space="0"/>
              <w:right w:val="single" w:color="000000" w:sz="4" w:space="0"/>
            </w:tcBorders>
            <w:noWrap/>
            <w:vAlign w:val="top"/>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rPr>
            </w:pPr>
            <w:r>
              <w:rPr>
                <w:rFonts w:hint="default" w:ascii="Times New Roman" w:hAnsi="Times New Roman" w:eastAsia="宋体" w:cs="Times New Roman"/>
              </w:rPr>
              <w:t>0.00</w:t>
            </w:r>
          </w:p>
        </w:tc>
        <w:tc>
          <w:tcPr>
            <w:tcW w:w="1532" w:type="dxa"/>
            <w:tcBorders>
              <w:top w:val="nil"/>
              <w:left w:val="nil"/>
              <w:bottom w:val="single" w:color="000000" w:sz="8" w:space="0"/>
              <w:right w:val="single" w:color="000000" w:sz="4" w:space="0"/>
            </w:tcBorders>
            <w:noWrap/>
            <w:vAlign w:val="top"/>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rPr>
            </w:pPr>
            <w:r>
              <w:rPr>
                <w:rFonts w:hint="default" w:ascii="Times New Roman" w:hAnsi="Times New Roman" w:eastAsia="宋体" w:cs="Times New Roman"/>
              </w:rPr>
              <w:t>0.00</w:t>
            </w:r>
          </w:p>
        </w:tc>
        <w:tc>
          <w:tcPr>
            <w:tcW w:w="942" w:type="dxa"/>
            <w:tcBorders>
              <w:top w:val="nil"/>
              <w:left w:val="nil"/>
              <w:bottom w:val="single" w:color="000000" w:sz="8" w:space="0"/>
              <w:right w:val="single" w:color="000000" w:sz="4" w:space="0"/>
            </w:tcBorders>
            <w:noWrap/>
            <w:vAlign w:val="top"/>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rPr>
            </w:pPr>
            <w:r>
              <w:rPr>
                <w:rFonts w:hint="default" w:ascii="Times New Roman" w:hAnsi="Times New Roman" w:eastAsia="宋体" w:cs="Times New Roman"/>
              </w:rPr>
              <w:t>0.00</w:t>
            </w:r>
          </w:p>
        </w:tc>
      </w:tr>
      <w:tr>
        <w:tblPrEx>
          <w:tblCellMar>
            <w:top w:w="0" w:type="dxa"/>
            <w:left w:w="108" w:type="dxa"/>
            <w:bottom w:w="0" w:type="dxa"/>
            <w:right w:w="108" w:type="dxa"/>
          </w:tblCellMar>
        </w:tblPrEx>
        <w:trPr>
          <w:trHeight w:val="500" w:hRule="atLeast"/>
        </w:trPr>
        <w:tc>
          <w:tcPr>
            <w:tcW w:w="2035" w:type="dxa"/>
            <w:tcBorders>
              <w:top w:val="nil"/>
              <w:left w:val="single" w:color="000000" w:sz="4" w:space="0"/>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国有资本经营预算财政拨款</w:t>
            </w:r>
          </w:p>
        </w:tc>
        <w:tc>
          <w:tcPr>
            <w:tcW w:w="686" w:type="dxa"/>
            <w:tcBorders>
              <w:top w:val="nil"/>
              <w:left w:val="nil"/>
              <w:bottom w:val="single" w:color="000000" w:sz="8" w:space="0"/>
              <w:right w:val="single" w:color="000000" w:sz="4" w:space="0"/>
            </w:tcBorders>
            <w:noWrap/>
            <w:vAlign w:val="center"/>
          </w:tcPr>
          <w:p>
            <w:pPr>
              <w:keepNext w:val="0"/>
              <w:keepLines w:val="0"/>
              <w:suppressLineNumbers w:val="0"/>
              <w:adjustRightInd w:val="0"/>
              <w:snapToGrid w:val="0"/>
              <w:spacing w:before="0" w:beforeAutospacing="0" w:after="200" w:afterAutospacing="0"/>
              <w:ind w:left="0" w:right="0"/>
              <w:jc w:val="center"/>
              <w:rPr>
                <w:rFonts w:hint="default" w:ascii="Tahoma" w:hAnsi="Tahoma" w:eastAsia="微软雅黑" w:cs="Arial"/>
                <w:color w:val="000000"/>
              </w:rPr>
            </w:pPr>
            <w:r>
              <w:rPr>
                <w:rFonts w:hint="default" w:ascii="Tahoma" w:hAnsi="Tahoma" w:eastAsia="微软雅黑" w:cs="Arial"/>
                <w:color w:val="000000"/>
              </w:rPr>
              <w:t>19</w:t>
            </w:r>
          </w:p>
        </w:tc>
        <w:tc>
          <w:tcPr>
            <w:tcW w:w="1715" w:type="dxa"/>
            <w:tcBorders>
              <w:top w:val="nil"/>
              <w:left w:val="nil"/>
              <w:bottom w:val="single" w:color="000000" w:sz="8" w:space="0"/>
              <w:right w:val="single" w:color="000000" w:sz="4" w:space="0"/>
            </w:tcBorders>
            <w:noWrap/>
            <w:vAlign w:val="top"/>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rPr>
            </w:pPr>
            <w:r>
              <w:rPr>
                <w:rFonts w:hint="default" w:ascii="Times New Roman" w:hAnsi="Times New Roman" w:eastAsia="宋体" w:cs="Times New Roman"/>
              </w:rPr>
              <w:t>0.00</w:t>
            </w:r>
          </w:p>
        </w:tc>
        <w:tc>
          <w:tcPr>
            <w:tcW w:w="1568" w:type="dxa"/>
            <w:tcBorders>
              <w:top w:val="nil"/>
              <w:left w:val="nil"/>
              <w:bottom w:val="single" w:color="000000" w:sz="8" w:space="0"/>
              <w:right w:val="single" w:color="000000" w:sz="4" w:space="0"/>
            </w:tcBorders>
            <w:noWrap/>
            <w:vAlign w:val="top"/>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rPr>
            </w:pPr>
            <w:r>
              <w:rPr>
                <w:rFonts w:hint="default" w:ascii="Times New Roman" w:hAnsi="Times New Roman" w:eastAsia="宋体" w:cs="Times New Roman"/>
              </w:rPr>
              <w:t>0.00</w:t>
            </w:r>
          </w:p>
        </w:tc>
        <w:tc>
          <w:tcPr>
            <w:tcW w:w="1532" w:type="dxa"/>
            <w:tcBorders>
              <w:top w:val="nil"/>
              <w:left w:val="nil"/>
              <w:bottom w:val="single" w:color="000000" w:sz="8" w:space="0"/>
              <w:right w:val="single" w:color="000000" w:sz="4" w:space="0"/>
            </w:tcBorders>
            <w:noWrap/>
            <w:vAlign w:val="top"/>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rPr>
            </w:pPr>
            <w:r>
              <w:rPr>
                <w:rFonts w:hint="default" w:ascii="Times New Roman" w:hAnsi="Times New Roman" w:eastAsia="宋体" w:cs="Times New Roman"/>
              </w:rPr>
              <w:t>0.00</w:t>
            </w:r>
          </w:p>
        </w:tc>
        <w:tc>
          <w:tcPr>
            <w:tcW w:w="942" w:type="dxa"/>
            <w:tcBorders>
              <w:top w:val="nil"/>
              <w:left w:val="nil"/>
              <w:bottom w:val="single" w:color="000000" w:sz="8" w:space="0"/>
              <w:right w:val="single" w:color="000000" w:sz="4" w:space="0"/>
            </w:tcBorders>
            <w:noWrap/>
            <w:vAlign w:val="top"/>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rPr>
            </w:pPr>
            <w:r>
              <w:rPr>
                <w:rFonts w:hint="default" w:ascii="Times New Roman" w:hAnsi="Times New Roman" w:eastAsia="宋体" w:cs="Times New Roman"/>
              </w:rPr>
              <w:t>0.00</w:t>
            </w:r>
          </w:p>
        </w:tc>
      </w:tr>
    </w:tbl>
    <w:p>
      <w:pPr>
        <w:snapToGrid w:val="0"/>
        <w:spacing w:line="520" w:lineRule="exact"/>
        <w:ind w:firstLine="643" w:firstLineChars="200"/>
        <w:rPr>
          <w:rFonts w:hint="eastAsia" w:ascii="楷体_GB2312" w:hAnsi="仿宋" w:eastAsia="楷体_GB2312" w:cs="Times New Roman"/>
          <w:b/>
          <w:sz w:val="32"/>
          <w:szCs w:val="32"/>
        </w:rPr>
      </w:pPr>
      <w:r>
        <w:rPr>
          <w:rFonts w:hint="eastAsia" w:ascii="楷体_GB2312" w:hAnsi="仿宋" w:eastAsia="楷体_GB2312" w:cs="Times New Roman"/>
          <w:b/>
          <w:sz w:val="32"/>
          <w:szCs w:val="32"/>
        </w:rPr>
        <w:t>（四）与预算支出相关的其他指标分析。</w:t>
      </w:r>
    </w:p>
    <w:tbl>
      <w:tblPr>
        <w:tblStyle w:val="12"/>
        <w:tblW w:w="8537" w:type="dxa"/>
        <w:tblInd w:w="93" w:type="dxa"/>
        <w:tblLayout w:type="autofit"/>
        <w:tblCellMar>
          <w:top w:w="0" w:type="dxa"/>
          <w:left w:w="108" w:type="dxa"/>
          <w:bottom w:w="0" w:type="dxa"/>
          <w:right w:w="108" w:type="dxa"/>
        </w:tblCellMar>
      </w:tblPr>
      <w:tblGrid>
        <w:gridCol w:w="2049"/>
        <w:gridCol w:w="690"/>
        <w:gridCol w:w="1727"/>
        <w:gridCol w:w="1579"/>
        <w:gridCol w:w="1543"/>
        <w:gridCol w:w="949"/>
      </w:tblGrid>
      <w:tr>
        <w:tblPrEx>
          <w:tblCellMar>
            <w:top w:w="0" w:type="dxa"/>
            <w:left w:w="108" w:type="dxa"/>
            <w:bottom w:w="0" w:type="dxa"/>
            <w:right w:w="108" w:type="dxa"/>
          </w:tblCellMar>
        </w:tblPrEx>
        <w:trPr>
          <w:trHeight w:val="312" w:hRule="atLeast"/>
        </w:trPr>
        <w:tc>
          <w:tcPr>
            <w:tcW w:w="2049" w:type="dxa"/>
            <w:vMerge w:val="restart"/>
            <w:tcBorders>
              <w:top w:val="single" w:color="000000" w:sz="4" w:space="0"/>
              <w:left w:val="single" w:color="000000" w:sz="4" w:space="0"/>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eastAsia" w:ascii="宋体" w:hAnsi="宋体" w:eastAsia="宋体" w:cs="Arial"/>
                <w:color w:val="000000"/>
              </w:rPr>
              <w:t>指</w:t>
            </w:r>
            <w:r>
              <w:rPr>
                <w:rFonts w:hint="default" w:ascii="宋体" w:hAnsi="宋体" w:eastAsia="宋体" w:cs="Arial"/>
                <w:color w:val="000000"/>
              </w:rPr>
              <w:t xml:space="preserve">    </w:t>
            </w:r>
            <w:r>
              <w:rPr>
                <w:rFonts w:hint="eastAsia" w:ascii="宋体" w:hAnsi="宋体" w:eastAsia="宋体" w:cs="Arial"/>
                <w:color w:val="000000"/>
              </w:rPr>
              <w:t>标</w:t>
            </w:r>
          </w:p>
        </w:tc>
        <w:tc>
          <w:tcPr>
            <w:tcW w:w="690" w:type="dxa"/>
            <w:vMerge w:val="restart"/>
            <w:tcBorders>
              <w:top w:val="single" w:color="000000" w:sz="4" w:space="0"/>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eastAsia" w:ascii="宋体" w:hAnsi="宋体" w:eastAsia="宋体" w:cs="Arial"/>
                <w:color w:val="000000"/>
              </w:rPr>
              <w:t>行次</w:t>
            </w:r>
          </w:p>
        </w:tc>
        <w:tc>
          <w:tcPr>
            <w:tcW w:w="1727" w:type="dxa"/>
            <w:vMerge w:val="restart"/>
            <w:tcBorders>
              <w:top w:val="single" w:color="000000" w:sz="4" w:space="0"/>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eastAsia" w:ascii="宋体" w:hAnsi="宋体" w:eastAsia="宋体" w:cs="Arial"/>
                <w:color w:val="000000"/>
              </w:rPr>
              <w:t>本年度</w:t>
            </w:r>
          </w:p>
        </w:tc>
        <w:tc>
          <w:tcPr>
            <w:tcW w:w="1579" w:type="dxa"/>
            <w:vMerge w:val="restart"/>
            <w:tcBorders>
              <w:top w:val="single" w:color="000000" w:sz="4" w:space="0"/>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eastAsia" w:ascii="宋体" w:hAnsi="宋体" w:eastAsia="宋体" w:cs="Arial"/>
                <w:color w:val="000000"/>
              </w:rPr>
              <w:t>上年度</w:t>
            </w:r>
          </w:p>
        </w:tc>
        <w:tc>
          <w:tcPr>
            <w:tcW w:w="1543" w:type="dxa"/>
            <w:vMerge w:val="restart"/>
            <w:tcBorders>
              <w:top w:val="single" w:color="000000" w:sz="4" w:space="0"/>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eastAsia" w:ascii="宋体" w:hAnsi="宋体" w:eastAsia="宋体" w:cs="Arial"/>
                <w:color w:val="000000"/>
              </w:rPr>
              <w:t>比上年增减</w:t>
            </w:r>
          </w:p>
        </w:tc>
        <w:tc>
          <w:tcPr>
            <w:tcW w:w="949" w:type="dxa"/>
            <w:vMerge w:val="restart"/>
            <w:tcBorders>
              <w:top w:val="single" w:color="000000" w:sz="4" w:space="0"/>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eastAsia" w:ascii="宋体" w:hAnsi="宋体" w:eastAsia="宋体" w:cs="Arial"/>
                <w:color w:val="000000"/>
              </w:rPr>
              <w:t>增减％</w:t>
            </w:r>
          </w:p>
        </w:tc>
      </w:tr>
      <w:tr>
        <w:tblPrEx>
          <w:tblCellMar>
            <w:top w:w="0" w:type="dxa"/>
            <w:left w:w="108" w:type="dxa"/>
            <w:bottom w:w="0" w:type="dxa"/>
            <w:right w:w="108" w:type="dxa"/>
          </w:tblCellMar>
        </w:tblPrEx>
        <w:trPr>
          <w:trHeight w:val="312" w:hRule="atLeast"/>
        </w:trPr>
        <w:tc>
          <w:tcPr>
            <w:tcW w:w="2049" w:type="dxa"/>
            <w:vMerge w:val="continue"/>
            <w:tcBorders>
              <w:top w:val="single" w:color="000000" w:sz="4" w:space="0"/>
              <w:left w:val="single" w:color="000000" w:sz="4" w:space="0"/>
              <w:bottom w:val="single" w:color="000000" w:sz="4" w:space="0"/>
              <w:right w:val="single" w:color="000000" w:sz="4" w:space="0"/>
            </w:tcBorders>
            <w:noWrap w:val="0"/>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p>
        </w:tc>
        <w:tc>
          <w:tcPr>
            <w:tcW w:w="690" w:type="dxa"/>
            <w:vMerge w:val="continue"/>
            <w:tcBorders>
              <w:top w:val="single" w:color="000000" w:sz="4" w:space="0"/>
              <w:left w:val="nil"/>
              <w:bottom w:val="single" w:color="000000" w:sz="4" w:space="0"/>
              <w:right w:val="single" w:color="000000" w:sz="4" w:space="0"/>
            </w:tcBorders>
            <w:noWrap w:val="0"/>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p>
        </w:tc>
        <w:tc>
          <w:tcPr>
            <w:tcW w:w="1727" w:type="dxa"/>
            <w:vMerge w:val="continue"/>
            <w:tcBorders>
              <w:top w:val="single" w:color="000000" w:sz="4" w:space="0"/>
              <w:left w:val="nil"/>
              <w:bottom w:val="single" w:color="000000" w:sz="4" w:space="0"/>
              <w:right w:val="single" w:color="000000" w:sz="4" w:space="0"/>
            </w:tcBorders>
            <w:noWrap w:val="0"/>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p>
        </w:tc>
        <w:tc>
          <w:tcPr>
            <w:tcW w:w="1579" w:type="dxa"/>
            <w:vMerge w:val="continue"/>
            <w:tcBorders>
              <w:top w:val="single" w:color="000000" w:sz="4" w:space="0"/>
              <w:left w:val="nil"/>
              <w:bottom w:val="single" w:color="000000" w:sz="4" w:space="0"/>
              <w:right w:val="single" w:color="000000" w:sz="4" w:space="0"/>
            </w:tcBorders>
            <w:noWrap w:val="0"/>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p>
        </w:tc>
        <w:tc>
          <w:tcPr>
            <w:tcW w:w="1543" w:type="dxa"/>
            <w:vMerge w:val="continue"/>
            <w:tcBorders>
              <w:top w:val="single" w:color="000000" w:sz="4" w:space="0"/>
              <w:left w:val="nil"/>
              <w:bottom w:val="single" w:color="000000" w:sz="4" w:space="0"/>
              <w:right w:val="single" w:color="000000" w:sz="4" w:space="0"/>
            </w:tcBorders>
            <w:noWrap w:val="0"/>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p>
        </w:tc>
        <w:tc>
          <w:tcPr>
            <w:tcW w:w="949" w:type="dxa"/>
            <w:vMerge w:val="continue"/>
            <w:tcBorders>
              <w:top w:val="single" w:color="000000" w:sz="4" w:space="0"/>
              <w:left w:val="nil"/>
              <w:bottom w:val="single" w:color="000000" w:sz="4" w:space="0"/>
              <w:right w:val="single" w:color="000000" w:sz="4" w:space="0"/>
            </w:tcBorders>
            <w:noWrap w:val="0"/>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p>
        </w:tc>
      </w:tr>
      <w:tr>
        <w:tblPrEx>
          <w:tblCellMar>
            <w:top w:w="0" w:type="dxa"/>
            <w:left w:w="108" w:type="dxa"/>
            <w:bottom w:w="0" w:type="dxa"/>
            <w:right w:w="108" w:type="dxa"/>
          </w:tblCellMar>
        </w:tblPrEx>
        <w:trPr>
          <w:trHeight w:val="227" w:hRule="atLeast"/>
        </w:trPr>
        <w:tc>
          <w:tcPr>
            <w:tcW w:w="2049" w:type="dxa"/>
            <w:tcBorders>
              <w:top w:val="nil"/>
              <w:left w:val="single" w:color="000000" w:sz="4" w:space="0"/>
              <w:bottom w:val="single" w:color="000000" w:sz="4" w:space="0"/>
              <w:right w:val="single" w:color="000000" w:sz="4" w:space="0"/>
            </w:tcBorders>
            <w:shd w:val="clear" w:color="FFFFFF" w:fill="C0C0C0"/>
            <w:noWrap w:val="0"/>
            <w:vAlign w:val="center"/>
          </w:tcPr>
          <w:p>
            <w:pPr>
              <w:keepNext w:val="0"/>
              <w:keepLines w:val="0"/>
              <w:suppressLineNumbers w:val="0"/>
              <w:spacing w:before="0" w:beforeAutospacing="0" w:after="240" w:afterAutospacing="0"/>
              <w:ind w:left="0" w:right="0"/>
              <w:jc w:val="center"/>
              <w:rPr>
                <w:rFonts w:hint="default" w:ascii="宋体" w:hAnsi="Times New Roman" w:eastAsia="宋体" w:cs="Arial"/>
                <w:color w:val="000000"/>
              </w:rPr>
            </w:pPr>
            <w:r>
              <w:rPr>
                <w:rFonts w:hint="eastAsia" w:ascii="宋体" w:hAnsi="宋体" w:eastAsia="宋体" w:cs="Arial"/>
                <w:color w:val="000000"/>
              </w:rPr>
              <w:t>栏</w:t>
            </w:r>
            <w:r>
              <w:rPr>
                <w:rFonts w:hint="default" w:ascii="宋体" w:hAnsi="宋体" w:eastAsia="宋体" w:cs="Arial"/>
                <w:color w:val="000000"/>
              </w:rPr>
              <w:t xml:space="preserve">    </w:t>
            </w:r>
            <w:r>
              <w:rPr>
                <w:rFonts w:hint="eastAsia" w:ascii="宋体" w:hAnsi="宋体" w:eastAsia="宋体" w:cs="Arial"/>
                <w:color w:val="000000"/>
              </w:rPr>
              <w:t>次</w:t>
            </w:r>
          </w:p>
        </w:tc>
        <w:tc>
          <w:tcPr>
            <w:tcW w:w="690" w:type="dxa"/>
            <w:vMerge w:val="continue"/>
            <w:tcBorders>
              <w:top w:val="single" w:color="000000" w:sz="4" w:space="0"/>
              <w:left w:val="nil"/>
              <w:bottom w:val="single" w:color="000000" w:sz="4" w:space="0"/>
              <w:right w:val="single" w:color="000000" w:sz="4" w:space="0"/>
            </w:tcBorders>
            <w:shd w:val="clear" w:color="auto" w:fill="auto"/>
            <w:noWrap w:val="0"/>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p>
        </w:tc>
        <w:tc>
          <w:tcPr>
            <w:tcW w:w="1727" w:type="dxa"/>
            <w:tcBorders>
              <w:top w:val="nil"/>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default" w:ascii="宋体" w:hAnsi="宋体" w:eastAsia="宋体" w:cs="Arial"/>
                <w:color w:val="000000"/>
              </w:rPr>
              <w:t>1</w:t>
            </w:r>
          </w:p>
        </w:tc>
        <w:tc>
          <w:tcPr>
            <w:tcW w:w="1579" w:type="dxa"/>
            <w:tcBorders>
              <w:top w:val="nil"/>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default" w:ascii="宋体" w:hAnsi="宋体" w:eastAsia="宋体" w:cs="Arial"/>
                <w:color w:val="000000"/>
              </w:rPr>
              <w:t>2</w:t>
            </w:r>
          </w:p>
        </w:tc>
        <w:tc>
          <w:tcPr>
            <w:tcW w:w="1543" w:type="dxa"/>
            <w:tcBorders>
              <w:top w:val="nil"/>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default" w:ascii="宋体" w:hAnsi="宋体" w:eastAsia="宋体" w:cs="Arial"/>
                <w:color w:val="000000"/>
              </w:rPr>
              <w:t>3</w:t>
            </w:r>
          </w:p>
        </w:tc>
        <w:tc>
          <w:tcPr>
            <w:tcW w:w="949" w:type="dxa"/>
            <w:tcBorders>
              <w:top w:val="nil"/>
              <w:left w:val="nil"/>
              <w:bottom w:val="single" w:color="000000" w:sz="4" w:space="0"/>
              <w:right w:val="single" w:color="000000" w:sz="4" w:space="0"/>
            </w:tcBorders>
            <w:shd w:val="clear" w:color="FFFFFF" w:fill="C0C0C0"/>
            <w:noWrap/>
            <w:vAlign w:val="center"/>
          </w:tcPr>
          <w:p>
            <w:pPr>
              <w:keepNext w:val="0"/>
              <w:keepLines w:val="0"/>
              <w:suppressLineNumbers w:val="0"/>
              <w:spacing w:before="0" w:beforeAutospacing="0" w:after="0" w:afterAutospacing="0"/>
              <w:ind w:left="0" w:right="0"/>
              <w:jc w:val="center"/>
              <w:rPr>
                <w:rFonts w:hint="default" w:ascii="宋体" w:hAnsi="Times New Roman" w:eastAsia="宋体" w:cs="Arial"/>
                <w:color w:val="000000"/>
              </w:rPr>
            </w:pPr>
            <w:r>
              <w:rPr>
                <w:rFonts w:hint="default" w:ascii="宋体" w:hAnsi="宋体" w:eastAsia="宋体" w:cs="Arial"/>
                <w:color w:val="000000"/>
              </w:rPr>
              <w:t>4</w:t>
            </w:r>
          </w:p>
        </w:tc>
      </w:tr>
      <w:tr>
        <w:tblPrEx>
          <w:tblCellMar>
            <w:top w:w="0" w:type="dxa"/>
            <w:left w:w="108" w:type="dxa"/>
            <w:bottom w:w="0" w:type="dxa"/>
            <w:right w:w="108" w:type="dxa"/>
          </w:tblCellMar>
        </w:tblPrEx>
        <w:trPr>
          <w:trHeight w:val="130" w:hRule="atLeast"/>
        </w:trPr>
        <w:tc>
          <w:tcPr>
            <w:tcW w:w="2049" w:type="dxa"/>
            <w:tcBorders>
              <w:top w:val="nil"/>
              <w:left w:val="single" w:color="000000" w:sz="4" w:space="0"/>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1.货币资金</w:t>
            </w:r>
          </w:p>
        </w:tc>
        <w:tc>
          <w:tcPr>
            <w:tcW w:w="690"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21</w:t>
            </w:r>
          </w:p>
        </w:tc>
        <w:tc>
          <w:tcPr>
            <w:tcW w:w="1727"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1696.33</w:t>
            </w:r>
          </w:p>
        </w:tc>
        <w:tc>
          <w:tcPr>
            <w:tcW w:w="1579"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23.89</w:t>
            </w:r>
          </w:p>
        </w:tc>
        <w:tc>
          <w:tcPr>
            <w:tcW w:w="1543"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1672.44</w:t>
            </w:r>
          </w:p>
        </w:tc>
        <w:tc>
          <w:tcPr>
            <w:tcW w:w="949"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7000.59</w:t>
            </w:r>
          </w:p>
        </w:tc>
      </w:tr>
      <w:tr>
        <w:tblPrEx>
          <w:tblCellMar>
            <w:top w:w="0" w:type="dxa"/>
            <w:left w:w="108" w:type="dxa"/>
            <w:bottom w:w="0" w:type="dxa"/>
            <w:right w:w="108" w:type="dxa"/>
          </w:tblCellMar>
        </w:tblPrEx>
        <w:trPr>
          <w:trHeight w:val="134" w:hRule="atLeast"/>
        </w:trPr>
        <w:tc>
          <w:tcPr>
            <w:tcW w:w="2049" w:type="dxa"/>
            <w:tcBorders>
              <w:top w:val="nil"/>
              <w:left w:val="single" w:color="000000" w:sz="4" w:space="0"/>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2.财政应返还额度</w:t>
            </w:r>
          </w:p>
        </w:tc>
        <w:tc>
          <w:tcPr>
            <w:tcW w:w="690"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22</w:t>
            </w:r>
          </w:p>
        </w:tc>
        <w:tc>
          <w:tcPr>
            <w:tcW w:w="1727"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1579"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1543"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949"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r>
      <w:tr>
        <w:tblPrEx>
          <w:tblCellMar>
            <w:top w:w="0" w:type="dxa"/>
            <w:left w:w="108" w:type="dxa"/>
            <w:bottom w:w="0" w:type="dxa"/>
            <w:right w:w="108" w:type="dxa"/>
          </w:tblCellMar>
        </w:tblPrEx>
        <w:trPr>
          <w:trHeight w:val="134" w:hRule="atLeast"/>
        </w:trPr>
        <w:tc>
          <w:tcPr>
            <w:tcW w:w="2049" w:type="dxa"/>
            <w:tcBorders>
              <w:top w:val="nil"/>
              <w:left w:val="single" w:color="000000" w:sz="4" w:space="0"/>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3.房屋</w:t>
            </w:r>
          </w:p>
        </w:tc>
        <w:tc>
          <w:tcPr>
            <w:tcW w:w="690"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23</w:t>
            </w:r>
          </w:p>
        </w:tc>
        <w:tc>
          <w:tcPr>
            <w:tcW w:w="1727"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2255920</w:t>
            </w:r>
          </w:p>
        </w:tc>
        <w:tc>
          <w:tcPr>
            <w:tcW w:w="1579"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2255920</w:t>
            </w:r>
          </w:p>
        </w:tc>
        <w:tc>
          <w:tcPr>
            <w:tcW w:w="1543"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949"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r>
      <w:tr>
        <w:tblPrEx>
          <w:tblCellMar>
            <w:top w:w="0" w:type="dxa"/>
            <w:left w:w="108" w:type="dxa"/>
            <w:bottom w:w="0" w:type="dxa"/>
            <w:right w:w="108" w:type="dxa"/>
          </w:tblCellMar>
        </w:tblPrEx>
        <w:trPr>
          <w:trHeight w:val="134" w:hRule="atLeast"/>
        </w:trPr>
        <w:tc>
          <w:tcPr>
            <w:tcW w:w="2049" w:type="dxa"/>
            <w:tcBorders>
              <w:top w:val="nil"/>
              <w:left w:val="single" w:color="000000" w:sz="4" w:space="0"/>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4.车辆</w:t>
            </w:r>
          </w:p>
        </w:tc>
        <w:tc>
          <w:tcPr>
            <w:tcW w:w="690"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24</w:t>
            </w:r>
          </w:p>
        </w:tc>
        <w:tc>
          <w:tcPr>
            <w:tcW w:w="1727"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1579"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1543"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949"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r>
      <w:tr>
        <w:tblPrEx>
          <w:tblCellMar>
            <w:top w:w="0" w:type="dxa"/>
            <w:left w:w="108" w:type="dxa"/>
            <w:bottom w:w="0" w:type="dxa"/>
            <w:right w:w="108" w:type="dxa"/>
          </w:tblCellMar>
        </w:tblPrEx>
        <w:trPr>
          <w:trHeight w:val="134" w:hRule="atLeast"/>
        </w:trPr>
        <w:tc>
          <w:tcPr>
            <w:tcW w:w="2049" w:type="dxa"/>
            <w:tcBorders>
              <w:top w:val="nil"/>
              <w:left w:val="single" w:color="000000" w:sz="4" w:space="0"/>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5.在建工程</w:t>
            </w:r>
          </w:p>
        </w:tc>
        <w:tc>
          <w:tcPr>
            <w:tcW w:w="690"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25</w:t>
            </w:r>
          </w:p>
        </w:tc>
        <w:tc>
          <w:tcPr>
            <w:tcW w:w="1727"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1579"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1543"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949"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r>
      <w:tr>
        <w:tblPrEx>
          <w:tblCellMar>
            <w:top w:w="0" w:type="dxa"/>
            <w:left w:w="108" w:type="dxa"/>
            <w:bottom w:w="0" w:type="dxa"/>
            <w:right w:w="108" w:type="dxa"/>
          </w:tblCellMar>
        </w:tblPrEx>
        <w:trPr>
          <w:trHeight w:val="134" w:hRule="atLeast"/>
        </w:trPr>
        <w:tc>
          <w:tcPr>
            <w:tcW w:w="2049" w:type="dxa"/>
            <w:tcBorders>
              <w:top w:val="nil"/>
              <w:left w:val="single" w:color="000000" w:sz="4" w:space="0"/>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sz w:val="20"/>
                <w:szCs w:val="20"/>
              </w:rPr>
            </w:pPr>
            <w:r>
              <w:rPr>
                <w:rFonts w:hint="eastAsia" w:ascii="Times New Roman" w:hAnsi="Times New Roman" w:eastAsia="宋体" w:cs="Times New Roman"/>
                <w:sz w:val="20"/>
                <w:szCs w:val="20"/>
              </w:rPr>
              <w:t>6.借款</w:t>
            </w:r>
          </w:p>
        </w:tc>
        <w:tc>
          <w:tcPr>
            <w:tcW w:w="690"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26</w:t>
            </w:r>
          </w:p>
        </w:tc>
        <w:tc>
          <w:tcPr>
            <w:tcW w:w="1727"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1579"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1543"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949"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r>
      <w:tr>
        <w:tblPrEx>
          <w:tblCellMar>
            <w:top w:w="0" w:type="dxa"/>
            <w:left w:w="108" w:type="dxa"/>
            <w:bottom w:w="0" w:type="dxa"/>
            <w:right w:w="108" w:type="dxa"/>
          </w:tblCellMar>
        </w:tblPrEx>
        <w:trPr>
          <w:trHeight w:val="134" w:hRule="atLeast"/>
        </w:trPr>
        <w:tc>
          <w:tcPr>
            <w:tcW w:w="2049" w:type="dxa"/>
            <w:tcBorders>
              <w:top w:val="nil"/>
              <w:left w:val="single" w:color="000000" w:sz="4" w:space="0"/>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rPr>
                <w:rFonts w:hint="default" w:ascii="宋体" w:hAnsi="宋体" w:eastAsia="宋体" w:cs="宋体"/>
                <w:sz w:val="20"/>
                <w:szCs w:val="20"/>
              </w:rPr>
            </w:pPr>
            <w:r>
              <w:rPr>
                <w:rFonts w:hint="eastAsia" w:ascii="Times New Roman" w:hAnsi="Times New Roman" w:eastAsia="宋体" w:cs="Times New Roman"/>
                <w:sz w:val="20"/>
                <w:szCs w:val="20"/>
              </w:rPr>
              <w:t xml:space="preserve">    7.应缴财政款</w:t>
            </w:r>
          </w:p>
        </w:tc>
        <w:tc>
          <w:tcPr>
            <w:tcW w:w="690"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27</w:t>
            </w:r>
          </w:p>
        </w:tc>
        <w:tc>
          <w:tcPr>
            <w:tcW w:w="1727"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1579"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1543"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949"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r>
      <w:tr>
        <w:tblPrEx>
          <w:tblCellMar>
            <w:top w:w="0" w:type="dxa"/>
            <w:left w:w="108" w:type="dxa"/>
            <w:bottom w:w="0" w:type="dxa"/>
            <w:right w:w="108" w:type="dxa"/>
          </w:tblCellMar>
        </w:tblPrEx>
        <w:trPr>
          <w:trHeight w:val="143" w:hRule="atLeast"/>
        </w:trPr>
        <w:tc>
          <w:tcPr>
            <w:tcW w:w="2049" w:type="dxa"/>
            <w:tcBorders>
              <w:top w:val="nil"/>
              <w:left w:val="single" w:color="000000" w:sz="4" w:space="0"/>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rPr>
                <w:rFonts w:hint="default" w:ascii="宋体" w:hAnsi="宋体" w:eastAsia="宋体" w:cs="宋体"/>
                <w:sz w:val="20"/>
                <w:szCs w:val="20"/>
              </w:rPr>
            </w:pPr>
            <w:r>
              <w:rPr>
                <w:rFonts w:hint="eastAsia" w:ascii="Times New Roman" w:hAnsi="Times New Roman" w:eastAsia="宋体" w:cs="Times New Roman"/>
                <w:sz w:val="20"/>
                <w:szCs w:val="20"/>
              </w:rPr>
              <w:t xml:space="preserve">    8.应付职工薪酬</w:t>
            </w:r>
          </w:p>
        </w:tc>
        <w:tc>
          <w:tcPr>
            <w:tcW w:w="690"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28</w:t>
            </w:r>
          </w:p>
        </w:tc>
        <w:tc>
          <w:tcPr>
            <w:tcW w:w="1727"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1579"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1543"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c>
          <w:tcPr>
            <w:tcW w:w="949" w:type="dxa"/>
            <w:tcBorders>
              <w:top w:val="nil"/>
              <w:left w:val="nil"/>
              <w:bottom w:val="single" w:color="000000" w:sz="8" w:space="0"/>
              <w:right w:val="single" w:color="000000" w:sz="4" w:space="0"/>
            </w:tcBorders>
            <w:noWrap/>
            <w:vAlign w:val="center"/>
          </w:tcPr>
          <w:p>
            <w:pPr>
              <w:keepNext w:val="0"/>
              <w:keepLines w:val="0"/>
              <w:suppressLineNumbers w:val="0"/>
              <w:spacing w:before="0" w:beforeAutospacing="0" w:after="0" w:afterAutospacing="0"/>
              <w:ind w:left="0" w:right="0"/>
              <w:jc w:val="center"/>
              <w:rPr>
                <w:rFonts w:hint="default" w:ascii="宋体" w:hAnsi="宋体" w:eastAsia="宋体" w:cs="宋体"/>
                <w:color w:val="000000"/>
                <w:sz w:val="20"/>
                <w:szCs w:val="20"/>
              </w:rPr>
            </w:pPr>
            <w:r>
              <w:rPr>
                <w:rFonts w:hint="eastAsia" w:ascii="Times New Roman" w:hAnsi="Times New Roman" w:eastAsia="宋体" w:cs="Times New Roman"/>
                <w:color w:val="000000"/>
                <w:sz w:val="20"/>
                <w:szCs w:val="20"/>
              </w:rPr>
              <w:t>0</w:t>
            </w:r>
          </w:p>
        </w:tc>
      </w:tr>
    </w:tbl>
    <w:p>
      <w:pPr>
        <w:snapToGrid w:val="0"/>
        <w:spacing w:line="520" w:lineRule="exact"/>
        <w:ind w:firstLine="643" w:firstLineChars="200"/>
        <w:rPr>
          <w:rFonts w:ascii="楷体_GB2312" w:hAnsi="仿宋" w:eastAsia="楷体_GB2312" w:cs="Times New Roman"/>
          <w:b/>
          <w:sz w:val="32"/>
          <w:szCs w:val="32"/>
        </w:rPr>
      </w:pPr>
      <w:r>
        <w:rPr>
          <w:rFonts w:hint="eastAsia" w:ascii="楷体_GB2312" w:hAnsi="仿宋" w:eastAsia="楷体_GB2312" w:cs="Times New Roman"/>
          <w:b/>
          <w:sz w:val="32"/>
          <w:szCs w:val="32"/>
        </w:rPr>
        <w:t>（五）绩效目标完成情况。</w:t>
      </w:r>
    </w:p>
    <w:p>
      <w:pPr>
        <w:autoSpaceDE w:val="0"/>
        <w:autoSpaceDN w:val="0"/>
        <w:adjustRightInd w:val="0"/>
        <w:ind w:firstLine="800" w:firstLineChars="250"/>
        <w:jc w:val="left"/>
        <w:rPr>
          <w:rFonts w:hint="eastAsia" w:ascii="仿宋_GB2312" w:hAnsi="仿宋_GB2312" w:eastAsia="仿宋_GB2312" w:cs="仿宋_GB2312"/>
          <w:color w:val="000000"/>
          <w:kern w:val="0"/>
          <w:sz w:val="32"/>
          <w:szCs w:val="32"/>
        </w:rPr>
      </w:pPr>
      <w:r>
        <w:rPr>
          <w:rFonts w:hint="eastAsia" w:ascii="仿宋_GB2312" w:hAnsi="仿宋_GB2312" w:eastAsia="仿宋_GB2312" w:cs="仿宋_GB2312"/>
          <w:color w:val="000000"/>
          <w:kern w:val="0"/>
          <w:sz w:val="32"/>
          <w:szCs w:val="32"/>
        </w:rPr>
        <w:t>组织对单位开展整体支出绩效评价，涉及一般公共预算支出</w:t>
      </w:r>
      <w:r>
        <w:rPr>
          <w:rFonts w:hint="eastAsia" w:ascii="仿宋_GB2312" w:hAnsi="仿宋_GB2312" w:eastAsia="仿宋_GB2312" w:cs="仿宋_GB2312"/>
          <w:sz w:val="32"/>
          <w:szCs w:val="32"/>
        </w:rPr>
        <w:t>41484.29</w:t>
      </w:r>
      <w:r>
        <w:rPr>
          <w:rFonts w:hint="eastAsia" w:ascii="仿宋_GB2312" w:hAnsi="仿宋_GB2312" w:eastAsia="仿宋_GB2312" w:cs="仿宋_GB2312"/>
          <w:color w:val="000000"/>
          <w:kern w:val="0"/>
          <w:sz w:val="32"/>
          <w:szCs w:val="32"/>
        </w:rPr>
        <w:t>万元，政府性基金预算支出12971.19万元, 国有资本经营预算支出0万元。从评价情况来看，</w:t>
      </w:r>
      <w:r>
        <w:rPr>
          <w:rFonts w:hint="eastAsia" w:ascii="仿宋_GB2312" w:hAnsi="仿宋_GB2312" w:eastAsia="仿宋_GB2312" w:cs="仿宋_GB2312"/>
          <w:bCs/>
          <w:kern w:val="0"/>
          <w:sz w:val="32"/>
          <w:szCs w:val="32"/>
        </w:rPr>
        <w:t>单位根据年初工作规划和重点工作，围绕县委、县政府的工作部署，积极履行职责，强化管理，较好地完成了年度工作目标，同时加强预算收支的管理，建立健全内部管理制度，严格内部管理流程，严控三公经费，厉行节约压减一般性支出，部门整体支出管理得到了提升。</w:t>
      </w:r>
      <w:r>
        <w:rPr>
          <w:rFonts w:hint="eastAsia" w:ascii="仿宋_GB2312" w:hAnsi="仿宋_GB2312" w:eastAsia="仿宋_GB2312" w:cs="仿宋_GB2312"/>
          <w:bCs/>
          <w:sz w:val="32"/>
          <w:szCs w:val="32"/>
        </w:rPr>
        <w:t>通过整体绩效评价结果显示2023年度整体绩效目标完成情况较好</w:t>
      </w:r>
      <w:r>
        <w:rPr>
          <w:rFonts w:hint="eastAsia" w:ascii="仿宋_GB2312" w:hAnsi="仿宋_GB2312" w:eastAsia="仿宋_GB2312" w:cs="仿宋_GB2312"/>
          <w:color w:val="000000"/>
          <w:kern w:val="0"/>
          <w:sz w:val="32"/>
          <w:szCs w:val="32"/>
        </w:rPr>
        <w:t>。</w:t>
      </w:r>
    </w:p>
    <w:p>
      <w:pPr>
        <w:snapToGrid w:val="0"/>
        <w:spacing w:line="520" w:lineRule="exact"/>
        <w:ind w:firstLine="643" w:firstLineChars="200"/>
        <w:rPr>
          <w:rFonts w:hint="eastAsia" w:ascii="楷体_GB2312" w:hAnsi="仿宋" w:eastAsia="楷体_GB2312" w:cs="Times New Roman"/>
          <w:b/>
          <w:sz w:val="32"/>
          <w:szCs w:val="32"/>
        </w:rPr>
      </w:pPr>
      <w:r>
        <w:rPr>
          <w:rFonts w:hint="eastAsia" w:ascii="楷体_GB2312" w:hAnsi="仿宋" w:eastAsia="楷体_GB2312" w:cs="Times New Roman"/>
          <w:b/>
          <w:sz w:val="32"/>
          <w:szCs w:val="32"/>
        </w:rPr>
        <w:t>（六）当年预算执行及绩效管理中存在问题、原因及改进措施。</w:t>
      </w:r>
    </w:p>
    <w:p>
      <w:pPr>
        <w:snapToGrid w:val="0"/>
        <w:spacing w:line="520" w:lineRule="exact"/>
        <w:ind w:firstLine="643" w:firstLineChars="200"/>
        <w:rPr>
          <w:rFonts w:hint="eastAsia" w:ascii="楷体_GB2312" w:hAnsi="仿宋" w:eastAsia="楷体_GB2312" w:cs="Times New Roman"/>
          <w:b/>
          <w:sz w:val="32"/>
          <w:szCs w:val="32"/>
        </w:rPr>
      </w:pPr>
      <w:r>
        <w:rPr>
          <w:rFonts w:hint="eastAsia" w:ascii="楷体_GB2312" w:hAnsi="仿宋" w:eastAsia="楷体_GB2312" w:cs="Times New Roman"/>
          <w:b/>
          <w:sz w:val="32"/>
          <w:szCs w:val="32"/>
        </w:rPr>
        <w:t>无</w:t>
      </w:r>
    </w:p>
    <w:bookmarkEnd w:id="4"/>
    <w:p>
      <w:pPr>
        <w:snapToGrid w:val="0"/>
        <w:spacing w:line="520" w:lineRule="exact"/>
        <w:ind w:firstLine="640" w:firstLineChars="200"/>
        <w:rPr>
          <w:rFonts w:hint="eastAsia" w:ascii="黑体" w:hAnsi="黑体" w:eastAsia="黑体" w:cs="Times New Roman"/>
          <w:sz w:val="32"/>
          <w:szCs w:val="32"/>
        </w:rPr>
      </w:pPr>
      <w:bookmarkStart w:id="5" w:name="YS060104"/>
      <w:r>
        <w:rPr>
          <w:rFonts w:hint="eastAsia" w:ascii="黑体" w:hAnsi="黑体" w:eastAsia="黑体" w:cs="Times New Roman"/>
          <w:sz w:val="32"/>
          <w:szCs w:val="32"/>
        </w:rPr>
        <w:t>三、本年度部门决算等财务工作开展情况</w:t>
      </w:r>
    </w:p>
    <w:bookmarkEnd w:id="5"/>
    <w:p>
      <w:pPr>
        <w:autoSpaceDE w:val="0"/>
        <w:autoSpaceDN w:val="0"/>
        <w:adjustRightInd w:val="0"/>
        <w:spacing w:line="520" w:lineRule="exact"/>
        <w:ind w:firstLine="643"/>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1、在12月31日结账后及时同财政部门对账，确定单位本年度的收入、支出、结余，确保与财政数据一致。</w:t>
      </w:r>
    </w:p>
    <w:p>
      <w:pPr>
        <w:autoSpaceDE w:val="0"/>
        <w:autoSpaceDN w:val="0"/>
        <w:adjustRightInd w:val="0"/>
        <w:spacing w:line="520" w:lineRule="exact"/>
        <w:ind w:firstLine="643"/>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2、学习当年部门决算的变动情况和编报要点，做好编报工作。</w:t>
      </w:r>
    </w:p>
    <w:p>
      <w:pPr>
        <w:snapToGrid w:val="0"/>
        <w:spacing w:line="52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3、经部门决算软件对预算编制及执行情况、财务状况通过量化指标测评打分为81.5分。</w:t>
      </w:r>
    </w:p>
    <w:p>
      <w:pPr>
        <w:snapToGrid w:val="0"/>
        <w:spacing w:line="520" w:lineRule="exact"/>
        <w:ind w:firstLine="640" w:firstLineChars="200"/>
        <w:rPr>
          <w:rFonts w:hint="eastAsia" w:ascii="仿宋_GB2312" w:hAnsi="仿宋" w:eastAsia="仿宋_GB2312" w:cs="Times New Roman"/>
          <w:sz w:val="32"/>
          <w:szCs w:val="32"/>
        </w:rPr>
      </w:pPr>
    </w:p>
    <w:p>
      <w:pPr>
        <w:snapToGrid w:val="0"/>
        <w:spacing w:line="520" w:lineRule="exact"/>
        <w:ind w:firstLine="640" w:firstLineChars="200"/>
        <w:rPr>
          <w:rFonts w:hint="eastAsia" w:ascii="仿宋_GB2312" w:hAnsi="仿宋" w:eastAsia="仿宋_GB2312" w:cs="Times New Roman"/>
          <w:sz w:val="32"/>
          <w:szCs w:val="32"/>
        </w:rPr>
      </w:pPr>
      <w:r>
        <w:rPr>
          <w:rFonts w:hint="eastAsia" w:ascii="仿宋_GB2312" w:hAnsi="仿宋" w:eastAsia="仿宋_GB2312" w:cs="Times New Roman"/>
          <w:sz w:val="32"/>
          <w:szCs w:val="32"/>
        </w:rPr>
        <w:t>注：收入支出预算执行情况分析可参考部门决算分析评价表（见软件查询模板）及行政事业单位财务分析指标（附后）。</w:t>
      </w:r>
    </w:p>
    <w:p>
      <w:pPr>
        <w:snapToGrid w:val="0"/>
        <w:rPr>
          <w:rFonts w:hint="eastAsia" w:ascii="仿宋_GB2312" w:hAnsi="仿宋" w:eastAsia="仿宋_GB2312" w:cs="Times New Roman"/>
          <w:sz w:val="32"/>
          <w:szCs w:val="32"/>
        </w:rPr>
      </w:pPr>
      <w:r>
        <w:rPr>
          <w:rFonts w:ascii="仿宋_GB2312" w:hAnsi="仿宋" w:eastAsia="仿宋_GB2312" w:cs="Times New Roman"/>
          <w:sz w:val="32"/>
          <w:szCs w:val="32"/>
        </w:rPr>
        <w:br w:type="page"/>
      </w:r>
      <w:r>
        <w:rPr>
          <w:rFonts w:hint="eastAsia" w:ascii="仿宋_GB2312" w:hAnsi="仿宋" w:eastAsia="仿宋_GB2312" w:cs="Times New Roman"/>
          <w:sz w:val="32"/>
          <w:szCs w:val="32"/>
        </w:rPr>
        <w:t>附：</w:t>
      </w:r>
    </w:p>
    <w:p>
      <w:pPr>
        <w:snapToGrid w:val="0"/>
        <w:ind w:firstLine="640" w:firstLineChars="200"/>
        <w:jc w:val="center"/>
        <w:rPr>
          <w:rFonts w:hint="eastAsia" w:ascii="华文中宋" w:hAnsi="华文中宋" w:eastAsia="华文中宋" w:cs="Times New Roman"/>
          <w:sz w:val="32"/>
          <w:szCs w:val="32"/>
        </w:rPr>
      </w:pPr>
      <w:bookmarkStart w:id="6" w:name="YS060200"/>
    </w:p>
    <w:p>
      <w:pPr>
        <w:snapToGrid w:val="0"/>
        <w:ind w:left="0" w:leftChars="0" w:firstLine="0" w:firstLineChars="0"/>
        <w:jc w:val="center"/>
        <w:rPr>
          <w:rFonts w:hint="eastAsia" w:ascii="方正小标宋_GBK" w:hAnsi="方正小标宋_GBK" w:eastAsia="方正小标宋_GBK" w:cs="方正小标宋_GBK"/>
          <w:sz w:val="44"/>
          <w:szCs w:val="44"/>
        </w:rPr>
      </w:pPr>
      <w:r>
        <w:rPr>
          <w:rFonts w:hint="eastAsia" w:ascii="方正小标宋_GBK" w:hAnsi="方正小标宋_GBK" w:eastAsia="方正小标宋_GBK" w:cs="方正小标宋_GBK"/>
          <w:sz w:val="44"/>
          <w:szCs w:val="44"/>
        </w:rPr>
        <w:t>行政事业单位财务分析指标</w:t>
      </w:r>
    </w:p>
    <w:bookmarkEnd w:id="6"/>
    <w:p>
      <w:pPr>
        <w:snapToGrid w:val="0"/>
        <w:ind w:firstLine="640" w:firstLineChars="200"/>
        <w:rPr>
          <w:rFonts w:hint="eastAsia" w:ascii="仿宋_GB2312" w:hAnsi="仿宋" w:eastAsia="仿宋_GB2312" w:cs="Times New Roman"/>
          <w:sz w:val="32"/>
          <w:szCs w:val="32"/>
        </w:rPr>
      </w:pPr>
    </w:p>
    <w:p>
      <w:pPr>
        <w:snapToGrid w:val="0"/>
        <w:ind w:firstLine="640" w:firstLineChars="200"/>
        <w:rPr>
          <w:rFonts w:hint="eastAsia" w:ascii="黑体" w:hAnsi="黑体" w:eastAsia="黑体" w:cs="Times New Roman"/>
          <w:sz w:val="32"/>
          <w:szCs w:val="32"/>
        </w:rPr>
      </w:pPr>
      <w:bookmarkStart w:id="7" w:name="YS060201"/>
      <w:r>
        <w:rPr>
          <w:rFonts w:hint="eastAsia" w:ascii="黑体" w:hAnsi="黑体" w:eastAsia="黑体" w:cs="Times New Roman"/>
          <w:sz w:val="32"/>
          <w:szCs w:val="32"/>
        </w:rPr>
        <w:t>一、行政单位财务分析指标</w:t>
      </w:r>
    </w:p>
    <w:bookmarkEnd w:id="7"/>
    <w:p>
      <w:pPr>
        <w:snapToGrid w:val="0"/>
        <w:ind w:firstLine="640" w:firstLineChars="200"/>
        <w:rPr>
          <w:rFonts w:hint="eastAsia" w:ascii="仿宋_GB2312" w:hAnsi="仿宋" w:eastAsia="仿宋_GB2312" w:cs="Times New Roman"/>
          <w:sz w:val="32"/>
          <w:szCs w:val="32"/>
        </w:rPr>
      </w:pPr>
      <w:r>
        <w:rPr>
          <w:rFonts w:hint="eastAsia" w:ascii="仿宋_GB2312" w:hAnsi="仿宋" w:eastAsia="仿宋_GB2312" w:cs="Times New Roman"/>
          <w:sz w:val="32"/>
          <w:szCs w:val="32"/>
        </w:rPr>
        <w:t>1.支出增长率，衡量行政单位支出的增长水平。计算公式为：</w:t>
      </w:r>
    </w:p>
    <w:p>
      <w:pPr>
        <w:snapToGrid w:val="0"/>
        <w:ind w:firstLine="640" w:firstLineChars="200"/>
        <w:rPr>
          <w:rFonts w:hint="eastAsia" w:ascii="仿宋_GB2312" w:hAnsi="仿宋" w:eastAsia="仿宋_GB2312" w:cs="Times New Roman"/>
          <w:sz w:val="32"/>
          <w:szCs w:val="32"/>
        </w:rPr>
      </w:pPr>
      <w:r>
        <w:rPr>
          <w:rFonts w:hint="eastAsia" w:ascii="仿宋_GB2312" w:hAnsi="仿宋" w:eastAsia="仿宋_GB2312" w:cs="Times New Roman"/>
          <w:sz w:val="32"/>
          <w:szCs w:val="32"/>
        </w:rPr>
        <w:t>支出增长率＝(本期支出总额÷上期支出总额-1)×100%</w:t>
      </w:r>
    </w:p>
    <w:p>
      <w:pPr>
        <w:snapToGrid w:val="0"/>
        <w:ind w:firstLine="640" w:firstLineChars="200"/>
        <w:rPr>
          <w:rFonts w:hint="eastAsia" w:ascii="仿宋_GB2312" w:hAnsi="仿宋" w:eastAsia="仿宋_GB2312" w:cs="Times New Roman"/>
          <w:sz w:val="32"/>
          <w:szCs w:val="32"/>
        </w:rPr>
      </w:pPr>
      <w:r>
        <w:rPr>
          <w:rFonts w:hint="eastAsia" w:ascii="仿宋_GB2312" w:hAnsi="仿宋" w:eastAsia="仿宋_GB2312" w:cs="Times New Roman"/>
          <w:sz w:val="32"/>
          <w:szCs w:val="32"/>
        </w:rPr>
        <w:t>2.当年预算支出完成率，衡量行政单位当年支出总预算及分项预算完成的程度。计算公式为：</w:t>
      </w:r>
    </w:p>
    <w:p>
      <w:pPr>
        <w:snapToGrid w:val="0"/>
        <w:ind w:firstLine="640" w:firstLineChars="200"/>
        <w:rPr>
          <w:rFonts w:hint="eastAsia" w:ascii="仿宋_GB2312" w:hAnsi="仿宋" w:eastAsia="仿宋_GB2312" w:cs="Times New Roman"/>
          <w:sz w:val="32"/>
          <w:szCs w:val="32"/>
        </w:rPr>
      </w:pPr>
      <w:r>
        <w:rPr>
          <w:rFonts w:hint="eastAsia" w:ascii="仿宋_GB2312" w:hAnsi="仿宋" w:eastAsia="仿宋_GB2312" w:cs="Times New Roman"/>
          <w:sz w:val="32"/>
          <w:szCs w:val="32"/>
        </w:rPr>
        <w:t>当年预算支出完成率＝年终执行数÷全年预算数×100%</w:t>
      </w:r>
    </w:p>
    <w:p>
      <w:pPr>
        <w:snapToGrid w:val="0"/>
        <w:ind w:firstLine="640" w:firstLineChars="200"/>
        <w:rPr>
          <w:rFonts w:hint="eastAsia" w:ascii="仿宋_GB2312" w:hAnsi="仿宋" w:eastAsia="仿宋_GB2312" w:cs="Times New Roman"/>
          <w:sz w:val="32"/>
          <w:szCs w:val="32"/>
        </w:rPr>
      </w:pPr>
      <w:r>
        <w:rPr>
          <w:rFonts w:hint="eastAsia" w:ascii="仿宋_GB2312" w:hAnsi="仿宋" w:eastAsia="仿宋_GB2312" w:cs="Times New Roman"/>
          <w:sz w:val="32"/>
          <w:szCs w:val="32"/>
        </w:rPr>
        <w:t>年终执行数不含上年结转和结余支出数。</w:t>
      </w:r>
    </w:p>
    <w:p>
      <w:pPr>
        <w:snapToGrid w:val="0"/>
        <w:ind w:firstLine="640" w:firstLineChars="200"/>
        <w:rPr>
          <w:rFonts w:hint="eastAsia" w:ascii="仿宋_GB2312" w:hAnsi="仿宋" w:eastAsia="仿宋_GB2312" w:cs="Times New Roman"/>
          <w:sz w:val="32"/>
          <w:szCs w:val="32"/>
        </w:rPr>
      </w:pPr>
      <w:r>
        <w:rPr>
          <w:rFonts w:hint="eastAsia" w:ascii="仿宋_GB2312" w:hAnsi="仿宋" w:eastAsia="仿宋_GB2312" w:cs="Times New Roman"/>
          <w:sz w:val="32"/>
          <w:szCs w:val="32"/>
        </w:rPr>
        <w:t>3.人均开支，衡量行政单位人均年消耗经费水平。计算公式为：</w:t>
      </w:r>
    </w:p>
    <w:p>
      <w:pPr>
        <w:snapToGrid w:val="0"/>
        <w:ind w:firstLine="640" w:firstLineChars="200"/>
        <w:rPr>
          <w:rFonts w:hint="eastAsia" w:ascii="仿宋_GB2312" w:hAnsi="仿宋" w:eastAsia="仿宋_GB2312" w:cs="Times New Roman"/>
          <w:sz w:val="32"/>
          <w:szCs w:val="32"/>
        </w:rPr>
      </w:pPr>
      <w:r>
        <w:rPr>
          <w:rFonts w:hint="eastAsia" w:ascii="仿宋_GB2312" w:hAnsi="仿宋" w:eastAsia="仿宋_GB2312" w:cs="Times New Roman"/>
          <w:sz w:val="32"/>
          <w:szCs w:val="32"/>
        </w:rPr>
        <w:t>人均开支＝本期支出数÷本期平均在职人员数×100%</w:t>
      </w:r>
    </w:p>
    <w:p>
      <w:pPr>
        <w:snapToGrid w:val="0"/>
        <w:ind w:firstLine="640" w:firstLineChars="200"/>
        <w:rPr>
          <w:rFonts w:hint="eastAsia" w:ascii="仿宋_GB2312" w:hAnsi="仿宋" w:eastAsia="仿宋_GB2312" w:cs="Times New Roman"/>
          <w:sz w:val="32"/>
          <w:szCs w:val="32"/>
        </w:rPr>
      </w:pPr>
      <w:r>
        <w:rPr>
          <w:rFonts w:hint="eastAsia" w:ascii="仿宋_GB2312" w:hAnsi="仿宋" w:eastAsia="仿宋_GB2312" w:cs="Times New Roman"/>
          <w:sz w:val="32"/>
          <w:szCs w:val="32"/>
        </w:rPr>
        <w:t>4.项目支出占总支出的比率，衡量行政单位的支出结构。计算公式为：</w:t>
      </w:r>
    </w:p>
    <w:p>
      <w:pPr>
        <w:snapToGrid w:val="0"/>
        <w:ind w:firstLine="640" w:firstLineChars="200"/>
        <w:rPr>
          <w:rFonts w:hint="eastAsia" w:ascii="仿宋_GB2312" w:hAnsi="仿宋" w:eastAsia="仿宋_GB2312" w:cs="Times New Roman"/>
          <w:sz w:val="32"/>
          <w:szCs w:val="32"/>
        </w:rPr>
      </w:pPr>
      <w:r>
        <w:rPr>
          <w:rFonts w:hint="eastAsia" w:ascii="仿宋_GB2312" w:hAnsi="仿宋" w:eastAsia="仿宋_GB2312" w:cs="Times New Roman"/>
          <w:sz w:val="32"/>
          <w:szCs w:val="32"/>
        </w:rPr>
        <w:t>项目支出比率=本期项目支出数÷本期支出总数×100%</w:t>
      </w:r>
    </w:p>
    <w:p>
      <w:pPr>
        <w:snapToGrid w:val="0"/>
        <w:ind w:firstLine="640" w:firstLineChars="200"/>
        <w:rPr>
          <w:rFonts w:hint="eastAsia" w:ascii="仿宋_GB2312" w:hAnsi="仿宋" w:eastAsia="仿宋_GB2312" w:cs="Times New Roman"/>
          <w:sz w:val="32"/>
          <w:szCs w:val="32"/>
        </w:rPr>
      </w:pPr>
      <w:r>
        <w:rPr>
          <w:rFonts w:hint="eastAsia" w:ascii="仿宋_GB2312" w:hAnsi="仿宋" w:eastAsia="仿宋_GB2312" w:cs="Times New Roman"/>
          <w:sz w:val="32"/>
          <w:szCs w:val="32"/>
        </w:rPr>
        <w:t>5.人员支出、公用支出占总支出的比率，衡量行政单位的支出结构。计算公式为：</w:t>
      </w:r>
    </w:p>
    <w:p>
      <w:pPr>
        <w:snapToGrid w:val="0"/>
        <w:ind w:firstLine="640" w:firstLineChars="200"/>
        <w:rPr>
          <w:rFonts w:hint="eastAsia" w:ascii="仿宋_GB2312" w:hAnsi="仿宋" w:eastAsia="仿宋_GB2312" w:cs="Times New Roman"/>
          <w:sz w:val="32"/>
          <w:szCs w:val="32"/>
        </w:rPr>
      </w:pPr>
      <w:r>
        <w:rPr>
          <w:rFonts w:hint="eastAsia" w:ascii="仿宋_GB2312" w:hAnsi="仿宋" w:eastAsia="仿宋_GB2312" w:cs="Times New Roman"/>
          <w:sz w:val="32"/>
          <w:szCs w:val="32"/>
        </w:rPr>
        <w:t>人员支出比率=本期人员支出数÷本期支出总数×100%</w:t>
      </w:r>
    </w:p>
    <w:p>
      <w:pPr>
        <w:snapToGrid w:val="0"/>
        <w:ind w:firstLine="640" w:firstLineChars="200"/>
        <w:rPr>
          <w:rFonts w:hint="eastAsia" w:ascii="仿宋_GB2312" w:hAnsi="仿宋" w:eastAsia="仿宋_GB2312" w:cs="Times New Roman"/>
          <w:sz w:val="32"/>
          <w:szCs w:val="32"/>
        </w:rPr>
      </w:pPr>
      <w:r>
        <w:rPr>
          <w:rFonts w:hint="eastAsia" w:ascii="仿宋_GB2312" w:hAnsi="仿宋" w:eastAsia="仿宋_GB2312" w:cs="Times New Roman"/>
          <w:sz w:val="32"/>
          <w:szCs w:val="32"/>
        </w:rPr>
        <w:t>公用支出比率=本期公用支出数÷本期支出总数×100%</w:t>
      </w:r>
    </w:p>
    <w:p>
      <w:pPr>
        <w:snapToGrid w:val="0"/>
        <w:ind w:firstLine="640" w:firstLineChars="200"/>
        <w:rPr>
          <w:rFonts w:hint="eastAsia" w:ascii="仿宋_GB2312" w:hAnsi="仿宋" w:eastAsia="仿宋_GB2312" w:cs="Times New Roman"/>
          <w:sz w:val="32"/>
          <w:szCs w:val="32"/>
        </w:rPr>
      </w:pPr>
      <w:r>
        <w:rPr>
          <w:rFonts w:hint="eastAsia" w:ascii="仿宋_GB2312" w:hAnsi="仿宋" w:eastAsia="仿宋_GB2312" w:cs="Times New Roman"/>
          <w:sz w:val="32"/>
          <w:szCs w:val="32"/>
        </w:rPr>
        <w:t>6.人均办公使用面积，衡量行政单位办公用房配备情况。计算公式为：</w:t>
      </w:r>
    </w:p>
    <w:p>
      <w:pPr>
        <w:snapToGrid w:val="0"/>
        <w:ind w:firstLine="640" w:firstLineChars="200"/>
        <w:rPr>
          <w:rFonts w:hint="eastAsia" w:ascii="仿宋_GB2312" w:hAnsi="仿宋" w:eastAsia="仿宋_GB2312" w:cs="Times New Roman"/>
          <w:sz w:val="32"/>
          <w:szCs w:val="32"/>
        </w:rPr>
      </w:pPr>
      <w:r>
        <w:rPr>
          <w:rFonts w:hint="eastAsia" w:ascii="仿宋_GB2312" w:hAnsi="仿宋" w:eastAsia="仿宋_GB2312" w:cs="Times New Roman"/>
          <w:sz w:val="32"/>
          <w:szCs w:val="32"/>
        </w:rPr>
        <w:t>人均办公使用面积=本期末单位办公用房使用面积÷本期末在职人员数</w:t>
      </w:r>
    </w:p>
    <w:p>
      <w:pPr>
        <w:snapToGrid w:val="0"/>
        <w:ind w:firstLine="640" w:firstLineChars="200"/>
        <w:rPr>
          <w:rFonts w:hint="eastAsia" w:ascii="仿宋_GB2312" w:hAnsi="仿宋" w:eastAsia="仿宋_GB2312" w:cs="Times New Roman"/>
          <w:sz w:val="32"/>
          <w:szCs w:val="32"/>
        </w:rPr>
      </w:pPr>
      <w:r>
        <w:rPr>
          <w:rFonts w:hint="eastAsia" w:ascii="仿宋_GB2312" w:hAnsi="仿宋" w:eastAsia="仿宋_GB2312" w:cs="Times New Roman"/>
          <w:sz w:val="32"/>
          <w:szCs w:val="32"/>
        </w:rPr>
        <w:t>7.人车比例，衡量行政单位公务用车配备情况。计算公式为：</w:t>
      </w:r>
    </w:p>
    <w:p>
      <w:pPr>
        <w:snapToGrid w:val="0"/>
        <w:ind w:firstLine="640" w:firstLineChars="200"/>
        <w:rPr>
          <w:rFonts w:hint="eastAsia" w:ascii="仿宋_GB2312" w:hAnsi="仿宋" w:eastAsia="仿宋_GB2312" w:cs="Times New Roman"/>
          <w:sz w:val="32"/>
          <w:szCs w:val="32"/>
        </w:rPr>
      </w:pPr>
      <w:r>
        <w:rPr>
          <w:rFonts w:hint="eastAsia" w:ascii="仿宋_GB2312" w:hAnsi="仿宋" w:eastAsia="仿宋_GB2312" w:cs="Times New Roman"/>
          <w:sz w:val="32"/>
          <w:szCs w:val="32"/>
        </w:rPr>
        <w:t>人车比例=本期末在职人员数÷本期末公务用车实有数:1</w:t>
      </w:r>
    </w:p>
    <w:p>
      <w:pPr>
        <w:snapToGrid w:val="0"/>
        <w:ind w:firstLine="640" w:firstLineChars="200"/>
        <w:rPr>
          <w:rFonts w:hint="eastAsia" w:ascii="仿宋_GB2312" w:hAnsi="仿宋" w:eastAsia="仿宋_GB2312" w:cs="Times New Roman"/>
          <w:sz w:val="32"/>
          <w:szCs w:val="32"/>
        </w:rPr>
      </w:pPr>
    </w:p>
    <w:p>
      <w:pPr>
        <w:snapToGrid w:val="0"/>
        <w:ind w:firstLine="640" w:firstLineChars="200"/>
        <w:rPr>
          <w:rFonts w:hint="eastAsia" w:ascii="黑体" w:hAnsi="黑体" w:eastAsia="黑体" w:cs="Times New Roman"/>
          <w:sz w:val="32"/>
          <w:szCs w:val="32"/>
        </w:rPr>
      </w:pPr>
      <w:bookmarkStart w:id="8" w:name="YS060202"/>
      <w:r>
        <w:rPr>
          <w:rFonts w:hint="eastAsia" w:ascii="黑体" w:hAnsi="黑体" w:eastAsia="黑体" w:cs="Times New Roman"/>
          <w:sz w:val="32"/>
          <w:szCs w:val="32"/>
        </w:rPr>
        <w:t>二、事业单位财务分析指标</w:t>
      </w:r>
    </w:p>
    <w:bookmarkEnd w:id="8"/>
    <w:p>
      <w:pPr>
        <w:snapToGrid w:val="0"/>
        <w:ind w:firstLine="640" w:firstLineChars="200"/>
        <w:rPr>
          <w:rFonts w:hint="eastAsia" w:ascii="仿宋_GB2312" w:hAnsi="仿宋" w:eastAsia="仿宋_GB2312" w:cs="Times New Roman"/>
          <w:sz w:val="32"/>
          <w:szCs w:val="32"/>
        </w:rPr>
      </w:pPr>
      <w:r>
        <w:rPr>
          <w:rFonts w:hint="eastAsia" w:ascii="仿宋_GB2312" w:hAnsi="仿宋" w:eastAsia="仿宋_GB2312" w:cs="Times New Roman"/>
          <w:sz w:val="32"/>
          <w:szCs w:val="32"/>
        </w:rPr>
        <w:t>1.预算收入和支出完成率，衡量事业单位收入和支出总预算及分项预算完成的程度。计算公式为：</w:t>
      </w:r>
    </w:p>
    <w:p>
      <w:pPr>
        <w:snapToGrid w:val="0"/>
        <w:ind w:firstLine="640" w:firstLineChars="200"/>
        <w:rPr>
          <w:rFonts w:hint="eastAsia" w:ascii="仿宋_GB2312" w:hAnsi="仿宋" w:eastAsia="仿宋_GB2312" w:cs="Times New Roman"/>
          <w:sz w:val="32"/>
          <w:szCs w:val="32"/>
        </w:rPr>
      </w:pPr>
      <w:r>
        <w:rPr>
          <w:rFonts w:hint="eastAsia" w:ascii="仿宋_GB2312" w:hAnsi="仿宋" w:eastAsia="仿宋_GB2312" w:cs="Times New Roman"/>
          <w:sz w:val="32"/>
          <w:szCs w:val="32"/>
        </w:rPr>
        <w:t>预算收入完成率＝年终执行数÷全年预算数×100%</w:t>
      </w:r>
    </w:p>
    <w:p>
      <w:pPr>
        <w:snapToGrid w:val="0"/>
        <w:ind w:firstLine="640" w:firstLineChars="200"/>
        <w:rPr>
          <w:rFonts w:hint="eastAsia" w:ascii="仿宋_GB2312" w:hAnsi="仿宋" w:eastAsia="仿宋_GB2312" w:cs="Times New Roman"/>
          <w:sz w:val="32"/>
          <w:szCs w:val="32"/>
        </w:rPr>
      </w:pPr>
      <w:r>
        <w:rPr>
          <w:rFonts w:hint="eastAsia" w:ascii="仿宋_GB2312" w:hAnsi="仿宋" w:eastAsia="仿宋_GB2312" w:cs="Times New Roman"/>
          <w:sz w:val="32"/>
          <w:szCs w:val="32"/>
        </w:rPr>
        <w:t>年终执行数不含上年结转和结余收入数</w:t>
      </w:r>
    </w:p>
    <w:p>
      <w:pPr>
        <w:snapToGrid w:val="0"/>
        <w:ind w:firstLine="640" w:firstLineChars="200"/>
        <w:rPr>
          <w:rFonts w:hint="eastAsia" w:ascii="仿宋_GB2312" w:hAnsi="仿宋" w:eastAsia="仿宋_GB2312" w:cs="Times New Roman"/>
          <w:sz w:val="32"/>
          <w:szCs w:val="32"/>
        </w:rPr>
      </w:pPr>
      <w:r>
        <w:rPr>
          <w:rFonts w:hint="eastAsia" w:ascii="仿宋_GB2312" w:hAnsi="仿宋" w:eastAsia="仿宋_GB2312" w:cs="Times New Roman"/>
          <w:sz w:val="32"/>
          <w:szCs w:val="32"/>
        </w:rPr>
        <w:t>预算支出完成率＝年终执行数÷全年预算数×100%</w:t>
      </w:r>
    </w:p>
    <w:p>
      <w:pPr>
        <w:snapToGrid w:val="0"/>
        <w:ind w:firstLine="640" w:firstLineChars="200"/>
        <w:rPr>
          <w:rFonts w:hint="eastAsia" w:ascii="仿宋_GB2312" w:hAnsi="仿宋" w:eastAsia="仿宋_GB2312" w:cs="Times New Roman"/>
          <w:sz w:val="32"/>
          <w:szCs w:val="32"/>
        </w:rPr>
      </w:pPr>
      <w:r>
        <w:rPr>
          <w:rFonts w:hint="eastAsia" w:ascii="仿宋_GB2312" w:hAnsi="仿宋" w:eastAsia="仿宋_GB2312" w:cs="Times New Roman"/>
          <w:sz w:val="32"/>
          <w:szCs w:val="32"/>
        </w:rPr>
        <w:t>年终执行数不含上年结转和结余支出数</w:t>
      </w:r>
    </w:p>
    <w:p>
      <w:pPr>
        <w:snapToGrid w:val="0"/>
        <w:ind w:firstLine="640" w:firstLineChars="200"/>
        <w:rPr>
          <w:rFonts w:hint="eastAsia" w:ascii="仿宋_GB2312" w:hAnsi="仿宋" w:eastAsia="仿宋_GB2312" w:cs="Times New Roman"/>
          <w:sz w:val="32"/>
          <w:szCs w:val="32"/>
        </w:rPr>
      </w:pPr>
      <w:r>
        <w:rPr>
          <w:rFonts w:hint="eastAsia" w:ascii="仿宋_GB2312" w:hAnsi="仿宋" w:eastAsia="仿宋_GB2312" w:cs="Times New Roman"/>
          <w:sz w:val="32"/>
          <w:szCs w:val="32"/>
        </w:rPr>
        <w:t>2.人员支出、公用支出占事业支出的比率，衡量事业单位事业支出结构。计算公式为：</w:t>
      </w:r>
    </w:p>
    <w:p>
      <w:pPr>
        <w:snapToGrid w:val="0"/>
        <w:ind w:firstLine="640" w:firstLineChars="200"/>
        <w:rPr>
          <w:rFonts w:hint="eastAsia" w:ascii="仿宋_GB2312" w:hAnsi="仿宋" w:eastAsia="仿宋_GB2312" w:cs="Times New Roman"/>
          <w:sz w:val="32"/>
          <w:szCs w:val="32"/>
        </w:rPr>
      </w:pPr>
      <w:r>
        <w:rPr>
          <w:rFonts w:hint="eastAsia" w:ascii="仿宋_GB2312" w:hAnsi="仿宋" w:eastAsia="仿宋_GB2312" w:cs="Times New Roman"/>
          <w:sz w:val="32"/>
          <w:szCs w:val="32"/>
        </w:rPr>
        <w:t>人员支出比率＝人员支出÷事业支出×100%</w:t>
      </w:r>
    </w:p>
    <w:p>
      <w:pPr>
        <w:snapToGrid w:val="0"/>
        <w:ind w:firstLine="640" w:firstLineChars="200"/>
        <w:rPr>
          <w:rFonts w:hint="eastAsia" w:ascii="仿宋_GB2312" w:hAnsi="仿宋" w:eastAsia="仿宋_GB2312" w:cs="Times New Roman"/>
          <w:sz w:val="32"/>
          <w:szCs w:val="32"/>
        </w:rPr>
      </w:pPr>
      <w:r>
        <w:rPr>
          <w:rFonts w:hint="eastAsia" w:ascii="仿宋_GB2312" w:hAnsi="仿宋" w:eastAsia="仿宋_GB2312" w:cs="Times New Roman"/>
          <w:sz w:val="32"/>
          <w:szCs w:val="32"/>
        </w:rPr>
        <w:t>公用支出比率＝公用支出÷事业支出×100%</w:t>
      </w:r>
    </w:p>
    <w:p>
      <w:pPr>
        <w:snapToGrid w:val="0"/>
        <w:ind w:firstLine="640" w:firstLineChars="200"/>
        <w:rPr>
          <w:rFonts w:hint="eastAsia" w:ascii="仿宋_GB2312" w:hAnsi="仿宋" w:eastAsia="仿宋_GB2312" w:cs="Times New Roman"/>
          <w:sz w:val="32"/>
          <w:szCs w:val="32"/>
        </w:rPr>
      </w:pPr>
      <w:r>
        <w:rPr>
          <w:rFonts w:hint="eastAsia" w:ascii="仿宋_GB2312" w:hAnsi="仿宋" w:eastAsia="仿宋_GB2312" w:cs="Times New Roman"/>
          <w:sz w:val="32"/>
          <w:szCs w:val="32"/>
        </w:rPr>
        <w:t>3.人均基本支出，衡量事业单位按照实际在编人数平均的基本支出水平。计算公式为：</w:t>
      </w:r>
    </w:p>
    <w:p>
      <w:pPr>
        <w:snapToGrid w:val="0"/>
        <w:ind w:firstLine="640" w:firstLineChars="200"/>
        <w:rPr>
          <w:rFonts w:hint="eastAsia" w:ascii="仿宋_GB2312" w:hAnsi="仿宋" w:eastAsia="仿宋_GB2312" w:cs="Times New Roman"/>
          <w:b/>
          <w:sz w:val="32"/>
          <w:szCs w:val="32"/>
        </w:rPr>
      </w:pPr>
      <w:r>
        <w:rPr>
          <w:rFonts w:hint="eastAsia" w:ascii="仿宋_GB2312" w:hAnsi="仿宋" w:eastAsia="仿宋_GB2312" w:cs="Times New Roman"/>
          <w:sz w:val="32"/>
          <w:szCs w:val="32"/>
        </w:rPr>
        <w:t>人均基本支出＝（基本支出-离退休人员支出）÷实际在编人数</w:t>
      </w:r>
    </w:p>
    <w:p>
      <w:pPr>
        <w:snapToGrid w:val="0"/>
        <w:ind w:firstLine="640" w:firstLineChars="200"/>
        <w:rPr>
          <w:rFonts w:hint="eastAsia" w:ascii="仿宋_GB2312" w:hAnsi="仿宋" w:eastAsia="仿宋_GB2312" w:cs="Times New Roman"/>
          <w:sz w:val="32"/>
          <w:szCs w:val="32"/>
        </w:rPr>
      </w:pPr>
    </w:p>
    <w:p>
      <w:pPr>
        <w:snapToGrid w:val="0"/>
        <w:ind w:firstLine="640" w:firstLineChars="200"/>
        <w:rPr>
          <w:rFonts w:hint="eastAsia" w:ascii="仿宋_GB2312" w:hAnsi="仿宋" w:eastAsia="仿宋_GB2312" w:cs="Times New Roman"/>
          <w:sz w:val="32"/>
          <w:szCs w:val="32"/>
        </w:rPr>
      </w:pPr>
      <w:r>
        <w:rPr>
          <w:rFonts w:hint="eastAsia" w:ascii="仿宋_GB2312" w:hAnsi="仿宋" w:eastAsia="仿宋_GB2312" w:cs="Times New Roman"/>
          <w:sz w:val="32"/>
          <w:szCs w:val="32"/>
        </w:rPr>
        <w:t>此外，行业事业单位还可根据相关财务制度规定和分析需要增加相关分析指标，如：</w:t>
      </w:r>
    </w:p>
    <w:p>
      <w:pPr>
        <w:ind w:firstLine="707" w:firstLineChars="221"/>
        <w:rPr>
          <w:rFonts w:hint="eastAsia" w:ascii="仿宋_GB2312" w:hAnsi="仿宋" w:eastAsia="仿宋_GB2312" w:cs="Times New Roman"/>
          <w:sz w:val="32"/>
          <w:szCs w:val="32"/>
        </w:rPr>
      </w:pPr>
      <w:r>
        <w:rPr>
          <w:rFonts w:hint="eastAsia" w:ascii="仿宋_GB2312" w:hAnsi="仿宋" w:eastAsia="仿宋_GB2312" w:cs="Times New Roman"/>
          <w:sz w:val="32"/>
          <w:szCs w:val="32"/>
        </w:rPr>
        <w:t>1.财政拨款依存度, 衡量部门（单位）对财政拨款的依赖程度。</w:t>
      </w:r>
    </w:p>
    <w:p>
      <w:pPr>
        <w:widowControl/>
        <w:ind w:firstLine="640" w:firstLineChars="200"/>
        <w:textAlignment w:val="center"/>
        <w:rPr>
          <w:rFonts w:hint="eastAsia" w:ascii="仿宋_GB2312" w:hAnsi="仿宋" w:eastAsia="仿宋_GB2312" w:cs="Times New Roman"/>
          <w:sz w:val="32"/>
          <w:szCs w:val="32"/>
        </w:rPr>
      </w:pPr>
      <w:r>
        <w:rPr>
          <w:rFonts w:hint="eastAsia" w:ascii="仿宋_GB2312" w:hAnsi="仿宋" w:eastAsia="仿宋_GB2312" w:cs="Times New Roman"/>
          <w:sz w:val="32"/>
          <w:szCs w:val="32"/>
        </w:rPr>
        <w:t>财政拨款依存度＝财政拨款收入÷收入总额×100%</w:t>
      </w:r>
    </w:p>
    <w:p>
      <w:pPr>
        <w:rPr>
          <w:rFonts w:ascii="黑体" w:hAnsi="黑体" w:eastAsia="黑体" w:cs="黑体"/>
          <w:spacing w:val="-3"/>
          <w:sz w:val="31"/>
          <w:szCs w:val="31"/>
        </w:rPr>
      </w:pPr>
      <w:r>
        <w:rPr>
          <w:rFonts w:ascii="黑体" w:hAnsi="黑体" w:eastAsia="黑体" w:cs="黑体"/>
          <w:spacing w:val="-3"/>
          <w:sz w:val="31"/>
          <w:szCs w:val="31"/>
        </w:rPr>
        <w:br w:type="page"/>
      </w:r>
    </w:p>
    <w:p>
      <w:pPr>
        <w:jc w:val="both"/>
        <w:rPr>
          <w:rFonts w:hint="default" w:ascii="Times New Roman" w:hAnsi="Times New Roman" w:eastAsia="方正小标宋_GBK" w:cs="Times New Roman"/>
          <w:sz w:val="52"/>
          <w:szCs w:val="52"/>
        </w:rPr>
        <w:sectPr>
          <w:footerReference r:id="rId4" w:type="default"/>
          <w:pgSz w:w="11905" w:h="16838"/>
          <w:pgMar w:top="1984" w:right="1701" w:bottom="1984" w:left="1701" w:header="850" w:footer="992" w:gutter="0"/>
          <w:pgNumType w:fmt="numberInDash"/>
          <w:cols w:space="0" w:num="1"/>
          <w:rtlGutter w:val="0"/>
          <w:docGrid w:type="lines" w:linePitch="314" w:charSpace="0"/>
        </w:sect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rPr>
        <w:t>附件</w:t>
      </w:r>
      <w:r>
        <w:rPr>
          <w:rFonts w:hint="eastAsia" w:ascii="仿宋_GB2312" w:hAnsi="仿宋_GB2312" w:eastAsia="仿宋_GB2312" w:cs="仿宋_GB2312"/>
          <w:spacing w:val="-4"/>
          <w:sz w:val="32"/>
          <w:szCs w:val="32"/>
          <w:lang w:val="en-US" w:eastAsia="zh-CN"/>
        </w:rPr>
        <w:t>4</w:t>
      </w:r>
    </w:p>
    <w:p>
      <w:pPr>
        <w:pStyle w:val="9"/>
        <w:keepNext w:val="0"/>
        <w:keepLines w:val="0"/>
        <w:pageBreakBefore w:val="0"/>
        <w:widowControl w:val="0"/>
        <w:kinsoku/>
        <w:wordWrap/>
        <w:overflowPunct/>
        <w:topLinePunct w:val="0"/>
        <w:autoSpaceDE/>
        <w:autoSpaceDN/>
        <w:bidi w:val="0"/>
        <w:adjustRightInd/>
        <w:snapToGrid w:val="0"/>
        <w:spacing w:line="580" w:lineRule="exact"/>
        <w:textAlignment w:val="auto"/>
        <w:rPr>
          <w:rFonts w:hint="eastAsia"/>
          <w:lang w:val="en-US" w:eastAsia="zh-CN"/>
        </w:rPr>
      </w:pPr>
    </w:p>
    <w:p>
      <w:pPr>
        <w:keepNext w:val="0"/>
        <w:keepLines w:val="0"/>
        <w:pageBreakBefore w:val="0"/>
        <w:widowControl w:val="0"/>
        <w:kinsoku/>
        <w:wordWrap/>
        <w:overflowPunct/>
        <w:topLinePunct w:val="0"/>
        <w:autoSpaceDE/>
        <w:autoSpaceDN/>
        <w:bidi w:val="0"/>
        <w:adjustRightInd/>
        <w:snapToGrid/>
        <w:spacing w:line="580" w:lineRule="exact"/>
        <w:ind w:left="0" w:firstLine="0" w:firstLineChars="0"/>
        <w:jc w:val="center"/>
        <w:textAlignment w:val="auto"/>
        <w:rPr>
          <w:rFonts w:hint="eastAsia" w:ascii="方正小标宋简体" w:hAnsi="方正小标宋简体" w:eastAsia="方正小标宋简体" w:cs="方正小标宋简体"/>
          <w:spacing w:val="6"/>
          <w:sz w:val="44"/>
          <w:szCs w:val="44"/>
        </w:rPr>
      </w:pPr>
      <w:r>
        <w:rPr>
          <w:rFonts w:hint="eastAsia" w:ascii="方正小标宋简体" w:hAnsi="方正小标宋简体" w:eastAsia="方正小标宋简体" w:cs="方正小标宋简体"/>
          <w:spacing w:val="6"/>
          <w:sz w:val="44"/>
          <w:szCs w:val="44"/>
        </w:rPr>
        <w:t>2023年度部门整体支出绩效自评表</w:t>
      </w:r>
    </w:p>
    <w:p>
      <w:pPr>
        <w:spacing w:line="132" w:lineRule="exact"/>
      </w:pPr>
    </w:p>
    <w:tbl>
      <w:tblPr>
        <w:tblStyle w:val="19"/>
        <w:tblW w:w="5047"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822"/>
        <w:gridCol w:w="990"/>
        <w:gridCol w:w="957"/>
        <w:gridCol w:w="36"/>
        <w:gridCol w:w="985"/>
        <w:gridCol w:w="7"/>
        <w:gridCol w:w="1043"/>
        <w:gridCol w:w="1079"/>
        <w:gridCol w:w="603"/>
        <w:gridCol w:w="720"/>
        <w:gridCol w:w="1347"/>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1" w:hRule="atLeast"/>
          <w:jc w:val="center"/>
        </w:trPr>
        <w:tc>
          <w:tcPr>
            <w:tcW w:w="1612" w:type="pct"/>
            <w:gridSpan w:val="3"/>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黑体" w:hAnsi="黑体" w:eastAsia="黑体" w:cs="黑体"/>
                <w:sz w:val="21"/>
                <w:szCs w:val="21"/>
              </w:rPr>
              <w:t>省级预算部门、单位名称</w:t>
            </w:r>
          </w:p>
        </w:tc>
        <w:tc>
          <w:tcPr>
            <w:tcW w:w="3387" w:type="pct"/>
            <w:gridSpan w:val="8"/>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华容县农业农村局</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20" w:hRule="atLeast"/>
          <w:jc w:val="center"/>
        </w:trPr>
        <w:tc>
          <w:tcPr>
            <w:tcW w:w="479" w:type="pct"/>
            <w:vMerge w:val="restart"/>
            <w:tcBorders>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年度预算申请（万元）</w:t>
            </w:r>
          </w:p>
        </w:tc>
        <w:tc>
          <w:tcPr>
            <w:tcW w:w="1132" w:type="pct"/>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94" w:type="pct"/>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年初</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预算数</w:t>
            </w:r>
          </w:p>
        </w:tc>
        <w:tc>
          <w:tcPr>
            <w:tcW w:w="611" w:type="pct"/>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全年</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预算数</w:t>
            </w:r>
          </w:p>
        </w:tc>
        <w:tc>
          <w:tcPr>
            <w:tcW w:w="627"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全年</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执行数</w:t>
            </w:r>
          </w:p>
        </w:tc>
        <w:tc>
          <w:tcPr>
            <w:tcW w:w="351"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分值</w:t>
            </w:r>
          </w:p>
        </w:tc>
        <w:tc>
          <w:tcPr>
            <w:tcW w:w="419"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执行率</w:t>
            </w:r>
          </w:p>
        </w:tc>
        <w:tc>
          <w:tcPr>
            <w:tcW w:w="782"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自评得分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0" w:hRule="atLeast"/>
          <w:jc w:val="center"/>
        </w:trPr>
        <w:tc>
          <w:tcPr>
            <w:tcW w:w="479" w:type="pct"/>
            <w:vMerge w:val="continue"/>
            <w:tcBorders>
              <w:top w:val="nil"/>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1132" w:type="pct"/>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黑体" w:hAnsi="黑体" w:eastAsia="黑体" w:cs="黑体"/>
                <w:sz w:val="21"/>
                <w:szCs w:val="21"/>
              </w:rPr>
              <w:t>年度资金总额</w:t>
            </w:r>
          </w:p>
        </w:tc>
        <w:tc>
          <w:tcPr>
            <w:tcW w:w="594" w:type="pct"/>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1263.03</w:t>
            </w:r>
          </w:p>
        </w:tc>
        <w:tc>
          <w:tcPr>
            <w:tcW w:w="611" w:type="pct"/>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54455.48</w:t>
            </w:r>
          </w:p>
        </w:tc>
        <w:tc>
          <w:tcPr>
            <w:tcW w:w="627"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54455.48</w:t>
            </w:r>
          </w:p>
        </w:tc>
        <w:tc>
          <w:tcPr>
            <w:tcW w:w="351"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10</w:t>
            </w:r>
          </w:p>
        </w:tc>
        <w:tc>
          <w:tcPr>
            <w:tcW w:w="419"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782"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0" w:hRule="atLeast"/>
          <w:jc w:val="center"/>
        </w:trPr>
        <w:tc>
          <w:tcPr>
            <w:tcW w:w="479" w:type="pct"/>
            <w:vMerge w:val="continue"/>
            <w:tcBorders>
              <w:top w:val="nil"/>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2338" w:type="pct"/>
            <w:gridSpan w:val="6"/>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58" w:firstLineChars="28"/>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按收入性质分：</w:t>
            </w:r>
          </w:p>
        </w:tc>
        <w:tc>
          <w:tcPr>
            <w:tcW w:w="2181" w:type="pct"/>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按支出性质分：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0" w:hRule="atLeast"/>
          <w:jc w:val="center"/>
        </w:trPr>
        <w:tc>
          <w:tcPr>
            <w:tcW w:w="479" w:type="pct"/>
            <w:vMerge w:val="continue"/>
            <w:tcBorders>
              <w:top w:val="nil"/>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2338" w:type="pct"/>
            <w:gridSpan w:val="6"/>
            <w:vAlign w:val="center"/>
          </w:tcPr>
          <w:p>
            <w:pPr>
              <w:keepNext w:val="0"/>
              <w:keepLines w:val="0"/>
              <w:pageBreakBefore w:val="0"/>
              <w:widowControl w:val="0"/>
              <w:kinsoku/>
              <w:wordWrap/>
              <w:overflowPunct/>
              <w:topLinePunct w:val="0"/>
              <w:autoSpaceDE/>
              <w:autoSpaceDN/>
              <w:bidi w:val="0"/>
              <w:adjustRightInd/>
              <w:snapToGrid/>
              <w:spacing w:line="260" w:lineRule="exact"/>
              <w:ind w:firstLine="210" w:firstLineChars="100"/>
              <w:jc w:val="both"/>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其中：一般公共预算：</w:t>
            </w:r>
            <w:r>
              <w:rPr>
                <w:rFonts w:hint="eastAsia" w:asciiTheme="minorEastAsia" w:hAnsiTheme="minorEastAsia" w:eastAsiaTheme="minorEastAsia" w:cstheme="minorEastAsia"/>
                <w:sz w:val="21"/>
                <w:szCs w:val="21"/>
                <w:lang w:val="en-US" w:eastAsia="zh-CN"/>
              </w:rPr>
              <w:t>41484.29</w:t>
            </w:r>
          </w:p>
        </w:tc>
        <w:tc>
          <w:tcPr>
            <w:tcW w:w="2181" w:type="pct"/>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ind w:firstLine="210" w:firstLineChars="100"/>
              <w:jc w:val="left"/>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其中：基本支出：</w:t>
            </w:r>
            <w:r>
              <w:rPr>
                <w:rFonts w:hint="eastAsia" w:asciiTheme="minorEastAsia" w:hAnsiTheme="minorEastAsia" w:eastAsiaTheme="minorEastAsia" w:cstheme="minorEastAsia"/>
                <w:sz w:val="21"/>
                <w:szCs w:val="21"/>
                <w:lang w:val="en-US" w:eastAsia="zh-CN"/>
              </w:rPr>
              <w:t>1569.04</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0" w:hRule="atLeast"/>
          <w:jc w:val="center"/>
        </w:trPr>
        <w:tc>
          <w:tcPr>
            <w:tcW w:w="479" w:type="pct"/>
            <w:vMerge w:val="continue"/>
            <w:tcBorders>
              <w:top w:val="nil"/>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2338" w:type="pct"/>
            <w:gridSpan w:val="6"/>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840" w:firstLineChars="400"/>
              <w:jc w:val="both"/>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政府性基金拨款：</w:t>
            </w:r>
            <w:r>
              <w:rPr>
                <w:rFonts w:hint="eastAsia" w:asciiTheme="minorEastAsia" w:hAnsiTheme="minorEastAsia" w:eastAsiaTheme="minorEastAsia" w:cstheme="minorEastAsia"/>
                <w:sz w:val="21"/>
                <w:szCs w:val="21"/>
                <w:lang w:val="en-US" w:eastAsia="zh-CN"/>
              </w:rPr>
              <w:t>12971.19</w:t>
            </w:r>
          </w:p>
        </w:tc>
        <w:tc>
          <w:tcPr>
            <w:tcW w:w="2181" w:type="pct"/>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ind w:firstLine="840" w:firstLineChars="400"/>
              <w:jc w:val="left"/>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项目支出：</w:t>
            </w:r>
            <w:r>
              <w:rPr>
                <w:rFonts w:hint="eastAsia" w:asciiTheme="minorEastAsia" w:hAnsiTheme="minorEastAsia" w:eastAsiaTheme="minorEastAsia" w:cstheme="minorEastAsia"/>
                <w:sz w:val="21"/>
                <w:szCs w:val="21"/>
                <w:lang w:val="en-US" w:eastAsia="zh-CN"/>
              </w:rPr>
              <w:t>52886.44</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0" w:hRule="atLeast"/>
          <w:jc w:val="center"/>
        </w:trPr>
        <w:tc>
          <w:tcPr>
            <w:tcW w:w="479" w:type="pct"/>
            <w:vMerge w:val="continue"/>
            <w:tcBorders>
              <w:top w:val="nil"/>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2338" w:type="pct"/>
            <w:gridSpan w:val="6"/>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840" w:firstLineChars="4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纳入专户管理的非税收入拨款：</w:t>
            </w:r>
          </w:p>
        </w:tc>
        <w:tc>
          <w:tcPr>
            <w:tcW w:w="2181" w:type="pct"/>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jc w:val="left"/>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0" w:hRule="atLeast"/>
          <w:jc w:val="center"/>
        </w:trPr>
        <w:tc>
          <w:tcPr>
            <w:tcW w:w="479" w:type="pct"/>
            <w:vMerge w:val="continue"/>
            <w:tcBorders>
              <w:top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2338" w:type="pct"/>
            <w:gridSpan w:val="6"/>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840" w:firstLineChars="4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其他资金：</w:t>
            </w:r>
          </w:p>
        </w:tc>
        <w:tc>
          <w:tcPr>
            <w:tcW w:w="2181" w:type="pct"/>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jc w:val="left"/>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0" w:hRule="atLeast"/>
          <w:jc w:val="center"/>
        </w:trPr>
        <w:tc>
          <w:tcPr>
            <w:tcW w:w="479" w:type="pct"/>
            <w:vMerge w:val="restart"/>
            <w:tcBorders>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年度</w:t>
            </w:r>
            <w:r>
              <w:rPr>
                <w:rFonts w:hint="eastAsia" w:ascii="黑体" w:hAnsi="黑体" w:eastAsia="黑体" w:cs="黑体"/>
                <w:sz w:val="21"/>
                <w:szCs w:val="21"/>
                <w:lang w:eastAsia="zh-CN"/>
              </w:rPr>
              <w:t>总</w:t>
            </w:r>
            <w:r>
              <w:rPr>
                <w:rFonts w:hint="eastAsia" w:ascii="黑体" w:hAnsi="黑体" w:eastAsia="黑体" w:cs="黑体"/>
                <w:sz w:val="21"/>
                <w:szCs w:val="21"/>
              </w:rPr>
              <w:t>体目标</w:t>
            </w:r>
          </w:p>
        </w:tc>
        <w:tc>
          <w:tcPr>
            <w:tcW w:w="2338" w:type="pct"/>
            <w:gridSpan w:val="6"/>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预期目标</w:t>
            </w:r>
          </w:p>
        </w:tc>
        <w:tc>
          <w:tcPr>
            <w:tcW w:w="2181" w:type="pct"/>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实际完成情况</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0" w:hRule="atLeast"/>
          <w:jc w:val="center"/>
        </w:trPr>
        <w:tc>
          <w:tcPr>
            <w:tcW w:w="479" w:type="pct"/>
            <w:vMerge w:val="continue"/>
            <w:tcBorders>
              <w:top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2338" w:type="pct"/>
            <w:gridSpan w:val="6"/>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2181" w:type="pct"/>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60" w:hRule="atLeast"/>
          <w:jc w:val="center"/>
        </w:trPr>
        <w:tc>
          <w:tcPr>
            <w:tcW w:w="479" w:type="pct"/>
            <w:vMerge w:val="restar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绩</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效</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标</w:t>
            </w:r>
          </w:p>
        </w:tc>
        <w:tc>
          <w:tcPr>
            <w:tcW w:w="576" w:type="pct"/>
            <w:tcBorders>
              <w:bottom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一级</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指标</w:t>
            </w:r>
          </w:p>
        </w:tc>
        <w:tc>
          <w:tcPr>
            <w:tcW w:w="578" w:type="pct"/>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二级</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指标</w:t>
            </w:r>
          </w:p>
        </w:tc>
        <w:tc>
          <w:tcPr>
            <w:tcW w:w="577" w:type="pct"/>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三级</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指标</w:t>
            </w:r>
          </w:p>
        </w:tc>
        <w:tc>
          <w:tcPr>
            <w:tcW w:w="605"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年度</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指标值</w:t>
            </w:r>
          </w:p>
        </w:tc>
        <w:tc>
          <w:tcPr>
            <w:tcW w:w="627"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实际</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完成值</w:t>
            </w:r>
          </w:p>
        </w:tc>
        <w:tc>
          <w:tcPr>
            <w:tcW w:w="351"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分值</w:t>
            </w:r>
          </w:p>
        </w:tc>
        <w:tc>
          <w:tcPr>
            <w:tcW w:w="419"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自评</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得分</w:t>
            </w:r>
          </w:p>
        </w:tc>
        <w:tc>
          <w:tcPr>
            <w:tcW w:w="782"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lang w:eastAsia="zh-CN"/>
              </w:rPr>
              <w:t>偏差原因分析</w:t>
            </w:r>
            <w:r>
              <w:rPr>
                <w:rFonts w:hint="eastAsia" w:ascii="黑体" w:hAnsi="黑体" w:eastAsia="黑体" w:cs="黑体"/>
                <w:sz w:val="21"/>
                <w:szCs w:val="21"/>
              </w:rPr>
              <w:t>及改进措施</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25" w:hRule="atLeast"/>
          <w:jc w:val="center"/>
        </w:trPr>
        <w:tc>
          <w:tcPr>
            <w:tcW w:w="479" w:type="pct"/>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76" w:type="pct"/>
            <w:vMerge w:val="restar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产</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出</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r>
              <w:rPr>
                <w:rFonts w:hint="eastAsia" w:asciiTheme="minorEastAsia" w:hAnsiTheme="minorEastAsia" w:eastAsiaTheme="minorEastAsia" w:cstheme="minorEastAsia"/>
                <w:sz w:val="21"/>
                <w:szCs w:val="21"/>
                <w:lang w:val="en-US" w:eastAsia="zh-CN"/>
              </w:rPr>
              <w:t>3</w:t>
            </w:r>
            <w:r>
              <w:rPr>
                <w:rFonts w:hint="eastAsia" w:asciiTheme="minorEastAsia" w:hAnsiTheme="minorEastAsia" w:eastAsiaTheme="minorEastAsia" w:cstheme="minorEastAsia"/>
                <w:sz w:val="21"/>
                <w:szCs w:val="21"/>
              </w:rPr>
              <w:t>0分</w:t>
            </w:r>
            <w:r>
              <w:rPr>
                <w:rFonts w:hint="eastAsia" w:asciiTheme="minorEastAsia" w:hAnsiTheme="minorEastAsia" w:eastAsiaTheme="minorEastAsia" w:cstheme="minorEastAsia"/>
                <w:sz w:val="21"/>
                <w:szCs w:val="21"/>
                <w:lang w:eastAsia="zh-CN"/>
              </w:rPr>
              <w:t>）</w:t>
            </w:r>
          </w:p>
        </w:tc>
        <w:tc>
          <w:tcPr>
            <w:tcW w:w="578" w:type="pct"/>
            <w:gridSpan w:val="2"/>
            <w:tcBorders>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数量指标</w:t>
            </w:r>
          </w:p>
        </w:tc>
        <w:tc>
          <w:tcPr>
            <w:tcW w:w="577" w:type="pct"/>
            <w:gridSpan w:val="2"/>
            <w:vAlign w:val="center"/>
          </w:tcPr>
          <w:p>
            <w:pPr>
              <w:autoSpaceDN w:val="0"/>
              <w:spacing w:line="320" w:lineRule="exact"/>
              <w:jc w:val="left"/>
              <w:textAlignment w:val="center"/>
              <w:rPr>
                <w:rFonts w:hint="default" w:asciiTheme="minorEastAsia" w:hAnsiTheme="minorEastAsia" w:eastAsiaTheme="minorEastAsia" w:cstheme="minorEastAsia"/>
                <w:sz w:val="21"/>
                <w:szCs w:val="21"/>
                <w:lang w:val="en-US" w:eastAsia="zh-CN"/>
              </w:rPr>
            </w:pPr>
            <w:r>
              <w:rPr>
                <w:rFonts w:hint="eastAsia" w:ascii="仿宋_GB2312" w:hAnsi="仿宋_GB2312" w:eastAsia="仿宋_GB2312" w:cs="仿宋_GB2312"/>
                <w:color w:val="000000"/>
                <w:sz w:val="24"/>
                <w:lang w:val="en-US" w:eastAsia="zh-CN"/>
              </w:rPr>
              <w:t>资金发放率</w:t>
            </w:r>
          </w:p>
        </w:tc>
        <w:tc>
          <w:tcPr>
            <w:tcW w:w="605" w:type="pct"/>
            <w:vAlign w:val="center"/>
          </w:tcPr>
          <w:p>
            <w:pPr>
              <w:autoSpaceDN w:val="0"/>
              <w:spacing w:line="320" w:lineRule="exact"/>
              <w:jc w:val="both"/>
              <w:textAlignment w:val="center"/>
              <w:rPr>
                <w:rFonts w:hint="eastAsia" w:asciiTheme="minorEastAsia" w:hAnsiTheme="minorEastAsia" w:eastAsiaTheme="minorEastAsia" w:cstheme="minorEastAsia"/>
                <w:sz w:val="21"/>
                <w:szCs w:val="21"/>
              </w:rPr>
            </w:pPr>
            <w:r>
              <w:rPr>
                <w:rFonts w:hint="eastAsia" w:ascii="宋体" w:hAnsi="宋体" w:cs="宋体"/>
                <w:kern w:val="0"/>
                <w:sz w:val="20"/>
                <w:szCs w:val="20"/>
                <w:lang w:val="en-US" w:eastAsia="zh-CN"/>
              </w:rPr>
              <w:t>≥95%</w:t>
            </w:r>
          </w:p>
        </w:tc>
        <w:tc>
          <w:tcPr>
            <w:tcW w:w="627" w:type="pct"/>
            <w:vAlign w:val="center"/>
          </w:tcPr>
          <w:p>
            <w:pPr>
              <w:autoSpaceDN w:val="0"/>
              <w:spacing w:line="320" w:lineRule="exact"/>
              <w:jc w:val="left"/>
              <w:textAlignment w:val="center"/>
              <w:rPr>
                <w:rFonts w:hint="eastAsia" w:asciiTheme="minorEastAsia" w:hAnsiTheme="minorEastAsia" w:eastAsiaTheme="minorEastAsia" w:cstheme="minorEastAsia"/>
                <w:sz w:val="21"/>
                <w:szCs w:val="21"/>
              </w:rPr>
            </w:pPr>
            <w:r>
              <w:rPr>
                <w:rFonts w:hint="eastAsia" w:ascii="宋体" w:hAnsi="宋体" w:cs="宋体"/>
                <w:kern w:val="0"/>
                <w:sz w:val="20"/>
                <w:szCs w:val="20"/>
                <w:lang w:val="en-US" w:eastAsia="zh-CN"/>
              </w:rPr>
              <w:t>≥95%</w:t>
            </w:r>
          </w:p>
        </w:tc>
        <w:tc>
          <w:tcPr>
            <w:tcW w:w="351" w:type="pct"/>
            <w:vAlign w:val="center"/>
          </w:tcPr>
          <w:p>
            <w:pPr>
              <w:autoSpaceDN w:val="0"/>
              <w:spacing w:line="320" w:lineRule="exact"/>
              <w:jc w:val="center"/>
              <w:textAlignment w:val="center"/>
              <w:rPr>
                <w:rFonts w:hint="default" w:asciiTheme="minorEastAsia" w:hAnsiTheme="minorEastAsia" w:eastAsiaTheme="minorEastAsia" w:cstheme="minorEastAsia"/>
                <w:sz w:val="21"/>
                <w:szCs w:val="21"/>
                <w:lang w:val="en-US"/>
              </w:rPr>
            </w:pPr>
            <w:r>
              <w:rPr>
                <w:rFonts w:hint="eastAsia" w:ascii="仿宋_GB2312" w:hAnsi="仿宋_GB2312" w:eastAsia="仿宋_GB2312" w:cs="仿宋_GB2312"/>
                <w:color w:val="000000"/>
                <w:sz w:val="24"/>
                <w:lang w:val="en-US" w:eastAsia="zh-CN"/>
              </w:rPr>
              <w:t>10</w:t>
            </w:r>
          </w:p>
        </w:tc>
        <w:tc>
          <w:tcPr>
            <w:tcW w:w="419" w:type="pct"/>
            <w:vAlign w:val="center"/>
          </w:tcPr>
          <w:p>
            <w:pPr>
              <w:autoSpaceDN w:val="0"/>
              <w:spacing w:line="320" w:lineRule="exact"/>
              <w:jc w:val="left"/>
              <w:textAlignment w:val="center"/>
              <w:rPr>
                <w:rFonts w:hint="default" w:asciiTheme="minorEastAsia" w:hAnsiTheme="minorEastAsia" w:eastAsiaTheme="minorEastAsia" w:cstheme="minorEastAsia"/>
                <w:sz w:val="21"/>
                <w:szCs w:val="21"/>
                <w:lang w:val="en-US" w:eastAsia="zh-CN"/>
              </w:rPr>
            </w:pPr>
            <w:r>
              <w:rPr>
                <w:rFonts w:hint="eastAsia" w:ascii="仿宋_GB2312" w:hAnsi="仿宋_GB2312" w:eastAsia="仿宋_GB2312" w:cs="仿宋_GB2312"/>
                <w:color w:val="000000"/>
                <w:sz w:val="24"/>
                <w:lang w:val="en-US" w:eastAsia="zh-CN"/>
              </w:rPr>
              <w:t>10</w:t>
            </w:r>
          </w:p>
        </w:tc>
        <w:tc>
          <w:tcPr>
            <w:tcW w:w="782" w:type="pct"/>
            <w:vAlign w:val="center"/>
          </w:tcPr>
          <w:p>
            <w:pPr>
              <w:autoSpaceDN w:val="0"/>
              <w:spacing w:line="320" w:lineRule="exact"/>
              <w:jc w:val="both"/>
              <w:textAlignment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jc w:val="center"/>
        </w:trPr>
        <w:tc>
          <w:tcPr>
            <w:tcW w:w="479" w:type="pct"/>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76" w:type="pct"/>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78" w:type="pct"/>
            <w:gridSpan w:val="2"/>
            <w:tcBorders>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质量</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577" w:type="pct"/>
            <w:gridSpan w:val="2"/>
            <w:vAlign w:val="center"/>
          </w:tcPr>
          <w:p>
            <w:pPr>
              <w:autoSpaceDN w:val="0"/>
              <w:spacing w:line="320" w:lineRule="exact"/>
              <w:jc w:val="left"/>
              <w:textAlignment w:val="center"/>
              <w:rPr>
                <w:rFonts w:hint="default" w:asciiTheme="minorEastAsia" w:hAnsiTheme="minorEastAsia" w:eastAsiaTheme="minorEastAsia" w:cstheme="minorEastAsia"/>
                <w:sz w:val="21"/>
                <w:szCs w:val="21"/>
                <w:lang w:val="en-US" w:eastAsia="zh-CN"/>
              </w:rPr>
            </w:pPr>
            <w:r>
              <w:rPr>
                <w:rFonts w:hint="eastAsia" w:ascii="仿宋_GB2312" w:hAnsi="仿宋_GB2312" w:eastAsia="仿宋_GB2312" w:cs="仿宋_GB2312"/>
                <w:color w:val="000000"/>
                <w:sz w:val="24"/>
                <w:lang w:val="en-US" w:eastAsia="zh-CN"/>
              </w:rPr>
              <w:t>补贴对象审核准确性</w:t>
            </w:r>
          </w:p>
        </w:tc>
        <w:tc>
          <w:tcPr>
            <w:tcW w:w="605" w:type="pct"/>
            <w:vAlign w:val="center"/>
          </w:tcPr>
          <w:p>
            <w:pPr>
              <w:autoSpaceDN w:val="0"/>
              <w:spacing w:line="320" w:lineRule="exact"/>
              <w:jc w:val="center"/>
              <w:textAlignment w:val="center"/>
              <w:rPr>
                <w:rFonts w:hint="eastAsia" w:asciiTheme="minorEastAsia" w:hAnsiTheme="minorEastAsia" w:eastAsiaTheme="minorEastAsia" w:cstheme="minorEastAsia"/>
                <w:sz w:val="21"/>
                <w:szCs w:val="21"/>
              </w:rPr>
            </w:pPr>
            <w:r>
              <w:rPr>
                <w:rFonts w:hint="eastAsia" w:ascii="宋体" w:hAnsi="宋体" w:cs="宋体"/>
                <w:kern w:val="0"/>
                <w:sz w:val="20"/>
                <w:szCs w:val="20"/>
                <w:lang w:val="en-US" w:eastAsia="zh-CN"/>
              </w:rPr>
              <w:t>≥95%</w:t>
            </w:r>
          </w:p>
        </w:tc>
        <w:tc>
          <w:tcPr>
            <w:tcW w:w="627" w:type="pct"/>
            <w:vAlign w:val="center"/>
          </w:tcPr>
          <w:p>
            <w:pPr>
              <w:autoSpaceDN w:val="0"/>
              <w:spacing w:line="320" w:lineRule="exact"/>
              <w:jc w:val="left"/>
              <w:textAlignment w:val="center"/>
              <w:rPr>
                <w:rFonts w:hint="eastAsia" w:asciiTheme="minorEastAsia" w:hAnsiTheme="minorEastAsia" w:eastAsiaTheme="minorEastAsia" w:cstheme="minorEastAsia"/>
                <w:sz w:val="21"/>
                <w:szCs w:val="21"/>
              </w:rPr>
            </w:pPr>
            <w:r>
              <w:rPr>
                <w:rFonts w:hint="eastAsia" w:ascii="宋体" w:hAnsi="宋体" w:cs="宋体"/>
                <w:kern w:val="0"/>
                <w:sz w:val="20"/>
                <w:szCs w:val="20"/>
                <w:lang w:val="en-US" w:eastAsia="zh-CN"/>
              </w:rPr>
              <w:t>≥95%</w:t>
            </w:r>
          </w:p>
        </w:tc>
        <w:tc>
          <w:tcPr>
            <w:tcW w:w="351" w:type="pct"/>
            <w:vAlign w:val="center"/>
          </w:tcPr>
          <w:p>
            <w:pPr>
              <w:autoSpaceDN w:val="0"/>
              <w:spacing w:line="320" w:lineRule="exact"/>
              <w:jc w:val="center"/>
              <w:textAlignment w:val="center"/>
              <w:rPr>
                <w:rFonts w:hint="default" w:asciiTheme="minorEastAsia" w:hAnsiTheme="minorEastAsia" w:eastAsiaTheme="minorEastAsia" w:cstheme="minorEastAsia"/>
                <w:sz w:val="21"/>
                <w:szCs w:val="21"/>
                <w:lang w:val="en-US"/>
              </w:rPr>
            </w:pPr>
            <w:r>
              <w:rPr>
                <w:rFonts w:hint="eastAsia" w:ascii="仿宋_GB2312" w:hAnsi="仿宋_GB2312" w:eastAsia="仿宋_GB2312" w:cs="仿宋_GB2312"/>
                <w:b w:val="0"/>
                <w:bCs/>
                <w:color w:val="000000"/>
                <w:sz w:val="24"/>
                <w:lang w:val="en-US" w:eastAsia="zh-CN"/>
              </w:rPr>
              <w:t>10</w:t>
            </w:r>
          </w:p>
        </w:tc>
        <w:tc>
          <w:tcPr>
            <w:tcW w:w="419" w:type="pct"/>
            <w:vAlign w:val="center"/>
          </w:tcPr>
          <w:p>
            <w:pPr>
              <w:autoSpaceDN w:val="0"/>
              <w:spacing w:line="320" w:lineRule="exact"/>
              <w:jc w:val="left"/>
              <w:textAlignment w:val="center"/>
              <w:rPr>
                <w:rFonts w:hint="eastAsia" w:asciiTheme="minorEastAsia" w:hAnsiTheme="minorEastAsia" w:eastAsiaTheme="minorEastAsia" w:cstheme="minorEastAsia"/>
                <w:sz w:val="21"/>
                <w:szCs w:val="21"/>
              </w:rPr>
            </w:pPr>
            <w:r>
              <w:rPr>
                <w:rFonts w:hint="eastAsia" w:ascii="仿宋_GB2312" w:hAnsi="仿宋_GB2312" w:eastAsia="仿宋_GB2312" w:cs="仿宋_GB2312"/>
                <w:color w:val="000000"/>
                <w:sz w:val="24"/>
                <w:lang w:val="en-US" w:eastAsia="zh-CN"/>
              </w:rPr>
              <w:t>10</w:t>
            </w:r>
          </w:p>
        </w:tc>
        <w:tc>
          <w:tcPr>
            <w:tcW w:w="782" w:type="pct"/>
            <w:vAlign w:val="center"/>
          </w:tcPr>
          <w:p>
            <w:pPr>
              <w:autoSpaceDN w:val="0"/>
              <w:spacing w:line="320" w:lineRule="exact"/>
              <w:jc w:val="center"/>
              <w:textAlignment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jc w:val="center"/>
        </w:trPr>
        <w:tc>
          <w:tcPr>
            <w:tcW w:w="479" w:type="pct"/>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76" w:type="pct"/>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78" w:type="pct"/>
            <w:gridSpan w:val="2"/>
            <w:tcBorders>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时效</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577" w:type="pct"/>
            <w:gridSpan w:val="2"/>
            <w:vAlign w:val="center"/>
          </w:tcPr>
          <w:p>
            <w:pPr>
              <w:autoSpaceDN w:val="0"/>
              <w:spacing w:line="320" w:lineRule="exact"/>
              <w:jc w:val="left"/>
              <w:textAlignment w:val="center"/>
              <w:rPr>
                <w:rFonts w:hint="default" w:asciiTheme="minorEastAsia" w:hAnsiTheme="minorEastAsia" w:eastAsiaTheme="minorEastAsia" w:cstheme="minorEastAsia"/>
                <w:sz w:val="21"/>
                <w:szCs w:val="21"/>
                <w:lang w:val="en-US" w:eastAsia="zh-CN"/>
              </w:rPr>
            </w:pPr>
            <w:r>
              <w:rPr>
                <w:rFonts w:hint="eastAsia" w:ascii="仿宋_GB2312" w:hAnsi="仿宋_GB2312" w:eastAsia="仿宋_GB2312" w:cs="仿宋_GB2312"/>
                <w:color w:val="000000"/>
                <w:sz w:val="24"/>
                <w:lang w:val="en-US" w:eastAsia="zh-CN"/>
              </w:rPr>
              <w:t>在2023年1-12月完成</w:t>
            </w:r>
          </w:p>
        </w:tc>
        <w:tc>
          <w:tcPr>
            <w:tcW w:w="605" w:type="pct"/>
            <w:vAlign w:val="center"/>
          </w:tcPr>
          <w:p>
            <w:pPr>
              <w:autoSpaceDN w:val="0"/>
              <w:spacing w:line="320" w:lineRule="exact"/>
              <w:jc w:val="center"/>
              <w:textAlignment w:val="center"/>
              <w:rPr>
                <w:rFonts w:hint="default" w:asciiTheme="minorEastAsia" w:hAnsiTheme="minorEastAsia" w:eastAsiaTheme="minorEastAsia" w:cstheme="minorEastAsia"/>
                <w:sz w:val="21"/>
                <w:szCs w:val="21"/>
                <w:lang w:val="en-US"/>
              </w:rPr>
            </w:pPr>
            <w:r>
              <w:rPr>
                <w:rFonts w:hint="eastAsia" w:ascii="仿宋_GB2312" w:hAnsi="仿宋_GB2312" w:eastAsia="仿宋_GB2312" w:cs="仿宋_GB2312"/>
                <w:b w:val="0"/>
                <w:bCs/>
                <w:color w:val="000000"/>
                <w:sz w:val="24"/>
                <w:lang w:val="en-US" w:eastAsia="zh-CN"/>
              </w:rPr>
              <w:t>2023年1-12月</w:t>
            </w:r>
          </w:p>
        </w:tc>
        <w:tc>
          <w:tcPr>
            <w:tcW w:w="1079" w:type="dxa"/>
            <w:vAlign w:val="center"/>
          </w:tcPr>
          <w:p>
            <w:pPr>
              <w:autoSpaceDN w:val="0"/>
              <w:spacing w:line="320" w:lineRule="exact"/>
              <w:jc w:val="center"/>
              <w:textAlignment w:val="center"/>
              <w:rPr>
                <w:rFonts w:hint="default" w:asciiTheme="minorEastAsia" w:hAnsiTheme="minorEastAsia" w:eastAsiaTheme="minorEastAsia" w:cstheme="minorEastAsia"/>
                <w:sz w:val="21"/>
                <w:szCs w:val="21"/>
                <w:lang w:val="en-US" w:eastAsia="zh-CN"/>
              </w:rPr>
            </w:pPr>
            <w:r>
              <w:rPr>
                <w:rFonts w:hint="eastAsia" w:ascii="仿宋_GB2312" w:hAnsi="仿宋_GB2312" w:eastAsia="仿宋_GB2312" w:cs="仿宋_GB2312"/>
                <w:b w:val="0"/>
                <w:bCs/>
                <w:color w:val="000000"/>
                <w:sz w:val="24"/>
                <w:lang w:val="en-US" w:eastAsia="zh-CN"/>
              </w:rPr>
              <w:t>2023年1-12月</w:t>
            </w:r>
          </w:p>
        </w:tc>
        <w:tc>
          <w:tcPr>
            <w:tcW w:w="603" w:type="dxa"/>
            <w:vAlign w:val="center"/>
          </w:tcPr>
          <w:p>
            <w:pPr>
              <w:autoSpaceDN w:val="0"/>
              <w:spacing w:line="320" w:lineRule="exact"/>
              <w:jc w:val="left"/>
              <w:textAlignment w:val="center"/>
              <w:rPr>
                <w:rFonts w:hint="default" w:asciiTheme="minorEastAsia" w:hAnsiTheme="minorEastAsia" w:eastAsiaTheme="minorEastAsia" w:cstheme="minorEastAsia"/>
                <w:sz w:val="21"/>
                <w:szCs w:val="21"/>
                <w:lang w:val="en-US"/>
              </w:rPr>
            </w:pPr>
            <w:r>
              <w:rPr>
                <w:rFonts w:hint="eastAsia" w:ascii="仿宋_GB2312" w:hAnsi="仿宋_GB2312" w:eastAsia="仿宋_GB2312" w:cs="仿宋_GB2312"/>
                <w:color w:val="000000"/>
                <w:sz w:val="24"/>
                <w:lang w:val="en-US" w:eastAsia="zh-CN"/>
              </w:rPr>
              <w:t>10</w:t>
            </w:r>
          </w:p>
        </w:tc>
        <w:tc>
          <w:tcPr>
            <w:tcW w:w="720" w:type="dxa"/>
            <w:vAlign w:val="center"/>
          </w:tcPr>
          <w:p>
            <w:pPr>
              <w:autoSpaceDN w:val="0"/>
              <w:spacing w:line="320" w:lineRule="exact"/>
              <w:jc w:val="center"/>
              <w:textAlignment w:val="center"/>
              <w:rPr>
                <w:rFonts w:hint="eastAsia" w:asciiTheme="minorEastAsia" w:hAnsiTheme="minorEastAsia" w:eastAsiaTheme="minorEastAsia" w:cstheme="minorEastAsia"/>
                <w:sz w:val="21"/>
                <w:szCs w:val="21"/>
              </w:rPr>
            </w:pPr>
            <w:r>
              <w:rPr>
                <w:rFonts w:hint="eastAsia" w:ascii="仿宋_GB2312" w:hAnsi="仿宋_GB2312" w:eastAsia="仿宋_GB2312" w:cs="仿宋_GB2312"/>
                <w:b w:val="0"/>
                <w:bCs/>
                <w:color w:val="000000"/>
                <w:sz w:val="24"/>
                <w:lang w:val="en-US" w:eastAsia="zh-CN"/>
              </w:rPr>
              <w:t>10</w:t>
            </w:r>
          </w:p>
        </w:tc>
        <w:tc>
          <w:tcPr>
            <w:tcW w:w="782" w:type="pct"/>
            <w:vAlign w:val="center"/>
          </w:tcPr>
          <w:p>
            <w:pPr>
              <w:autoSpaceDN w:val="0"/>
              <w:spacing w:line="320" w:lineRule="exact"/>
              <w:jc w:val="center"/>
              <w:textAlignment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479" w:type="pct"/>
            <w:vMerge w:val="restar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绩</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效</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黑体" w:hAnsi="黑体" w:eastAsia="黑体" w:cs="黑体"/>
                <w:sz w:val="21"/>
                <w:szCs w:val="21"/>
              </w:rPr>
              <w:t>标</w:t>
            </w:r>
          </w:p>
        </w:tc>
        <w:tc>
          <w:tcPr>
            <w:tcW w:w="576" w:type="pct"/>
            <w:vMerge w:val="restar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效</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益</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（30分）</w:t>
            </w:r>
          </w:p>
        </w:tc>
        <w:tc>
          <w:tcPr>
            <w:tcW w:w="578" w:type="pct"/>
            <w:gridSpan w:val="2"/>
            <w:tcBorders>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经济</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效益</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577" w:type="pct"/>
            <w:gridSpan w:val="2"/>
            <w:vAlign w:val="center"/>
          </w:tcPr>
          <w:p>
            <w:pPr>
              <w:autoSpaceDN w:val="0"/>
              <w:spacing w:line="320" w:lineRule="exact"/>
              <w:jc w:val="left"/>
              <w:textAlignment w:val="center"/>
              <w:rPr>
                <w:rFonts w:hint="default" w:asciiTheme="minorEastAsia" w:hAnsiTheme="minorEastAsia" w:eastAsiaTheme="minorEastAsia" w:cstheme="minorEastAsia"/>
                <w:sz w:val="21"/>
                <w:szCs w:val="21"/>
                <w:lang w:val="en-US" w:eastAsia="zh-CN"/>
              </w:rPr>
            </w:pPr>
            <w:r>
              <w:rPr>
                <w:rFonts w:hint="eastAsia" w:ascii="仿宋_GB2312" w:hAnsi="仿宋_GB2312" w:eastAsia="仿宋_GB2312" w:cs="仿宋_GB2312"/>
                <w:color w:val="000000"/>
                <w:sz w:val="24"/>
                <w:lang w:val="en-US" w:eastAsia="zh-CN"/>
              </w:rPr>
              <w:t>提高农作物产能</w:t>
            </w:r>
          </w:p>
        </w:tc>
        <w:tc>
          <w:tcPr>
            <w:tcW w:w="605" w:type="pct"/>
            <w:vAlign w:val="center"/>
          </w:tcPr>
          <w:p>
            <w:pPr>
              <w:autoSpaceDN w:val="0"/>
              <w:spacing w:line="320" w:lineRule="exact"/>
              <w:jc w:val="left"/>
              <w:textAlignment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提高</w:t>
            </w:r>
          </w:p>
        </w:tc>
        <w:tc>
          <w:tcPr>
            <w:tcW w:w="1079" w:type="dxa"/>
            <w:vAlign w:val="center"/>
          </w:tcPr>
          <w:p>
            <w:pPr>
              <w:autoSpaceDN w:val="0"/>
              <w:spacing w:line="320" w:lineRule="exact"/>
              <w:jc w:val="left"/>
              <w:textAlignment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提高</w:t>
            </w:r>
          </w:p>
        </w:tc>
        <w:tc>
          <w:tcPr>
            <w:tcW w:w="603" w:type="dxa"/>
            <w:vAlign w:val="center"/>
          </w:tcPr>
          <w:p>
            <w:pPr>
              <w:autoSpaceDN w:val="0"/>
              <w:spacing w:line="320" w:lineRule="exact"/>
              <w:jc w:val="left"/>
              <w:textAlignment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10</w:t>
            </w:r>
          </w:p>
        </w:tc>
        <w:tc>
          <w:tcPr>
            <w:tcW w:w="720" w:type="dxa"/>
            <w:vAlign w:val="center"/>
          </w:tcPr>
          <w:p>
            <w:pPr>
              <w:autoSpaceDN w:val="0"/>
              <w:spacing w:line="320" w:lineRule="exact"/>
              <w:jc w:val="left"/>
              <w:textAlignment w:val="center"/>
              <w:rPr>
                <w:rFonts w:hint="eastAsia" w:asciiTheme="minorEastAsia" w:hAnsiTheme="minorEastAsia" w:eastAsiaTheme="minorEastAsia" w:cstheme="minorEastAsia"/>
                <w:sz w:val="21"/>
                <w:szCs w:val="21"/>
              </w:rPr>
            </w:pPr>
            <w:r>
              <w:rPr>
                <w:rFonts w:hint="eastAsia" w:ascii="仿宋_GB2312" w:hAnsi="仿宋_GB2312" w:eastAsia="仿宋_GB2312" w:cs="仿宋_GB2312"/>
                <w:color w:val="000000"/>
                <w:sz w:val="24"/>
                <w:lang w:val="en-US" w:eastAsia="zh-CN"/>
              </w:rPr>
              <w:t>8.5</w:t>
            </w:r>
          </w:p>
        </w:tc>
        <w:tc>
          <w:tcPr>
            <w:tcW w:w="782" w:type="pct"/>
            <w:vAlign w:val="center"/>
          </w:tcPr>
          <w:p>
            <w:pPr>
              <w:autoSpaceDN w:val="0"/>
              <w:spacing w:line="320" w:lineRule="exact"/>
              <w:jc w:val="left"/>
              <w:textAlignment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479" w:type="pct"/>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76" w:type="pct"/>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78" w:type="pct"/>
            <w:gridSpan w:val="2"/>
            <w:tcBorders>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社会</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效益</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577" w:type="pct"/>
            <w:gridSpan w:val="2"/>
            <w:vAlign w:val="center"/>
          </w:tcPr>
          <w:p>
            <w:pPr>
              <w:autoSpaceDN w:val="0"/>
              <w:spacing w:line="320" w:lineRule="exact"/>
              <w:jc w:val="left"/>
              <w:textAlignment w:val="center"/>
              <w:rPr>
                <w:rFonts w:hint="default" w:ascii="仿宋_GB2312" w:hAnsi="仿宋_GB2312" w:eastAsia="仿宋_GB2312" w:cs="仿宋_GB2312"/>
                <w:color w:val="000000"/>
                <w:sz w:val="24"/>
                <w:lang w:val="en-US" w:eastAsia="zh-CN"/>
              </w:rPr>
            </w:pPr>
            <w:r>
              <w:rPr>
                <w:rFonts w:hint="eastAsia" w:ascii="仿宋_GB2312" w:hAnsi="仿宋_GB2312" w:eastAsia="仿宋_GB2312" w:cs="仿宋_GB2312"/>
                <w:color w:val="000000"/>
                <w:sz w:val="24"/>
                <w:lang w:val="en-US" w:eastAsia="zh-CN"/>
              </w:rPr>
              <w:t>农作物种植面积比上年增加</w:t>
            </w:r>
          </w:p>
        </w:tc>
        <w:tc>
          <w:tcPr>
            <w:tcW w:w="605" w:type="pct"/>
            <w:vAlign w:val="center"/>
          </w:tcPr>
          <w:p>
            <w:pPr>
              <w:autoSpaceDN w:val="0"/>
              <w:spacing w:line="320" w:lineRule="exact"/>
              <w:jc w:val="left"/>
              <w:textAlignment w:val="center"/>
              <w:rPr>
                <w:rFonts w:hint="default" w:ascii="仿宋_GB2312" w:hAnsi="仿宋_GB2312" w:eastAsia="仿宋_GB2312" w:cs="仿宋_GB2312"/>
                <w:color w:val="000000"/>
                <w:sz w:val="24"/>
                <w:lang w:val="en-US" w:eastAsia="zh-CN"/>
              </w:rPr>
            </w:pPr>
            <w:r>
              <w:rPr>
                <w:rFonts w:hint="eastAsia" w:ascii="仿宋_GB2312" w:hAnsi="仿宋_GB2312" w:eastAsia="仿宋_GB2312" w:cs="仿宋_GB2312"/>
                <w:color w:val="000000"/>
                <w:sz w:val="24"/>
                <w:lang w:val="en-US" w:eastAsia="zh-CN"/>
              </w:rPr>
              <w:t>比上年增加</w:t>
            </w:r>
          </w:p>
        </w:tc>
        <w:tc>
          <w:tcPr>
            <w:tcW w:w="1079" w:type="dxa"/>
            <w:vAlign w:val="center"/>
          </w:tcPr>
          <w:p>
            <w:pPr>
              <w:autoSpaceDN w:val="0"/>
              <w:spacing w:line="320" w:lineRule="exact"/>
              <w:jc w:val="left"/>
              <w:textAlignment w:val="center"/>
              <w:rPr>
                <w:rFonts w:hint="default" w:ascii="仿宋_GB2312" w:hAnsi="仿宋_GB2312" w:eastAsia="仿宋_GB2312" w:cs="仿宋_GB2312"/>
                <w:color w:val="000000"/>
                <w:sz w:val="24"/>
                <w:lang w:val="en-US" w:eastAsia="zh-CN"/>
              </w:rPr>
            </w:pPr>
            <w:r>
              <w:rPr>
                <w:rFonts w:hint="eastAsia" w:ascii="仿宋_GB2312" w:hAnsi="仿宋_GB2312" w:eastAsia="仿宋_GB2312" w:cs="仿宋_GB2312"/>
                <w:color w:val="000000"/>
                <w:sz w:val="24"/>
                <w:lang w:val="en-US" w:eastAsia="zh-CN"/>
              </w:rPr>
              <w:t>比上年增加</w:t>
            </w:r>
          </w:p>
        </w:tc>
        <w:tc>
          <w:tcPr>
            <w:tcW w:w="603" w:type="dxa"/>
            <w:vAlign w:val="center"/>
          </w:tcPr>
          <w:p>
            <w:pPr>
              <w:autoSpaceDN w:val="0"/>
              <w:spacing w:line="320" w:lineRule="exact"/>
              <w:jc w:val="left"/>
              <w:textAlignment w:val="center"/>
              <w:rPr>
                <w:rFonts w:hint="eastAsia" w:ascii="仿宋_GB2312" w:hAnsi="仿宋_GB2312" w:eastAsia="仿宋_GB2312" w:cs="仿宋_GB2312"/>
                <w:color w:val="000000"/>
                <w:sz w:val="24"/>
                <w:lang w:val="en-US" w:eastAsia="zh-CN"/>
              </w:rPr>
            </w:pPr>
            <w:r>
              <w:rPr>
                <w:rFonts w:hint="eastAsia" w:ascii="仿宋_GB2312" w:hAnsi="仿宋_GB2312" w:eastAsia="仿宋_GB2312" w:cs="仿宋_GB2312"/>
                <w:color w:val="000000"/>
                <w:sz w:val="24"/>
                <w:lang w:val="en-US" w:eastAsia="zh-CN"/>
              </w:rPr>
              <w:t>10</w:t>
            </w:r>
          </w:p>
        </w:tc>
        <w:tc>
          <w:tcPr>
            <w:tcW w:w="720" w:type="dxa"/>
            <w:vAlign w:val="center"/>
          </w:tcPr>
          <w:p>
            <w:pPr>
              <w:autoSpaceDN w:val="0"/>
              <w:spacing w:line="320" w:lineRule="exact"/>
              <w:jc w:val="left"/>
              <w:textAlignment w:val="center"/>
              <w:rPr>
                <w:rFonts w:hint="eastAsia" w:asciiTheme="minorEastAsia" w:hAnsiTheme="minorEastAsia" w:eastAsiaTheme="minorEastAsia" w:cstheme="minorEastAsia"/>
                <w:sz w:val="21"/>
                <w:szCs w:val="21"/>
              </w:rPr>
            </w:pPr>
            <w:r>
              <w:rPr>
                <w:rFonts w:hint="eastAsia" w:ascii="仿宋_GB2312" w:hAnsi="仿宋_GB2312" w:eastAsia="仿宋_GB2312" w:cs="仿宋_GB2312"/>
                <w:color w:val="000000"/>
                <w:sz w:val="24"/>
                <w:lang w:val="en-US" w:eastAsia="zh-CN"/>
              </w:rPr>
              <w:t>8</w:t>
            </w:r>
          </w:p>
        </w:tc>
        <w:tc>
          <w:tcPr>
            <w:tcW w:w="782" w:type="pct"/>
            <w:vAlign w:val="center"/>
          </w:tcPr>
          <w:p>
            <w:pPr>
              <w:autoSpaceDN w:val="0"/>
              <w:spacing w:line="320" w:lineRule="exact"/>
              <w:jc w:val="both"/>
              <w:textAlignment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479" w:type="pct"/>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76" w:type="pct"/>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78" w:type="pct"/>
            <w:gridSpan w:val="2"/>
            <w:tcBorders>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生态</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效益</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577" w:type="pct"/>
            <w:gridSpan w:val="2"/>
            <w:vAlign w:val="center"/>
          </w:tcPr>
          <w:p>
            <w:pPr>
              <w:autoSpaceDN w:val="0"/>
              <w:spacing w:line="320" w:lineRule="exact"/>
              <w:jc w:val="left"/>
              <w:textAlignment w:val="center"/>
              <w:rPr>
                <w:rFonts w:hint="default" w:asciiTheme="minorEastAsia" w:hAnsiTheme="minorEastAsia" w:eastAsiaTheme="minorEastAsia" w:cstheme="minorEastAsia"/>
                <w:sz w:val="21"/>
                <w:szCs w:val="21"/>
                <w:lang w:val="en-US" w:eastAsia="zh-CN"/>
              </w:rPr>
            </w:pPr>
            <w:r>
              <w:rPr>
                <w:rFonts w:hint="eastAsia" w:ascii="仿宋_GB2312" w:hAnsi="仿宋_GB2312" w:eastAsia="仿宋_GB2312" w:cs="仿宋_GB2312"/>
                <w:color w:val="000000"/>
                <w:sz w:val="24"/>
                <w:lang w:val="en-US" w:eastAsia="zh-CN"/>
              </w:rPr>
              <w:t>提升环境向良性方向发展率</w:t>
            </w:r>
          </w:p>
        </w:tc>
        <w:tc>
          <w:tcPr>
            <w:tcW w:w="605" w:type="pct"/>
            <w:vAlign w:val="center"/>
          </w:tcPr>
          <w:p>
            <w:pPr>
              <w:autoSpaceDN w:val="0"/>
              <w:spacing w:line="320" w:lineRule="exact"/>
              <w:jc w:val="center"/>
              <w:textAlignment w:val="center"/>
              <w:rPr>
                <w:rFonts w:hint="eastAsia" w:asciiTheme="minorEastAsia" w:hAnsiTheme="minorEastAsia" w:eastAsiaTheme="minorEastAsia" w:cstheme="minorEastAsia"/>
                <w:sz w:val="21"/>
                <w:szCs w:val="21"/>
              </w:rPr>
            </w:pPr>
            <w:r>
              <w:rPr>
                <w:rFonts w:hint="eastAsia" w:ascii="宋体" w:hAnsi="宋体" w:cs="宋体"/>
                <w:kern w:val="0"/>
                <w:sz w:val="20"/>
                <w:szCs w:val="20"/>
                <w:lang w:val="en-US" w:eastAsia="zh-CN"/>
              </w:rPr>
              <w:t>≥2%</w:t>
            </w:r>
          </w:p>
        </w:tc>
        <w:tc>
          <w:tcPr>
            <w:tcW w:w="1079" w:type="dxa"/>
            <w:vAlign w:val="center"/>
          </w:tcPr>
          <w:p>
            <w:pPr>
              <w:autoSpaceDN w:val="0"/>
              <w:spacing w:line="320" w:lineRule="exact"/>
              <w:jc w:val="center"/>
              <w:textAlignment w:val="center"/>
              <w:rPr>
                <w:rFonts w:hint="eastAsia" w:asciiTheme="minorEastAsia" w:hAnsiTheme="minorEastAsia" w:eastAsiaTheme="minorEastAsia" w:cstheme="minorEastAsia"/>
                <w:sz w:val="21"/>
                <w:szCs w:val="21"/>
                <w:lang w:eastAsia="zh-CN"/>
              </w:rPr>
            </w:pPr>
            <w:r>
              <w:rPr>
                <w:rFonts w:hint="eastAsia" w:ascii="宋体" w:hAnsi="宋体" w:cs="宋体"/>
                <w:kern w:val="0"/>
                <w:sz w:val="20"/>
                <w:szCs w:val="20"/>
                <w:lang w:val="en-US" w:eastAsia="zh-CN"/>
              </w:rPr>
              <w:t>≥2%</w:t>
            </w:r>
          </w:p>
        </w:tc>
        <w:tc>
          <w:tcPr>
            <w:tcW w:w="603" w:type="dxa"/>
            <w:vAlign w:val="center"/>
          </w:tcPr>
          <w:p>
            <w:pPr>
              <w:autoSpaceDN w:val="0"/>
              <w:spacing w:line="320" w:lineRule="exact"/>
              <w:jc w:val="left"/>
              <w:textAlignment w:val="center"/>
              <w:rPr>
                <w:rFonts w:hint="eastAsia" w:asciiTheme="minorEastAsia" w:hAnsiTheme="minorEastAsia" w:eastAsiaTheme="minorEastAsia" w:cstheme="minorEastAsia"/>
                <w:sz w:val="21"/>
                <w:szCs w:val="21"/>
              </w:rPr>
            </w:pPr>
            <w:r>
              <w:rPr>
                <w:rFonts w:hint="eastAsia" w:ascii="仿宋_GB2312" w:hAnsi="仿宋_GB2312" w:eastAsia="仿宋_GB2312" w:cs="仿宋_GB2312"/>
                <w:color w:val="000000"/>
                <w:sz w:val="24"/>
                <w:lang w:val="en-US" w:eastAsia="zh-CN"/>
              </w:rPr>
              <w:t>5</w:t>
            </w:r>
          </w:p>
        </w:tc>
        <w:tc>
          <w:tcPr>
            <w:tcW w:w="720" w:type="dxa"/>
            <w:vAlign w:val="center"/>
          </w:tcPr>
          <w:p>
            <w:pPr>
              <w:autoSpaceDN w:val="0"/>
              <w:spacing w:line="320" w:lineRule="exact"/>
              <w:jc w:val="center"/>
              <w:textAlignment w:val="center"/>
              <w:rPr>
                <w:rFonts w:hint="eastAsia" w:asciiTheme="minorEastAsia" w:hAnsiTheme="minorEastAsia" w:eastAsiaTheme="minorEastAsia" w:cstheme="minorEastAsia"/>
                <w:sz w:val="21"/>
                <w:szCs w:val="21"/>
              </w:rPr>
            </w:pPr>
            <w:r>
              <w:rPr>
                <w:rFonts w:hint="eastAsia" w:ascii="仿宋_GB2312" w:hAnsi="仿宋_GB2312" w:eastAsia="仿宋_GB2312" w:cs="仿宋_GB2312"/>
                <w:color w:val="000000"/>
                <w:sz w:val="24"/>
                <w:lang w:val="en-US" w:eastAsia="zh-CN"/>
              </w:rPr>
              <w:t>5</w:t>
            </w:r>
          </w:p>
        </w:tc>
        <w:tc>
          <w:tcPr>
            <w:tcW w:w="782" w:type="pct"/>
            <w:vAlign w:val="center"/>
          </w:tcPr>
          <w:p>
            <w:pPr>
              <w:autoSpaceDN w:val="0"/>
              <w:spacing w:line="320" w:lineRule="exact"/>
              <w:jc w:val="center"/>
              <w:textAlignment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479" w:type="pct"/>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76" w:type="pct"/>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78" w:type="pct"/>
            <w:gridSpan w:val="2"/>
            <w:vMerge w:val="restart"/>
            <w:tcBorders>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可持续</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影响</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577" w:type="pct"/>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提高农作物产量</w:t>
            </w:r>
          </w:p>
        </w:tc>
        <w:tc>
          <w:tcPr>
            <w:tcW w:w="605"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提高</w:t>
            </w:r>
          </w:p>
        </w:tc>
        <w:tc>
          <w:tcPr>
            <w:tcW w:w="107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提高</w:t>
            </w:r>
          </w:p>
        </w:tc>
        <w:tc>
          <w:tcPr>
            <w:tcW w:w="603"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both"/>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w:t>
            </w:r>
          </w:p>
        </w:tc>
        <w:tc>
          <w:tcPr>
            <w:tcW w:w="720"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4.2</w:t>
            </w:r>
          </w:p>
        </w:tc>
        <w:tc>
          <w:tcPr>
            <w:tcW w:w="782"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479" w:type="pct"/>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76" w:type="pct"/>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78" w:type="pct"/>
            <w:gridSpan w:val="2"/>
            <w:vMerge w:val="continue"/>
            <w:tcBorders>
              <w:top w:val="nil"/>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77" w:type="pct"/>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605"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627"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351"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19"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782"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479" w:type="pct"/>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76" w:type="pct"/>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78" w:type="pct"/>
            <w:gridSpan w:val="2"/>
            <w:vMerge w:val="continue"/>
            <w:tcBorders>
              <w:top w:val="nil"/>
              <w:left w:val="single" w:color="auto" w:sz="4" w:space="0"/>
              <w:bottom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77" w:type="pct"/>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p>
        </w:tc>
        <w:tc>
          <w:tcPr>
            <w:tcW w:w="605"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627"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351"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19"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782"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479" w:type="pct"/>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76" w:type="pct"/>
            <w:tcBorders>
              <w:top w:val="single" w:color="auto" w:sz="4" w:space="0"/>
              <w:left w:val="single" w:color="auto" w:sz="4" w:space="0"/>
              <w:bottom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满意度</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（10分）</w:t>
            </w:r>
          </w:p>
        </w:tc>
        <w:tc>
          <w:tcPr>
            <w:tcW w:w="578" w:type="pct"/>
            <w:gridSpan w:val="2"/>
            <w:tcBorders>
              <w:top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服务对象</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满意度</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577" w:type="pct"/>
            <w:gridSpan w:val="2"/>
            <w:tcBorders>
              <w:left w:val="single" w:color="auto" w:sz="4" w:space="0"/>
            </w:tcBorders>
            <w:vAlign w:val="center"/>
          </w:tcPr>
          <w:p>
            <w:pPr>
              <w:autoSpaceDN w:val="0"/>
              <w:spacing w:line="320" w:lineRule="exact"/>
              <w:jc w:val="left"/>
              <w:textAlignment w:val="center"/>
              <w:rPr>
                <w:rFonts w:hint="default" w:asciiTheme="minorEastAsia" w:hAnsiTheme="minorEastAsia" w:eastAsiaTheme="minorEastAsia" w:cstheme="minorEastAsia"/>
                <w:sz w:val="21"/>
                <w:szCs w:val="21"/>
                <w:lang w:val="en-US" w:eastAsia="zh-CN"/>
              </w:rPr>
            </w:pPr>
            <w:r>
              <w:rPr>
                <w:rFonts w:hint="eastAsia" w:ascii="仿宋_GB2312" w:hAnsi="仿宋_GB2312" w:eastAsia="仿宋_GB2312" w:cs="仿宋_GB2312"/>
                <w:color w:val="000000"/>
                <w:sz w:val="24"/>
                <w:lang w:val="en-US" w:eastAsia="zh-CN"/>
              </w:rPr>
              <w:t>受益群众满意度</w:t>
            </w:r>
          </w:p>
        </w:tc>
        <w:tc>
          <w:tcPr>
            <w:tcW w:w="605" w:type="pct"/>
            <w:vAlign w:val="center"/>
          </w:tcPr>
          <w:p>
            <w:pPr>
              <w:autoSpaceDN w:val="0"/>
              <w:spacing w:line="320" w:lineRule="exact"/>
              <w:jc w:val="center"/>
              <w:textAlignment w:val="center"/>
              <w:rPr>
                <w:rFonts w:hint="eastAsia" w:asciiTheme="minorEastAsia" w:hAnsiTheme="minorEastAsia" w:eastAsiaTheme="minorEastAsia" w:cstheme="minorEastAsia"/>
                <w:sz w:val="21"/>
                <w:szCs w:val="21"/>
              </w:rPr>
            </w:pPr>
            <w:r>
              <w:rPr>
                <w:rFonts w:hint="eastAsia" w:ascii="宋体" w:hAnsi="宋体" w:cs="宋体"/>
                <w:kern w:val="0"/>
                <w:sz w:val="20"/>
                <w:szCs w:val="20"/>
                <w:lang w:val="en-US" w:eastAsia="zh-CN"/>
              </w:rPr>
              <w:t>≥95%</w:t>
            </w:r>
          </w:p>
        </w:tc>
        <w:tc>
          <w:tcPr>
            <w:tcW w:w="627" w:type="pct"/>
            <w:vAlign w:val="center"/>
          </w:tcPr>
          <w:p>
            <w:pPr>
              <w:autoSpaceDN w:val="0"/>
              <w:spacing w:line="320" w:lineRule="exact"/>
              <w:jc w:val="left"/>
              <w:textAlignment w:val="center"/>
              <w:rPr>
                <w:rFonts w:hint="default" w:asciiTheme="minorEastAsia" w:hAnsiTheme="minorEastAsia" w:eastAsiaTheme="minorEastAsia" w:cstheme="minorEastAsia"/>
                <w:sz w:val="21"/>
                <w:szCs w:val="21"/>
                <w:lang w:val="en-US"/>
              </w:rPr>
            </w:pPr>
            <w:r>
              <w:rPr>
                <w:rFonts w:hint="eastAsia" w:ascii="宋体" w:hAnsi="宋体" w:cs="宋体"/>
                <w:kern w:val="0"/>
                <w:sz w:val="20"/>
                <w:szCs w:val="20"/>
                <w:lang w:val="en-US" w:eastAsia="zh-CN"/>
              </w:rPr>
              <w:t>≥97%</w:t>
            </w:r>
          </w:p>
        </w:tc>
        <w:tc>
          <w:tcPr>
            <w:tcW w:w="351" w:type="pct"/>
            <w:vAlign w:val="center"/>
          </w:tcPr>
          <w:p>
            <w:pPr>
              <w:autoSpaceDN w:val="0"/>
              <w:spacing w:line="320" w:lineRule="exact"/>
              <w:jc w:val="center"/>
              <w:textAlignment w:val="center"/>
              <w:rPr>
                <w:rFonts w:hint="default" w:asciiTheme="minorEastAsia" w:hAnsiTheme="minorEastAsia" w:eastAsiaTheme="minorEastAsia" w:cstheme="minorEastAsia"/>
                <w:sz w:val="21"/>
                <w:szCs w:val="21"/>
                <w:lang w:val="en-US" w:eastAsia="zh-CN"/>
              </w:rPr>
            </w:pPr>
            <w:r>
              <w:rPr>
                <w:rFonts w:hint="eastAsia" w:ascii="仿宋" w:hAnsi="仿宋" w:eastAsia="仿宋" w:cs="仿宋"/>
                <w:bCs/>
                <w:color w:val="000000"/>
                <w:sz w:val="24"/>
                <w:szCs w:val="24"/>
                <w:lang w:val="en-US" w:eastAsia="zh-CN"/>
              </w:rPr>
              <w:t>10</w:t>
            </w:r>
          </w:p>
        </w:tc>
        <w:tc>
          <w:tcPr>
            <w:tcW w:w="419" w:type="pct"/>
            <w:vAlign w:val="center"/>
          </w:tcPr>
          <w:p>
            <w:pPr>
              <w:autoSpaceDN w:val="0"/>
              <w:spacing w:line="320" w:lineRule="exact"/>
              <w:jc w:val="left"/>
              <w:textAlignment w:val="center"/>
              <w:rPr>
                <w:rFonts w:hint="default" w:asciiTheme="minorEastAsia" w:hAnsiTheme="minorEastAsia" w:eastAsiaTheme="minorEastAsia" w:cstheme="minorEastAsia"/>
                <w:sz w:val="21"/>
                <w:szCs w:val="21"/>
                <w:lang w:val="en-US" w:eastAsia="zh-CN"/>
              </w:rPr>
            </w:pPr>
            <w:r>
              <w:rPr>
                <w:rFonts w:hint="eastAsia" w:ascii="仿宋_GB2312" w:hAnsi="仿宋_GB2312" w:eastAsia="仿宋_GB2312" w:cs="仿宋_GB2312"/>
                <w:color w:val="000000"/>
                <w:sz w:val="24"/>
                <w:lang w:val="en-US" w:eastAsia="zh-CN"/>
              </w:rPr>
              <w:t>10</w:t>
            </w:r>
          </w:p>
        </w:tc>
        <w:tc>
          <w:tcPr>
            <w:tcW w:w="782" w:type="pct"/>
            <w:vAlign w:val="center"/>
          </w:tcPr>
          <w:p>
            <w:pPr>
              <w:autoSpaceDN w:val="0"/>
              <w:spacing w:line="320" w:lineRule="exact"/>
              <w:jc w:val="center"/>
              <w:textAlignment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jc w:val="center"/>
        </w:trPr>
        <w:tc>
          <w:tcPr>
            <w:tcW w:w="479" w:type="pct"/>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76" w:type="pct"/>
            <w:vMerge w:val="restart"/>
            <w:tcBorders>
              <w:top w:val="single" w:color="auto" w:sz="4" w:space="0"/>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成</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本</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w:t>
            </w:r>
            <w:r>
              <w:rPr>
                <w:rFonts w:hint="eastAsia" w:asciiTheme="minorEastAsia" w:hAnsiTheme="minorEastAsia" w:eastAsiaTheme="minorEastAsia" w:cstheme="minorEastAsia"/>
                <w:sz w:val="21"/>
                <w:szCs w:val="21"/>
              </w:rPr>
              <w:t>0分</w:t>
            </w:r>
            <w:r>
              <w:rPr>
                <w:rFonts w:hint="eastAsia" w:asciiTheme="minorEastAsia" w:hAnsiTheme="minorEastAsia" w:eastAsiaTheme="minorEastAsia" w:cstheme="minorEastAsia"/>
                <w:sz w:val="21"/>
                <w:szCs w:val="21"/>
                <w:lang w:val="en-US" w:eastAsia="zh-CN"/>
              </w:rPr>
              <w:t>）</w:t>
            </w:r>
          </w:p>
        </w:tc>
        <w:tc>
          <w:tcPr>
            <w:tcW w:w="578" w:type="pct"/>
            <w:gridSpan w:val="2"/>
            <w:vMerge w:val="restart"/>
            <w:tcBorders>
              <w:top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经济</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成本</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指标</w:t>
            </w:r>
          </w:p>
        </w:tc>
        <w:tc>
          <w:tcPr>
            <w:tcW w:w="577" w:type="pct"/>
            <w:gridSpan w:val="2"/>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财政预算控制差异率</w:t>
            </w:r>
          </w:p>
        </w:tc>
        <w:tc>
          <w:tcPr>
            <w:tcW w:w="605"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w:t>
            </w:r>
            <w:r>
              <w:rPr>
                <w:rFonts w:hint="eastAsia" w:asciiTheme="minorEastAsia" w:hAnsiTheme="minorEastAsia" w:eastAsiaTheme="minorEastAsia" w:cstheme="minorEastAsia"/>
                <w:sz w:val="21"/>
                <w:szCs w:val="21"/>
                <w:lang w:val="en-US" w:eastAsia="zh-CN"/>
              </w:rPr>
              <w:t>54455.48万元</w:t>
            </w:r>
          </w:p>
        </w:tc>
        <w:tc>
          <w:tcPr>
            <w:tcW w:w="627"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r>
              <w:rPr>
                <w:rFonts w:hint="eastAsia" w:asciiTheme="minorEastAsia" w:hAnsiTheme="minorEastAsia" w:eastAsiaTheme="minorEastAsia" w:cstheme="minorEastAsia"/>
                <w:sz w:val="21"/>
                <w:szCs w:val="21"/>
                <w:lang w:val="en-US" w:eastAsia="zh-CN"/>
              </w:rPr>
              <w:t>54455.48万元</w:t>
            </w:r>
          </w:p>
        </w:tc>
        <w:tc>
          <w:tcPr>
            <w:tcW w:w="351"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20</w:t>
            </w:r>
          </w:p>
        </w:tc>
        <w:tc>
          <w:tcPr>
            <w:tcW w:w="419"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20</w:t>
            </w:r>
          </w:p>
        </w:tc>
        <w:tc>
          <w:tcPr>
            <w:tcW w:w="782"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479" w:type="pct"/>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76" w:type="pct"/>
            <w:vMerge w:val="continue"/>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78" w:type="pct"/>
            <w:gridSpan w:val="2"/>
            <w:vMerge w:val="continue"/>
            <w:tcBorders>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77" w:type="pct"/>
            <w:gridSpan w:val="2"/>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p>
        </w:tc>
        <w:tc>
          <w:tcPr>
            <w:tcW w:w="605"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627"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351"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19"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782"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479" w:type="pct"/>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76" w:type="pct"/>
            <w:vMerge w:val="continue"/>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78" w:type="pct"/>
            <w:gridSpan w:val="2"/>
            <w:vMerge w:val="restart"/>
            <w:tcBorders>
              <w:top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社会</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成本</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指标</w:t>
            </w:r>
          </w:p>
        </w:tc>
        <w:tc>
          <w:tcPr>
            <w:tcW w:w="577" w:type="pct"/>
            <w:gridSpan w:val="2"/>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605"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627"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351"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19"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782"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479" w:type="pct"/>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76" w:type="pct"/>
            <w:vMerge w:val="continue"/>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78" w:type="pct"/>
            <w:gridSpan w:val="2"/>
            <w:vMerge w:val="continue"/>
            <w:tcBorders>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577" w:type="pct"/>
            <w:gridSpan w:val="2"/>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p>
        </w:tc>
        <w:tc>
          <w:tcPr>
            <w:tcW w:w="605"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627"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351"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19"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782"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479" w:type="pct"/>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76" w:type="pct"/>
            <w:vMerge w:val="continue"/>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78" w:type="pct"/>
            <w:gridSpan w:val="2"/>
            <w:vMerge w:val="restart"/>
            <w:tcBorders>
              <w:top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生态</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环境</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成本</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指标</w:t>
            </w:r>
          </w:p>
        </w:tc>
        <w:tc>
          <w:tcPr>
            <w:tcW w:w="577" w:type="pct"/>
            <w:gridSpan w:val="2"/>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605"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627"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351"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19"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782"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479" w:type="pct"/>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76" w:type="pct"/>
            <w:vMerge w:val="continue"/>
            <w:tcBorders>
              <w:left w:val="single" w:color="auto" w:sz="4" w:space="0"/>
              <w:bottom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78" w:type="pct"/>
            <w:gridSpan w:val="2"/>
            <w:vMerge w:val="continue"/>
            <w:tcBorders>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77" w:type="pct"/>
            <w:gridSpan w:val="2"/>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p>
        </w:tc>
        <w:tc>
          <w:tcPr>
            <w:tcW w:w="605"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627"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351"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19"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782"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3445" w:type="pct"/>
            <w:gridSpan w:val="8"/>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总分</w:t>
            </w:r>
          </w:p>
        </w:tc>
        <w:tc>
          <w:tcPr>
            <w:tcW w:w="351"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100</w:t>
            </w:r>
          </w:p>
        </w:tc>
        <w:tc>
          <w:tcPr>
            <w:tcW w:w="419"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95.7</w:t>
            </w:r>
          </w:p>
        </w:tc>
        <w:tc>
          <w:tcPr>
            <w:tcW w:w="782"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bl>
    <w:p>
      <w:pPr>
        <w:rPr>
          <w:rFonts w:hint="eastAsia"/>
        </w:rPr>
      </w:pPr>
    </w:p>
    <w:p>
      <w:pPr>
        <w:rPr>
          <w:rFonts w:hint="eastAsia"/>
        </w:rPr>
      </w:pPr>
      <w:r>
        <w:rPr>
          <w:rFonts w:hint="eastAsia"/>
        </w:rPr>
        <w:t>填表人：     填报日期：         联系电话：           单位负责人签字：</w:t>
      </w:r>
    </w:p>
    <w:p>
      <w:pPr>
        <w:rPr>
          <w:rFonts w:hint="eastAsia"/>
        </w:rPr>
      </w:pPr>
      <w:r>
        <w:rPr>
          <w:rFonts w:hint="eastAsia"/>
        </w:rPr>
        <w:br w:type="page"/>
      </w:r>
    </w:p>
    <w:p>
      <w:pPr>
        <w:spacing w:line="580" w:lineRule="exact"/>
        <w:jc w:val="left"/>
        <w:rPr>
          <w:rFonts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附件5</w:t>
      </w:r>
    </w:p>
    <w:p>
      <w:pPr>
        <w:jc w:val="center"/>
        <w:rPr>
          <w:rFonts w:ascii="方正小标宋简体" w:hAnsi="方正小标宋简体" w:eastAsia="方正小标宋简体" w:cs="方正小标宋简体"/>
          <w:sz w:val="44"/>
          <w:szCs w:val="44"/>
        </w:rPr>
      </w:pPr>
    </w:p>
    <w:p>
      <w:pPr>
        <w:jc w:val="center"/>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2023年度农业农村局绿色种养循环项目</w:t>
      </w:r>
    </w:p>
    <w:p>
      <w:pPr>
        <w:jc w:val="center"/>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支出绩效自评报告</w:t>
      </w:r>
    </w:p>
    <w:p>
      <w:pPr>
        <w:jc w:val="center"/>
        <w:rPr>
          <w:rFonts w:ascii="Times New Roman" w:hAnsi="Times New Roman" w:eastAsia="方正小标宋_GBK" w:cs="Times New Roman"/>
          <w:b/>
          <w:sz w:val="52"/>
          <w:szCs w:val="52"/>
        </w:rPr>
      </w:pPr>
    </w:p>
    <w:p>
      <w:pPr>
        <w:jc w:val="center"/>
        <w:rPr>
          <w:rFonts w:ascii="Times New Roman" w:hAnsi="Times New Roman" w:eastAsia="黑体" w:cs="Times New Roman"/>
          <w:sz w:val="32"/>
          <w:szCs w:val="32"/>
        </w:rPr>
      </w:pPr>
    </w:p>
    <w:p>
      <w:pPr>
        <w:widowControl w:val="0"/>
        <w:snapToGrid w:val="0"/>
        <w:jc w:val="left"/>
        <w:rPr>
          <w:rFonts w:ascii="Times New Roman" w:hAnsi="Times New Roman" w:eastAsia="宋体" w:cs="Times New Roman"/>
          <w:kern w:val="2"/>
          <w:sz w:val="18"/>
          <w:szCs w:val="18"/>
          <w:lang w:val="en-US" w:eastAsia="zh-CN" w:bidi="ar-SA"/>
        </w:rPr>
      </w:pPr>
    </w:p>
    <w:p>
      <w:pPr>
        <w:jc w:val="center"/>
        <w:rPr>
          <w:rFonts w:ascii="Times New Roman" w:hAnsi="Times New Roman" w:eastAsia="黑体" w:cs="Times New Roman"/>
          <w:sz w:val="32"/>
          <w:szCs w:val="32"/>
        </w:rPr>
      </w:pPr>
    </w:p>
    <w:p>
      <w:pPr>
        <w:jc w:val="center"/>
        <w:rPr>
          <w:rFonts w:ascii="Times New Roman" w:hAnsi="Times New Roman" w:eastAsia="黑体" w:cs="Times New Roman"/>
          <w:sz w:val="32"/>
          <w:szCs w:val="32"/>
        </w:rPr>
      </w:pPr>
    </w:p>
    <w:p>
      <w:pPr>
        <w:jc w:val="center"/>
        <w:rPr>
          <w:rFonts w:ascii="Times New Roman" w:hAnsi="Times New Roman" w:eastAsia="黑体" w:cs="Times New Roman"/>
          <w:sz w:val="32"/>
          <w:szCs w:val="32"/>
        </w:rPr>
      </w:pPr>
    </w:p>
    <w:p>
      <w:pPr>
        <w:jc w:val="center"/>
        <w:rPr>
          <w:rFonts w:ascii="Times New Roman" w:hAnsi="Times New Roman" w:eastAsia="黑体" w:cs="Times New Roman"/>
          <w:sz w:val="32"/>
          <w:szCs w:val="32"/>
        </w:rPr>
      </w:pPr>
    </w:p>
    <w:p>
      <w:pPr>
        <w:rPr>
          <w:rFonts w:ascii="Times New Roman" w:hAnsi="Times New Roman" w:eastAsia="黑体" w:cs="Times New Roman"/>
          <w:sz w:val="32"/>
          <w:szCs w:val="32"/>
        </w:rPr>
      </w:pPr>
    </w:p>
    <w:p>
      <w:pPr>
        <w:pStyle w:val="5"/>
        <w:spacing w:before="100" w:line="221" w:lineRule="auto"/>
        <w:ind w:firstLine="600" w:firstLineChars="200"/>
        <w:rPr>
          <w:rFonts w:ascii="仿宋_GB2312" w:hAnsi="仿宋_GB2312" w:eastAsia="仿宋_GB2312" w:cs="仿宋_GB2312"/>
          <w:sz w:val="32"/>
          <w:szCs w:val="32"/>
        </w:rPr>
      </w:pPr>
      <w:r>
        <w:rPr>
          <w:rFonts w:hint="eastAsia" w:ascii="仿宋_GB2312" w:hAnsi="仿宋_GB2312" w:eastAsia="仿宋_GB2312" w:cs="仿宋_GB2312"/>
          <w:spacing w:val="-10"/>
          <w:sz w:val="32"/>
          <w:szCs w:val="32"/>
        </w:rPr>
        <w:t>部门（单位）名称</w:t>
      </w:r>
      <w:r>
        <w:rPr>
          <w:rFonts w:hint="eastAsia" w:ascii="仿宋_GB2312" w:hAnsi="仿宋_GB2312" w:eastAsia="仿宋_GB2312" w:cs="仿宋_GB2312"/>
          <w:spacing w:val="4"/>
          <w:sz w:val="32"/>
          <w:szCs w:val="32"/>
        </w:rPr>
        <w:t>：</w:t>
      </w:r>
      <w:r>
        <w:rPr>
          <w:rFonts w:hint="eastAsia" w:ascii="仿宋_GB2312" w:hAnsi="仿宋_GB2312" w:eastAsia="仿宋_GB2312" w:cs="仿宋_GB2312"/>
          <w:spacing w:val="4"/>
          <w:sz w:val="32"/>
          <w:szCs w:val="32"/>
          <w:u w:val="single"/>
          <w:lang w:eastAsia="zh-CN"/>
        </w:rPr>
        <w:t>(</w:t>
      </w:r>
      <w:r>
        <w:rPr>
          <w:rFonts w:hint="eastAsia" w:ascii="仿宋_GB2312" w:hAnsi="仿宋_GB2312" w:eastAsia="仿宋_GB2312" w:cs="仿宋_GB2312"/>
          <w:spacing w:val="-118"/>
          <w:sz w:val="32"/>
          <w:szCs w:val="32"/>
          <w:u w:val="single"/>
        </w:rPr>
        <w:t xml:space="preserve"> </w:t>
      </w:r>
      <w:r>
        <w:rPr>
          <w:rFonts w:hint="eastAsia" w:ascii="仿宋_GB2312" w:hAnsi="仿宋_GB2312" w:eastAsia="仿宋_GB2312" w:cs="仿宋_GB2312"/>
          <w:spacing w:val="-75"/>
          <w:sz w:val="32"/>
          <w:szCs w:val="32"/>
          <w:u w:val="single"/>
        </w:rPr>
        <w:t xml:space="preserve"> </w:t>
      </w:r>
      <w:r>
        <w:rPr>
          <w:rFonts w:hint="eastAsia" w:ascii="仿宋_GB2312" w:hAnsi="仿宋_GB2312" w:eastAsia="仿宋_GB2312" w:cs="仿宋_GB2312"/>
          <w:spacing w:val="-10"/>
          <w:sz w:val="32"/>
          <w:szCs w:val="32"/>
          <w:u w:val="single"/>
        </w:rPr>
        <w:t>盖章）</w:t>
      </w:r>
      <w:r>
        <w:rPr>
          <w:rFonts w:hint="eastAsia" w:ascii="仿宋_GB2312" w:hAnsi="仿宋_GB2312" w:eastAsia="仿宋_GB2312" w:cs="仿宋_GB2312"/>
          <w:sz w:val="32"/>
          <w:szCs w:val="32"/>
          <w:u w:val="single"/>
        </w:rPr>
        <w:t xml:space="preserve">       </w:t>
      </w:r>
      <w:r>
        <w:rPr>
          <w:rFonts w:hint="eastAsia" w:ascii="仿宋_GB2312" w:hAnsi="仿宋_GB2312" w:eastAsia="仿宋_GB2312" w:cs="仿宋_GB2312"/>
          <w:sz w:val="32"/>
          <w:szCs w:val="32"/>
          <w:u w:val="single"/>
          <w:lang w:eastAsia="zh-CN"/>
        </w:rPr>
        <w:t xml:space="preserve">     </w:t>
      </w:r>
      <w:r>
        <w:rPr>
          <w:rFonts w:hint="eastAsia" w:ascii="仿宋_GB2312" w:hAnsi="仿宋_GB2312" w:eastAsia="仿宋_GB2312" w:cs="仿宋_GB2312"/>
          <w:sz w:val="32"/>
          <w:szCs w:val="32"/>
          <w:u w:val="single"/>
        </w:rPr>
        <w:t xml:space="preserve">  </w:t>
      </w:r>
    </w:p>
    <w:p>
      <w:pPr>
        <w:spacing w:before="228" w:line="222" w:lineRule="auto"/>
        <w:ind w:firstLine="4560" w:firstLineChars="1500"/>
        <w:rPr>
          <w:rFonts w:ascii="仿宋_GB2312" w:hAnsi="仿宋_GB2312" w:eastAsia="仿宋_GB2312" w:cs="仿宋_GB2312"/>
          <w:sz w:val="32"/>
          <w:szCs w:val="32"/>
        </w:rPr>
      </w:pPr>
      <w:r>
        <w:rPr>
          <w:rFonts w:hint="eastAsia" w:ascii="仿宋_GB2312" w:hAnsi="仿宋_GB2312" w:eastAsia="仿宋_GB2312" w:cs="仿宋_GB2312"/>
          <w:spacing w:val="-8"/>
          <w:sz w:val="32"/>
          <w:szCs w:val="32"/>
        </w:rPr>
        <w:t>2024年</w:t>
      </w:r>
      <w:r>
        <w:rPr>
          <w:rFonts w:hint="eastAsia" w:ascii="仿宋_GB2312" w:hAnsi="仿宋_GB2312" w:eastAsia="仿宋_GB2312" w:cs="仿宋_GB2312"/>
          <w:spacing w:val="21"/>
          <w:sz w:val="32"/>
          <w:szCs w:val="32"/>
        </w:rPr>
        <w:t xml:space="preserve"> 5 </w:t>
      </w:r>
      <w:r>
        <w:rPr>
          <w:rFonts w:hint="eastAsia" w:ascii="仿宋_GB2312" w:hAnsi="仿宋_GB2312" w:eastAsia="仿宋_GB2312" w:cs="仿宋_GB2312"/>
          <w:spacing w:val="-8"/>
          <w:sz w:val="32"/>
          <w:szCs w:val="32"/>
        </w:rPr>
        <w:t>月28日</w:t>
      </w:r>
    </w:p>
    <w:p>
      <w:pPr>
        <w:spacing w:line="335" w:lineRule="auto"/>
        <w:rPr>
          <w:rFonts w:ascii="仿宋_GB2312" w:hAnsi="仿宋_GB2312" w:eastAsia="仿宋_GB2312" w:cs="仿宋_GB2312"/>
          <w:sz w:val="32"/>
          <w:szCs w:val="32"/>
        </w:rPr>
      </w:pPr>
    </w:p>
    <w:p>
      <w:pPr>
        <w:pStyle w:val="5"/>
        <w:spacing w:before="102" w:line="224" w:lineRule="auto"/>
        <w:ind w:left="3216"/>
        <w:rPr>
          <w:rFonts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（此页为封面）</w:t>
      </w:r>
    </w:p>
    <w:p>
      <w:pPr>
        <w:rPr>
          <w:rFonts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br w:type="page"/>
      </w:r>
    </w:p>
    <w:p>
      <w:pPr>
        <w:spacing w:line="610" w:lineRule="exact"/>
        <w:jc w:val="center"/>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2023年度农业农村局绿色种养循环项目</w:t>
      </w:r>
    </w:p>
    <w:p>
      <w:pPr>
        <w:spacing w:line="610" w:lineRule="exact"/>
        <w:jc w:val="center"/>
        <w:rPr>
          <w:rFonts w:ascii="Times New Roman" w:hAnsi="Times New Roman" w:eastAsia="仿宋_GB2312" w:cs="Times New Roman"/>
          <w:sz w:val="32"/>
          <w:szCs w:val="32"/>
        </w:rPr>
      </w:pPr>
      <w:r>
        <w:rPr>
          <w:rFonts w:hint="eastAsia" w:ascii="方正小标宋简体" w:hAnsi="方正小标宋简体" w:eastAsia="方正小标宋简体" w:cs="方正小标宋简体"/>
          <w:sz w:val="44"/>
          <w:szCs w:val="44"/>
        </w:rPr>
        <w:t>支出绩效自评报告</w:t>
      </w:r>
    </w:p>
    <w:p>
      <w:pPr>
        <w:snapToGrid w:val="0"/>
        <w:spacing w:line="550" w:lineRule="exact"/>
        <w:ind w:firstLine="640" w:firstLineChars="200"/>
        <w:outlineLvl w:val="1"/>
        <w:rPr>
          <w:rFonts w:ascii="黑体" w:hAnsi="黑体" w:eastAsia="黑体" w:cs="黑体"/>
          <w:bCs/>
          <w:sz w:val="32"/>
          <w:szCs w:val="32"/>
        </w:rPr>
      </w:pPr>
    </w:p>
    <w:p>
      <w:pPr>
        <w:snapToGrid w:val="0"/>
        <w:spacing w:line="550" w:lineRule="exact"/>
        <w:ind w:firstLine="640" w:firstLineChars="200"/>
        <w:outlineLvl w:val="1"/>
        <w:rPr>
          <w:rFonts w:ascii="黑体" w:hAnsi="黑体" w:eastAsia="黑体" w:cs="黑体"/>
          <w:bCs/>
          <w:sz w:val="32"/>
          <w:szCs w:val="32"/>
        </w:rPr>
      </w:pPr>
      <w:r>
        <w:rPr>
          <w:rFonts w:hint="eastAsia" w:ascii="黑体" w:hAnsi="黑体" w:eastAsia="黑体" w:cs="黑体"/>
          <w:bCs/>
          <w:sz w:val="32"/>
          <w:szCs w:val="32"/>
        </w:rPr>
        <w:t>一、项目概况</w:t>
      </w:r>
    </w:p>
    <w:p>
      <w:pPr>
        <w:snapToGrid w:val="0"/>
        <w:spacing w:line="550" w:lineRule="exact"/>
        <w:ind w:firstLine="643" w:firstLineChars="200"/>
        <w:rPr>
          <w:rFonts w:ascii="楷体_GB2312" w:hAnsi="楷体_GB2312" w:eastAsia="楷体_GB2312" w:cs="楷体_GB2312"/>
          <w:b/>
          <w:bCs/>
          <w:sz w:val="32"/>
          <w:szCs w:val="32"/>
        </w:rPr>
      </w:pPr>
      <w:r>
        <w:rPr>
          <w:rFonts w:hint="eastAsia" w:ascii="楷体_GB2312" w:hAnsi="楷体_GB2312" w:eastAsia="楷体_GB2312" w:cs="楷体_GB2312"/>
          <w:b/>
          <w:bCs/>
          <w:sz w:val="32"/>
          <w:szCs w:val="32"/>
        </w:rPr>
        <w:t>（一）项目单位基本情况</w:t>
      </w:r>
    </w:p>
    <w:p>
      <w:pPr>
        <w:adjustRightInd w:val="0"/>
        <w:snapToGrid w:val="0"/>
        <w:spacing w:line="550" w:lineRule="exact"/>
        <w:ind w:firstLine="640" w:firstLineChars="200"/>
        <w:rPr>
          <w:rFonts w:ascii="Times New Roman" w:hAnsi="Times New Roman" w:eastAsia="仿宋_GB2312" w:cs="Times New Roman"/>
          <w:sz w:val="32"/>
          <w:szCs w:val="32"/>
        </w:rPr>
      </w:pPr>
      <w:r>
        <w:rPr>
          <w:rFonts w:hint="eastAsia" w:ascii="仿宋_GB2312" w:hAnsi="Times New Roman" w:eastAsia="仿宋_GB2312" w:cs="Times New Roman"/>
          <w:sz w:val="32"/>
          <w:szCs w:val="32"/>
        </w:rPr>
        <w:t>我县为项目顺利实施提供了强有力的技术力量和服务力量，成立了华容县绿色种养循环农业项目试点工作领导小组，分管农业副县长任组长，县政府办副主任、华容县农业农村局长任副组长，财政局、农业农村局、生态环境局华容分局、审计局相关负责人为成员，负责项目的统筹协调和组织实施，领导小组下设办公室，农业农村局局长黎志良同志兼任办公室主任，农业农村局副局长魏文芳副组长，负责项目具体实施工作配备农业技术干部26人（包括乡镇），其中高级职称6人，中级职称18人，全程指导粪肥无害化处理、还田技术。组织服务主体骨干力量35名，全程参与粪肥收集、运输、处理、施用工作。</w:t>
      </w:r>
    </w:p>
    <w:p>
      <w:pPr>
        <w:snapToGrid w:val="0"/>
        <w:spacing w:line="550" w:lineRule="exact"/>
        <w:ind w:firstLine="643" w:firstLineChars="200"/>
        <w:rPr>
          <w:rFonts w:ascii="楷体_GB2312" w:hAnsi="楷体_GB2312" w:eastAsia="楷体_GB2312" w:cs="楷体_GB2312"/>
          <w:b/>
          <w:bCs/>
          <w:sz w:val="32"/>
          <w:szCs w:val="32"/>
        </w:rPr>
      </w:pPr>
      <w:r>
        <w:rPr>
          <w:rFonts w:hint="eastAsia" w:ascii="楷体_GB2312" w:hAnsi="楷体_GB2312" w:eastAsia="楷体_GB2312" w:cs="楷体_GB2312"/>
          <w:b/>
          <w:bCs/>
          <w:sz w:val="32"/>
          <w:szCs w:val="32"/>
        </w:rPr>
        <w:t>（二）项目基本情况简介</w:t>
      </w:r>
    </w:p>
    <w:p>
      <w:pPr>
        <w:snapToGrid w:val="0"/>
        <w:spacing w:line="550" w:lineRule="exact"/>
        <w:ind w:firstLine="640" w:firstLineChars="200"/>
        <w:rPr>
          <w:rFonts w:ascii="Times New Roman" w:hAnsi="Times New Roman" w:eastAsia="仿宋_GB2312" w:cs="Times New Roman"/>
          <w:sz w:val="32"/>
          <w:szCs w:val="32"/>
        </w:rPr>
      </w:pPr>
      <w:r>
        <w:rPr>
          <w:rFonts w:hint="eastAsia" w:ascii="仿宋_GB2312" w:hAnsi="Times New Roman" w:eastAsia="仿宋_GB2312" w:cs="Times New Roman"/>
          <w:sz w:val="32"/>
          <w:szCs w:val="32"/>
        </w:rPr>
        <w:t>根据《农业农村部办公厅财政部办公厅关于绿色种养循环农业试点工作的通知》（农办农〔</w:t>
      </w:r>
      <w:r>
        <w:rPr>
          <w:rFonts w:ascii="仿宋_GB2312" w:hAnsi="Times New Roman" w:eastAsia="仿宋_GB2312" w:cs="Times New Roman"/>
          <w:sz w:val="32"/>
          <w:szCs w:val="32"/>
        </w:rPr>
        <w:t>2021</w:t>
      </w:r>
      <w:r>
        <w:rPr>
          <w:rFonts w:hint="eastAsia" w:ascii="仿宋_GB2312" w:hAnsi="Times New Roman" w:eastAsia="仿宋_GB2312" w:cs="Times New Roman"/>
          <w:sz w:val="32"/>
          <w:szCs w:val="32"/>
        </w:rPr>
        <w:t>〕</w:t>
      </w:r>
      <w:r>
        <w:rPr>
          <w:rFonts w:ascii="仿宋_GB2312" w:hAnsi="Times New Roman" w:eastAsia="仿宋_GB2312" w:cs="Times New Roman"/>
          <w:sz w:val="32"/>
          <w:szCs w:val="32"/>
        </w:rPr>
        <w:t>10</w:t>
      </w:r>
      <w:r>
        <w:rPr>
          <w:rFonts w:hint="eastAsia" w:ascii="仿宋_GB2312" w:hAnsi="Times New Roman" w:eastAsia="仿宋_GB2312" w:cs="Times New Roman"/>
          <w:sz w:val="32"/>
          <w:szCs w:val="32"/>
        </w:rPr>
        <w:t>号）和《湖南省农业农村厅办公室关于申报</w:t>
      </w:r>
      <w:r>
        <w:rPr>
          <w:rFonts w:ascii="仿宋_GB2312" w:hAnsi="Times New Roman" w:eastAsia="仿宋_GB2312" w:cs="Times New Roman"/>
          <w:sz w:val="32"/>
          <w:szCs w:val="32"/>
        </w:rPr>
        <w:t>2021</w:t>
      </w:r>
      <w:r>
        <w:rPr>
          <w:rFonts w:hint="eastAsia" w:ascii="仿宋_GB2312" w:hAnsi="Times New Roman" w:eastAsia="仿宋_GB2312" w:cs="Times New Roman"/>
          <w:sz w:val="32"/>
          <w:szCs w:val="32"/>
        </w:rPr>
        <w:t>年绿色种养循环农业试点县的通知》（湘农办函〔</w:t>
      </w:r>
      <w:r>
        <w:rPr>
          <w:rFonts w:ascii="仿宋_GB2312" w:hAnsi="Times New Roman" w:eastAsia="仿宋_GB2312" w:cs="Times New Roman"/>
          <w:sz w:val="32"/>
          <w:szCs w:val="32"/>
        </w:rPr>
        <w:t>2021</w:t>
      </w:r>
      <w:r>
        <w:rPr>
          <w:rFonts w:hint="eastAsia" w:ascii="仿宋_GB2312" w:hAnsi="Times New Roman" w:eastAsia="仿宋_GB2312" w:cs="Times New Roman"/>
          <w:sz w:val="32"/>
          <w:szCs w:val="32"/>
        </w:rPr>
        <w:t>〕</w:t>
      </w:r>
      <w:r>
        <w:rPr>
          <w:rFonts w:ascii="仿宋_GB2312" w:hAnsi="Times New Roman" w:eastAsia="仿宋_GB2312" w:cs="Times New Roman"/>
          <w:sz w:val="32"/>
          <w:szCs w:val="32"/>
        </w:rPr>
        <w:t>104</w:t>
      </w:r>
      <w:r>
        <w:rPr>
          <w:rFonts w:hint="eastAsia" w:ascii="仿宋_GB2312" w:hAnsi="Times New Roman" w:eastAsia="仿宋_GB2312" w:cs="Times New Roman"/>
          <w:sz w:val="32"/>
          <w:szCs w:val="32"/>
        </w:rPr>
        <w:t>号）文件精神和相关要求，为加快畜禽粪污资源化利用，打通种养循环堵点，促进粪肥还田，推动农业绿色高质量发展，华容县</w:t>
      </w:r>
      <w:r>
        <w:rPr>
          <w:rFonts w:ascii="仿宋_GB2312" w:hAnsi="Times New Roman" w:eastAsia="仿宋_GB2312" w:cs="Times New Roman"/>
          <w:sz w:val="32"/>
          <w:szCs w:val="32"/>
        </w:rPr>
        <w:t>202</w:t>
      </w:r>
      <w:r>
        <w:rPr>
          <w:rFonts w:hint="eastAsia" w:ascii="仿宋_GB2312" w:hAnsi="Times New Roman" w:eastAsia="仿宋_GB2312" w:cs="Times New Roman"/>
          <w:sz w:val="32"/>
          <w:szCs w:val="32"/>
        </w:rPr>
        <w:t>3年创建了绿色种养循环农业试点，通过建机制、创模式、拓市场、畅循环，形成可复制可推广的种养结合，养殖场户、服务组织和种植主体紧密衔接的绿色循环农业发展模式。</w:t>
      </w:r>
    </w:p>
    <w:p>
      <w:pPr>
        <w:snapToGrid w:val="0"/>
        <w:spacing w:line="550" w:lineRule="exact"/>
        <w:ind w:firstLine="640" w:firstLineChars="200"/>
        <w:outlineLvl w:val="1"/>
        <w:rPr>
          <w:rFonts w:ascii="黑体" w:hAnsi="黑体" w:eastAsia="黑体" w:cs="黑体"/>
          <w:bCs/>
          <w:sz w:val="32"/>
          <w:szCs w:val="32"/>
        </w:rPr>
      </w:pPr>
      <w:r>
        <w:rPr>
          <w:rFonts w:hint="eastAsia" w:ascii="黑体" w:hAnsi="黑体" w:eastAsia="黑体" w:cs="黑体"/>
          <w:bCs/>
          <w:sz w:val="32"/>
          <w:szCs w:val="32"/>
        </w:rPr>
        <w:t>二、项目资金使用及管理情况</w:t>
      </w:r>
    </w:p>
    <w:p>
      <w:pPr>
        <w:snapToGrid w:val="0"/>
        <w:spacing w:line="550" w:lineRule="exact"/>
        <w:ind w:firstLine="643" w:firstLineChars="200"/>
        <w:rPr>
          <w:rFonts w:ascii="楷体_GB2312" w:hAnsi="楷体_GB2312" w:eastAsia="楷体_GB2312" w:cs="楷体_GB2312"/>
          <w:b/>
          <w:bCs/>
          <w:sz w:val="32"/>
          <w:szCs w:val="32"/>
        </w:rPr>
      </w:pPr>
      <w:r>
        <w:rPr>
          <w:rFonts w:hint="eastAsia" w:ascii="楷体_GB2312" w:hAnsi="楷体_GB2312" w:eastAsia="楷体_GB2312" w:cs="楷体_GB2312"/>
          <w:b/>
          <w:bCs/>
          <w:sz w:val="32"/>
          <w:szCs w:val="32"/>
        </w:rPr>
        <w:t>（一）经费管理情况</w:t>
      </w:r>
    </w:p>
    <w:p>
      <w:pPr>
        <w:adjustRightInd w:val="0"/>
        <w:snapToGrid w:val="0"/>
        <w:spacing w:line="550" w:lineRule="exact"/>
        <w:ind w:firstLine="640" w:firstLineChars="200"/>
        <w:rPr>
          <w:rFonts w:ascii="仿宋_GB2312" w:hAnsi="Times New Roman" w:eastAsia="仿宋_GB2312" w:cs="Times New Roman"/>
          <w:sz w:val="32"/>
          <w:szCs w:val="32"/>
        </w:rPr>
      </w:pPr>
      <w:r>
        <w:rPr>
          <w:rFonts w:hint="eastAsia" w:ascii="仿宋_GB2312" w:hAnsi="Times New Roman" w:eastAsia="仿宋_GB2312" w:cs="Times New Roman"/>
          <w:sz w:val="32"/>
          <w:szCs w:val="32"/>
        </w:rPr>
        <w:t>1)以制度管理经费使用。项目承担单位根据国家相关法律法规制定了相应的单位财务管理办法等管理制度，对项目经费的使用和监督管理做出了明确规定，确保项目经费严格按相关规定和要求，合理、规范使用。</w:t>
      </w:r>
    </w:p>
    <w:p>
      <w:pPr>
        <w:adjustRightInd w:val="0"/>
        <w:snapToGrid w:val="0"/>
        <w:spacing w:line="550" w:lineRule="exact"/>
        <w:ind w:firstLine="640" w:firstLineChars="200"/>
        <w:rPr>
          <w:rFonts w:ascii="仿宋_GB2312" w:hAnsi="Times New Roman" w:eastAsia="仿宋_GB2312" w:cs="Times New Roman"/>
          <w:sz w:val="32"/>
          <w:szCs w:val="32"/>
        </w:rPr>
      </w:pPr>
      <w:r>
        <w:rPr>
          <w:rFonts w:hint="eastAsia" w:ascii="仿宋_GB2312" w:hAnsi="Times New Roman" w:eastAsia="仿宋_GB2312" w:cs="Times New Roman"/>
          <w:sz w:val="32"/>
          <w:szCs w:val="32"/>
        </w:rPr>
        <w:t>2) 专户管理。将项目经费设立专户管理，单独核算，由专人负责，专款专用。</w:t>
      </w:r>
    </w:p>
    <w:p>
      <w:pPr>
        <w:adjustRightInd w:val="0"/>
        <w:snapToGrid w:val="0"/>
        <w:spacing w:line="550" w:lineRule="exact"/>
        <w:ind w:firstLine="640" w:firstLineChars="200"/>
        <w:rPr>
          <w:rFonts w:ascii="仿宋_GB2312" w:hAnsi="Times New Roman" w:eastAsia="仿宋_GB2312" w:cs="Times New Roman"/>
          <w:sz w:val="32"/>
          <w:szCs w:val="32"/>
        </w:rPr>
      </w:pPr>
      <w:r>
        <w:rPr>
          <w:rFonts w:hint="eastAsia" w:ascii="仿宋_GB2312" w:hAnsi="Times New Roman" w:eastAsia="仿宋_GB2312" w:cs="Times New Roman"/>
          <w:sz w:val="32"/>
          <w:szCs w:val="32"/>
        </w:rPr>
        <w:t>3）严格审批程序。严格审批程序是保证项目经费合理、规范使用最有效的办法。所有经费支出由经手人签字、验收人验收或证明人签字、项目负责人和承担单位负责人按预算范围审核签字后，财务科按预算标准和财务制度进行审核，由财务科长签字，最后由主管财务领导审批方可报账。</w:t>
      </w:r>
    </w:p>
    <w:p>
      <w:pPr>
        <w:adjustRightInd w:val="0"/>
        <w:snapToGrid w:val="0"/>
        <w:spacing w:line="550" w:lineRule="exact"/>
        <w:ind w:firstLine="640" w:firstLineChars="200"/>
        <w:rPr>
          <w:rFonts w:ascii="仿宋_GB2312" w:hAnsi="Times New Roman" w:eastAsia="仿宋_GB2312" w:cs="Times New Roman"/>
          <w:sz w:val="32"/>
          <w:szCs w:val="32"/>
        </w:rPr>
      </w:pPr>
      <w:r>
        <w:rPr>
          <w:rFonts w:hint="eastAsia" w:ascii="仿宋_GB2312" w:hAnsi="Times New Roman" w:eastAsia="仿宋_GB2312" w:cs="Times New Roman"/>
          <w:sz w:val="32"/>
          <w:szCs w:val="32"/>
        </w:rPr>
        <w:t>4）自觉接受监督。自觉接受财政、审计等部门的监督检查。</w:t>
      </w:r>
    </w:p>
    <w:p>
      <w:pPr>
        <w:snapToGrid w:val="0"/>
        <w:spacing w:line="550" w:lineRule="exact"/>
        <w:ind w:firstLine="643" w:firstLineChars="200"/>
        <w:rPr>
          <w:rFonts w:ascii="楷体_GB2312" w:hAnsi="楷体_GB2312" w:eastAsia="楷体_GB2312" w:cs="楷体_GB2312"/>
          <w:b/>
          <w:bCs/>
          <w:sz w:val="32"/>
          <w:szCs w:val="32"/>
        </w:rPr>
      </w:pPr>
      <w:r>
        <w:rPr>
          <w:rFonts w:hint="eastAsia" w:ascii="楷体_GB2312" w:hAnsi="楷体_GB2312" w:eastAsia="楷体_GB2312" w:cs="楷体_GB2312"/>
          <w:b/>
          <w:bCs/>
          <w:sz w:val="32"/>
          <w:szCs w:val="32"/>
        </w:rPr>
        <w:t>（二）经费使用情况</w:t>
      </w:r>
    </w:p>
    <w:p>
      <w:pPr>
        <w:adjustRightInd w:val="0"/>
        <w:snapToGrid w:val="0"/>
        <w:spacing w:line="550" w:lineRule="exact"/>
        <w:ind w:firstLine="640" w:firstLineChars="200"/>
        <w:jc w:val="left"/>
        <w:rPr>
          <w:rFonts w:ascii="仿宋_GB2312" w:hAnsi="Times New Roman" w:eastAsia="仿宋_GB2312" w:cs="Times New Roman"/>
          <w:sz w:val="32"/>
          <w:szCs w:val="32"/>
        </w:rPr>
      </w:pPr>
      <w:r>
        <w:rPr>
          <w:rFonts w:hint="eastAsia" w:ascii="仿宋_GB2312" w:hAnsi="Times New Roman" w:eastAsia="仿宋_GB2312" w:cs="Times New Roman"/>
          <w:sz w:val="32"/>
          <w:szCs w:val="32"/>
        </w:rPr>
        <w:t>本项目预算总经费7000万元，到位经费6662万元。现支出6662万元，执行率为100%。支出科目明细：收集运输费1940万元，堆沤处理费2260万元，施用服务费2340万元，试验示范费30万元，效果监测费57万元，宣传培训费与追溯平台建设35万元。</w:t>
      </w:r>
    </w:p>
    <w:p>
      <w:pPr>
        <w:snapToGrid w:val="0"/>
        <w:spacing w:line="550" w:lineRule="exact"/>
        <w:ind w:firstLine="640" w:firstLineChars="200"/>
        <w:outlineLvl w:val="1"/>
        <w:rPr>
          <w:rFonts w:ascii="黑体" w:hAnsi="黑体" w:eastAsia="黑体" w:cs="黑体"/>
          <w:bCs/>
          <w:sz w:val="32"/>
          <w:szCs w:val="32"/>
        </w:rPr>
      </w:pPr>
      <w:r>
        <w:rPr>
          <w:rFonts w:hint="eastAsia" w:ascii="黑体" w:hAnsi="黑体" w:eastAsia="黑体" w:cs="黑体"/>
          <w:bCs/>
          <w:sz w:val="32"/>
          <w:szCs w:val="32"/>
        </w:rPr>
        <w:t>三、项目组织实施情况</w:t>
      </w:r>
    </w:p>
    <w:p>
      <w:pPr>
        <w:snapToGrid w:val="0"/>
        <w:spacing w:line="550" w:lineRule="exact"/>
        <w:ind w:firstLine="643" w:firstLineChars="200"/>
        <w:rPr>
          <w:rFonts w:ascii="楷体_GB2312" w:hAnsi="楷体_GB2312" w:eastAsia="楷体_GB2312" w:cs="楷体_GB2312"/>
          <w:b/>
          <w:bCs/>
          <w:sz w:val="32"/>
          <w:szCs w:val="32"/>
        </w:rPr>
      </w:pPr>
      <w:r>
        <w:rPr>
          <w:rFonts w:hint="eastAsia" w:ascii="楷体_GB2312" w:hAnsi="楷体_GB2312" w:eastAsia="楷体_GB2312" w:cs="楷体_GB2312"/>
          <w:b/>
          <w:bCs/>
          <w:sz w:val="32"/>
          <w:szCs w:val="32"/>
        </w:rPr>
        <w:t>（一）项目组织情况分析</w:t>
      </w:r>
    </w:p>
    <w:p>
      <w:pPr>
        <w:adjustRightInd w:val="0"/>
        <w:snapToGrid w:val="0"/>
        <w:spacing w:line="550" w:lineRule="exact"/>
        <w:ind w:firstLine="640" w:firstLineChars="200"/>
        <w:jc w:val="left"/>
        <w:rPr>
          <w:rFonts w:ascii="仿宋_GB2312" w:hAnsi="Times New Roman" w:eastAsia="仿宋_GB2312" w:cs="Times New Roman"/>
          <w:sz w:val="32"/>
          <w:szCs w:val="32"/>
        </w:rPr>
      </w:pPr>
      <w:r>
        <w:rPr>
          <w:rFonts w:hint="eastAsia" w:ascii="仿宋_GB2312" w:hAnsi="Times New Roman" w:eastAsia="仿宋_GB2312" w:cs="Times New Roman"/>
          <w:sz w:val="32"/>
          <w:szCs w:val="32"/>
        </w:rPr>
        <w:t>（1）成立领导小组，加强组织领导。成立了华容县绿色种养循环农业项目试点工作领导小组，分管农业副县长任组长，县政府办副主任、华容县农业农村局长任副组长，财政局、农业农村局、生态环境局华容分局、审计局相关负责人为成员，负责项目的统筹协调和组织实施，领导小组下设办公室，农业农村局局长黎志良同志兼任办公室主任，农业农村局副局长魏文芳副组长，负责项目具体实施工作。建立了责任到人的岗位责任制和层层抓落实的工作推进机制，制定严格的项目考核、调度、督查、奖惩办法。</w:t>
      </w:r>
    </w:p>
    <w:p>
      <w:pPr>
        <w:adjustRightInd w:val="0"/>
        <w:snapToGrid w:val="0"/>
        <w:spacing w:line="550" w:lineRule="exact"/>
        <w:ind w:firstLine="640" w:firstLineChars="200"/>
        <w:jc w:val="left"/>
        <w:rPr>
          <w:rFonts w:ascii="仿宋_GB2312" w:hAnsi="Times New Roman" w:eastAsia="仿宋_GB2312" w:cs="Times New Roman"/>
          <w:sz w:val="32"/>
          <w:szCs w:val="32"/>
        </w:rPr>
      </w:pPr>
      <w:r>
        <w:rPr>
          <w:rFonts w:hint="eastAsia" w:ascii="仿宋_GB2312" w:hAnsi="Times New Roman" w:eastAsia="仿宋_GB2312" w:cs="Times New Roman"/>
          <w:sz w:val="32"/>
          <w:szCs w:val="32"/>
        </w:rPr>
        <w:t>（2）统一规划，精心部署。由县人民政府牵头，在征求财政、环保、畜牧、农业等部门的意见后，制定了《华容县绿色种养循环农业试点项目实施方案》。同时，制定了《华容县绿色种养循环农业试点工作指导意见》，细化实化技术指标，因地制宜制定了技术方案，制定了《华容县绿色种养循环农业试点项目工作管理办法》。对我县绿色种养循环农业试点工作进行了统一规划、精心部署，</w:t>
      </w:r>
    </w:p>
    <w:p>
      <w:pPr>
        <w:adjustRightInd w:val="0"/>
        <w:snapToGrid w:val="0"/>
        <w:spacing w:line="550" w:lineRule="exact"/>
        <w:ind w:firstLine="640" w:firstLineChars="200"/>
        <w:jc w:val="left"/>
        <w:rPr>
          <w:rFonts w:ascii="Times New Roman" w:hAnsi="Times New Roman" w:eastAsia="仿宋_GB2312" w:cs="Times New Roman"/>
          <w:sz w:val="32"/>
          <w:szCs w:val="32"/>
        </w:rPr>
      </w:pPr>
      <w:r>
        <w:rPr>
          <w:rFonts w:hint="eastAsia" w:ascii="仿宋_GB2312" w:hAnsi="Times New Roman" w:eastAsia="仿宋_GB2312" w:cs="Times New Roman"/>
          <w:sz w:val="32"/>
          <w:szCs w:val="32"/>
        </w:rPr>
        <w:t>（3）签定任务合同，落实目标责任。采取“公开、公平、公正”的原则，遴选了8家第三方服务组织承担实施本项目任务。农业农村局与8家第三方组织分别签订了服务合同，落实了目标任务。</w:t>
      </w:r>
    </w:p>
    <w:p>
      <w:pPr>
        <w:snapToGrid w:val="0"/>
        <w:spacing w:line="550" w:lineRule="exact"/>
        <w:ind w:firstLine="643" w:firstLineChars="200"/>
        <w:rPr>
          <w:rFonts w:ascii="楷体_GB2312" w:hAnsi="楷体_GB2312" w:eastAsia="楷体_GB2312" w:cs="楷体_GB2312"/>
          <w:b/>
          <w:bCs/>
          <w:sz w:val="32"/>
          <w:szCs w:val="32"/>
        </w:rPr>
      </w:pPr>
      <w:r>
        <w:rPr>
          <w:rFonts w:hint="eastAsia" w:ascii="楷体_GB2312" w:hAnsi="楷体_GB2312" w:eastAsia="楷体_GB2312" w:cs="楷体_GB2312"/>
          <w:b/>
          <w:bCs/>
          <w:sz w:val="32"/>
          <w:szCs w:val="32"/>
        </w:rPr>
        <w:t>（二）项目管理情况分析</w:t>
      </w:r>
    </w:p>
    <w:p>
      <w:pPr>
        <w:adjustRightInd w:val="0"/>
        <w:snapToGrid w:val="0"/>
        <w:spacing w:line="550" w:lineRule="exact"/>
        <w:ind w:firstLine="640" w:firstLineChars="200"/>
        <w:jc w:val="left"/>
        <w:rPr>
          <w:rFonts w:ascii="仿宋_GB2312" w:hAnsi="Times New Roman" w:eastAsia="仿宋_GB2312" w:cs="Times New Roman"/>
          <w:sz w:val="32"/>
          <w:szCs w:val="32"/>
        </w:rPr>
      </w:pPr>
      <w:r>
        <w:rPr>
          <w:rFonts w:hint="eastAsia" w:ascii="仿宋_GB2312" w:hAnsi="Times New Roman" w:eastAsia="仿宋_GB2312" w:cs="Times New Roman"/>
          <w:sz w:val="32"/>
          <w:szCs w:val="32"/>
        </w:rPr>
        <w:t>（1）组建了监管小组。组建了由县农业农村局、镇、村干部、农户代表、技术指导单位和第三方监理单位组成的“项目监管小组”，负责调查核实项目实施面积、作业秩序与进度、作业质量与实施效果，进行项目资料信息公示，协调处置与项目实施相关的民事事宜等；重点督促检查实施主体是否严格按技术要求实施，是否及时完成粪肥还田示范任务，是否及时完成粪肥质量检测、监测田和试验田任务。</w:t>
      </w:r>
    </w:p>
    <w:p>
      <w:pPr>
        <w:adjustRightInd w:val="0"/>
        <w:snapToGrid w:val="0"/>
        <w:spacing w:line="550" w:lineRule="exact"/>
        <w:ind w:firstLine="640" w:firstLineChars="200"/>
        <w:jc w:val="left"/>
        <w:rPr>
          <w:rFonts w:ascii="仿宋_GB2312" w:hAnsi="Times New Roman" w:eastAsia="仿宋_GB2312" w:cs="Times New Roman"/>
          <w:sz w:val="32"/>
          <w:szCs w:val="32"/>
        </w:rPr>
      </w:pPr>
      <w:r>
        <w:rPr>
          <w:rFonts w:hint="eastAsia" w:ascii="仿宋_GB2312" w:hAnsi="Times New Roman" w:eastAsia="仿宋_GB2312" w:cs="Times New Roman"/>
          <w:sz w:val="32"/>
          <w:szCs w:val="32"/>
        </w:rPr>
        <w:t>（2）组织了现场督导。在项目实施全程，特别是粪肥还田关键时点，不定期组织开展现场督导，重点督导堆肥场地建设情况、收集处理情况、粪肥还田情况、示范片建设情况，对工作不重视、推进不力、成效不明显的试点单位予以通报。目前，已完成了对8个试点单位的第1轮督导工作。</w:t>
      </w:r>
    </w:p>
    <w:p>
      <w:pPr>
        <w:adjustRightInd w:val="0"/>
        <w:snapToGrid w:val="0"/>
        <w:spacing w:line="550" w:lineRule="exact"/>
        <w:ind w:firstLine="640" w:firstLineChars="200"/>
        <w:jc w:val="left"/>
        <w:rPr>
          <w:rFonts w:ascii="仿宋_GB2312" w:hAnsi="Times New Roman" w:eastAsia="仿宋_GB2312" w:cs="Times New Roman"/>
          <w:sz w:val="32"/>
          <w:szCs w:val="32"/>
        </w:rPr>
      </w:pPr>
      <w:r>
        <w:rPr>
          <w:rFonts w:hint="eastAsia" w:ascii="仿宋_GB2312" w:hAnsi="Times New Roman" w:eastAsia="仿宋_GB2312" w:cs="Times New Roman"/>
          <w:sz w:val="32"/>
          <w:szCs w:val="32"/>
        </w:rPr>
        <w:t>（3）开展了全程监理。委托第三方监理单位，对8个试点单位开展全程监理。</w:t>
      </w:r>
    </w:p>
    <w:p>
      <w:pPr>
        <w:adjustRightInd w:val="0"/>
        <w:snapToGrid w:val="0"/>
        <w:spacing w:line="550" w:lineRule="exact"/>
        <w:ind w:firstLine="640" w:firstLineChars="200"/>
        <w:jc w:val="left"/>
        <w:rPr>
          <w:rFonts w:ascii="仿宋_GB2312" w:hAnsi="Times New Roman" w:eastAsia="仿宋_GB2312" w:cs="Times New Roman"/>
          <w:sz w:val="32"/>
          <w:szCs w:val="32"/>
        </w:rPr>
      </w:pPr>
      <w:r>
        <w:rPr>
          <w:rFonts w:hint="eastAsia" w:ascii="仿宋_GB2312" w:hAnsi="Times New Roman" w:eastAsia="仿宋_GB2312" w:cs="Times New Roman"/>
          <w:sz w:val="32"/>
          <w:szCs w:val="32"/>
        </w:rPr>
        <w:t>（4）建立了粪肥还田追溯监管平台。去年11月中旬，我县建立了粪肥还田追溯监管平台。该平台由北京鑫创数字科技股份有限公司的提供技术支持，8个组织的14台主要机械设备都安装了车载装置。通过追溯监管平台能全面及时掌握粪肥收集、处理、加工、施用工作全过程，有效提高了监管力度。</w:t>
      </w:r>
    </w:p>
    <w:p>
      <w:pPr>
        <w:adjustRightInd w:val="0"/>
        <w:snapToGrid w:val="0"/>
        <w:spacing w:line="570" w:lineRule="exact"/>
        <w:ind w:firstLine="640" w:firstLineChars="200"/>
        <w:jc w:val="left"/>
        <w:rPr>
          <w:rFonts w:ascii="Times New Roman" w:hAnsi="Times New Roman" w:eastAsia="仿宋_GB2312" w:cs="Times New Roman"/>
          <w:sz w:val="32"/>
          <w:szCs w:val="32"/>
        </w:rPr>
      </w:pPr>
      <w:r>
        <w:rPr>
          <w:rFonts w:hint="eastAsia" w:ascii="仿宋_GB2312" w:hAnsi="Times New Roman" w:eastAsia="仿宋_GB2312" w:cs="Times New Roman"/>
          <w:sz w:val="32"/>
          <w:szCs w:val="32"/>
        </w:rPr>
        <w:t>（5）建立了粪肥还田工作群。要求服务组织在群内拍发工作图片资料与工作动态，主动接受监督监管。</w:t>
      </w:r>
    </w:p>
    <w:p>
      <w:pPr>
        <w:snapToGrid w:val="0"/>
        <w:spacing w:line="570" w:lineRule="exact"/>
        <w:ind w:firstLine="640" w:firstLineChars="200"/>
        <w:outlineLvl w:val="1"/>
        <w:rPr>
          <w:rFonts w:ascii="黑体" w:hAnsi="黑体" w:eastAsia="黑体" w:cs="黑体"/>
          <w:bCs/>
          <w:sz w:val="32"/>
          <w:szCs w:val="32"/>
        </w:rPr>
      </w:pPr>
      <w:r>
        <w:rPr>
          <w:rFonts w:hint="eastAsia" w:ascii="黑体" w:hAnsi="黑体" w:eastAsia="黑体" w:cs="黑体"/>
          <w:bCs/>
          <w:sz w:val="32"/>
          <w:szCs w:val="32"/>
        </w:rPr>
        <w:t>四、项目绩效情况</w:t>
      </w:r>
    </w:p>
    <w:p>
      <w:pPr>
        <w:snapToGrid w:val="0"/>
        <w:spacing w:line="550" w:lineRule="exact"/>
        <w:ind w:firstLine="643" w:firstLineChars="200"/>
        <w:rPr>
          <w:rFonts w:ascii="楷体_GB2312" w:hAnsi="楷体_GB2312" w:eastAsia="楷体_GB2312" w:cs="楷体_GB2312"/>
          <w:b/>
          <w:bCs/>
          <w:sz w:val="32"/>
          <w:szCs w:val="32"/>
        </w:rPr>
      </w:pPr>
      <w:r>
        <w:rPr>
          <w:rFonts w:hint="eastAsia" w:ascii="楷体_GB2312" w:hAnsi="楷体_GB2312" w:eastAsia="楷体_GB2312" w:cs="楷体_GB2312"/>
          <w:b/>
          <w:bCs/>
          <w:sz w:val="32"/>
          <w:szCs w:val="32"/>
        </w:rPr>
        <w:t>（一）产出指标完成情况分析：</w:t>
      </w:r>
    </w:p>
    <w:p>
      <w:pPr>
        <w:adjustRightInd w:val="0"/>
        <w:snapToGrid w:val="0"/>
        <w:spacing w:line="570" w:lineRule="exact"/>
        <w:ind w:firstLine="640" w:firstLineChars="200"/>
        <w:rPr>
          <w:rFonts w:ascii="仿宋_GB2312" w:hAnsi="Times New Roman" w:eastAsia="仿宋_GB2312" w:cs="Times New Roman"/>
          <w:sz w:val="32"/>
          <w:szCs w:val="32"/>
        </w:rPr>
      </w:pPr>
      <w:r>
        <w:rPr>
          <w:rFonts w:hint="eastAsia" w:ascii="仿宋_GB2312" w:hAnsi="Times New Roman" w:eastAsia="仿宋_GB2312" w:cs="Times New Roman"/>
          <w:sz w:val="32"/>
          <w:szCs w:val="32"/>
        </w:rPr>
        <w:t>（1）数量指标：监测点数量年度指标数20个，实际完成20个；还田面积年度指标数8万亩，实际完成8万亩；堆肥集制还田量年度指标数13万吨，实际完成13万吨；</w:t>
      </w:r>
    </w:p>
    <w:p>
      <w:pPr>
        <w:adjustRightInd w:val="0"/>
        <w:snapToGrid w:val="0"/>
        <w:spacing w:line="570" w:lineRule="exact"/>
        <w:ind w:firstLine="640" w:firstLineChars="200"/>
        <w:rPr>
          <w:rFonts w:ascii="仿宋_GB2312" w:hAnsi="Times New Roman" w:eastAsia="仿宋_GB2312" w:cs="Times New Roman"/>
          <w:sz w:val="32"/>
          <w:szCs w:val="32"/>
        </w:rPr>
      </w:pPr>
      <w:r>
        <w:rPr>
          <w:rFonts w:hint="eastAsia" w:ascii="仿宋_GB2312" w:hAnsi="Times New Roman" w:eastAsia="仿宋_GB2312" w:cs="Times New Roman"/>
          <w:sz w:val="32"/>
          <w:szCs w:val="32"/>
        </w:rPr>
        <w:t>（2）质量指标：堆肥集制质量合格率年度指标100%，实际完成100%；畜禽粪污资源化利用率年度指标达到90%，实际完成90%。</w:t>
      </w:r>
    </w:p>
    <w:p>
      <w:pPr>
        <w:adjustRightInd w:val="0"/>
        <w:snapToGrid w:val="0"/>
        <w:spacing w:line="570" w:lineRule="exact"/>
        <w:ind w:firstLine="640" w:firstLineChars="200"/>
        <w:rPr>
          <w:rFonts w:ascii="仿宋_GB2312" w:hAnsi="Times New Roman" w:eastAsia="仿宋_GB2312" w:cs="Times New Roman"/>
          <w:sz w:val="32"/>
          <w:szCs w:val="32"/>
        </w:rPr>
      </w:pPr>
      <w:r>
        <w:rPr>
          <w:rFonts w:hint="eastAsia" w:ascii="仿宋_GB2312" w:hAnsi="Times New Roman" w:eastAsia="仿宋_GB2312" w:cs="Times New Roman"/>
          <w:sz w:val="32"/>
          <w:szCs w:val="32"/>
        </w:rPr>
        <w:t>（3）时效指标：可推广技术模式年度指标2个，实际完成2个。</w:t>
      </w:r>
    </w:p>
    <w:p>
      <w:pPr>
        <w:adjustRightInd w:val="0"/>
        <w:snapToGrid w:val="0"/>
        <w:spacing w:line="570" w:lineRule="exact"/>
        <w:ind w:firstLine="640" w:firstLineChars="200"/>
        <w:rPr>
          <w:rFonts w:ascii="仿宋_GB2312" w:hAnsi="Times New Roman" w:eastAsia="仿宋_GB2312" w:cs="Times New Roman"/>
          <w:sz w:val="32"/>
          <w:szCs w:val="32"/>
        </w:rPr>
      </w:pPr>
      <w:r>
        <w:rPr>
          <w:rFonts w:hint="eastAsia" w:ascii="仿宋_GB2312" w:hAnsi="Times New Roman" w:eastAsia="仿宋_GB2312" w:cs="Times New Roman"/>
          <w:sz w:val="32"/>
          <w:szCs w:val="32"/>
        </w:rPr>
        <w:t>（4）成本指标：每亩投入年度指标100元/亩，实际完成100元/亩。</w:t>
      </w:r>
    </w:p>
    <w:p>
      <w:pPr>
        <w:snapToGrid w:val="0"/>
        <w:spacing w:line="550" w:lineRule="exact"/>
        <w:ind w:firstLine="643" w:firstLineChars="200"/>
        <w:rPr>
          <w:rFonts w:ascii="楷体_GB2312" w:hAnsi="楷体_GB2312" w:eastAsia="楷体_GB2312" w:cs="楷体_GB2312"/>
          <w:b/>
          <w:bCs/>
          <w:sz w:val="32"/>
          <w:szCs w:val="32"/>
        </w:rPr>
      </w:pPr>
      <w:r>
        <w:rPr>
          <w:rFonts w:hint="eastAsia" w:ascii="楷体_GB2312" w:hAnsi="楷体_GB2312" w:eastAsia="楷体_GB2312" w:cs="楷体_GB2312"/>
          <w:b/>
          <w:bCs/>
          <w:sz w:val="32"/>
          <w:szCs w:val="32"/>
        </w:rPr>
        <w:t>（二）效益指标完成情况分析：</w:t>
      </w:r>
    </w:p>
    <w:p>
      <w:pPr>
        <w:adjustRightInd w:val="0"/>
        <w:snapToGrid w:val="0"/>
        <w:spacing w:line="570" w:lineRule="exact"/>
        <w:ind w:firstLine="640" w:firstLineChars="200"/>
        <w:rPr>
          <w:rFonts w:ascii="仿宋_GB2312" w:hAnsi="Times New Roman" w:eastAsia="仿宋_GB2312" w:cs="Times New Roman"/>
          <w:sz w:val="32"/>
          <w:szCs w:val="32"/>
        </w:rPr>
      </w:pPr>
      <w:r>
        <w:rPr>
          <w:rFonts w:hint="eastAsia" w:ascii="仿宋_GB2312" w:hAnsi="Times New Roman" w:eastAsia="仿宋_GB2312" w:cs="Times New Roman"/>
          <w:sz w:val="32"/>
          <w:szCs w:val="32"/>
        </w:rPr>
        <w:t>（1）经济效益：亩增加效益年度指标10%，实际完成11%。</w:t>
      </w:r>
    </w:p>
    <w:p>
      <w:pPr>
        <w:adjustRightInd w:val="0"/>
        <w:snapToGrid w:val="0"/>
        <w:spacing w:line="570" w:lineRule="exact"/>
        <w:ind w:firstLine="640" w:firstLineChars="200"/>
        <w:rPr>
          <w:rFonts w:ascii="仿宋_GB2312" w:hAnsi="Times New Roman" w:eastAsia="仿宋_GB2312" w:cs="Times New Roman"/>
          <w:sz w:val="32"/>
          <w:szCs w:val="32"/>
        </w:rPr>
      </w:pPr>
      <w:r>
        <w:rPr>
          <w:rFonts w:hint="eastAsia" w:ascii="仿宋_GB2312" w:hAnsi="Times New Roman" w:eastAsia="仿宋_GB2312" w:cs="Times New Roman"/>
          <w:sz w:val="32"/>
          <w:szCs w:val="32"/>
        </w:rPr>
        <w:t>（2）社会效益：公众认可年度指标98%，实际完成100%。</w:t>
      </w:r>
    </w:p>
    <w:p>
      <w:pPr>
        <w:adjustRightInd w:val="0"/>
        <w:snapToGrid w:val="0"/>
        <w:spacing w:line="570" w:lineRule="exact"/>
        <w:ind w:firstLine="640" w:firstLineChars="200"/>
        <w:rPr>
          <w:rFonts w:ascii="仿宋_GB2312" w:hAnsi="Times New Roman" w:eastAsia="仿宋_GB2312" w:cs="Times New Roman"/>
          <w:sz w:val="32"/>
          <w:szCs w:val="32"/>
        </w:rPr>
      </w:pPr>
      <w:r>
        <w:rPr>
          <w:rFonts w:hint="eastAsia" w:ascii="仿宋_GB2312" w:hAnsi="Times New Roman" w:eastAsia="仿宋_GB2312" w:cs="Times New Roman"/>
          <w:sz w:val="32"/>
          <w:szCs w:val="32"/>
        </w:rPr>
        <w:t>（3）可持续影响：化肥减少年度指标1500吨，实际完成1500吨。</w:t>
      </w:r>
    </w:p>
    <w:p>
      <w:pPr>
        <w:snapToGrid w:val="0"/>
        <w:spacing w:line="550" w:lineRule="exact"/>
        <w:ind w:firstLine="643" w:firstLineChars="200"/>
        <w:rPr>
          <w:rFonts w:ascii="楷体_GB2312" w:hAnsi="楷体_GB2312" w:eastAsia="楷体_GB2312" w:cs="楷体_GB2312"/>
          <w:b/>
          <w:bCs/>
          <w:sz w:val="32"/>
          <w:szCs w:val="32"/>
        </w:rPr>
      </w:pPr>
      <w:r>
        <w:rPr>
          <w:rFonts w:hint="eastAsia" w:ascii="楷体_GB2312" w:hAnsi="楷体_GB2312" w:eastAsia="楷体_GB2312" w:cs="楷体_GB2312"/>
          <w:b/>
          <w:bCs/>
          <w:sz w:val="32"/>
          <w:szCs w:val="32"/>
        </w:rPr>
        <w:t>（三）满意度指标完成情况分析。</w:t>
      </w:r>
    </w:p>
    <w:p>
      <w:pPr>
        <w:adjustRightInd w:val="0"/>
        <w:snapToGrid w:val="0"/>
        <w:spacing w:line="570" w:lineRule="exact"/>
        <w:ind w:firstLine="640" w:firstLineChars="200"/>
        <w:rPr>
          <w:rFonts w:ascii="仿宋_GB2312" w:hAnsi="Times New Roman" w:eastAsia="仿宋_GB2312" w:cs="Times New Roman"/>
          <w:sz w:val="32"/>
          <w:szCs w:val="32"/>
        </w:rPr>
      </w:pPr>
      <w:r>
        <w:rPr>
          <w:rFonts w:hint="eastAsia" w:ascii="仿宋_GB2312" w:hAnsi="Times New Roman" w:eastAsia="仿宋_GB2312" w:cs="Times New Roman"/>
          <w:sz w:val="32"/>
          <w:szCs w:val="32"/>
        </w:rPr>
        <w:t>（1）服务对象满意度指标：农户满意度年度指标98%，实际完成100%。</w:t>
      </w:r>
    </w:p>
    <w:p>
      <w:pPr>
        <w:widowControl w:val="0"/>
        <w:adjustRightInd/>
        <w:snapToGrid w:val="0"/>
        <w:spacing w:line="550" w:lineRule="exact"/>
        <w:ind w:firstLine="640" w:firstLineChars="200"/>
        <w:jc w:val="both"/>
        <w:outlineLvl w:val="1"/>
        <w:rPr>
          <w:rFonts w:ascii="Times New Roman" w:hAnsi="Times New Roman" w:eastAsia="黑体" w:cs="Times New Roman"/>
          <w:bCs/>
          <w:kern w:val="2"/>
          <w:sz w:val="32"/>
          <w:szCs w:val="32"/>
          <w:lang w:val="en-US" w:eastAsia="zh-CN" w:bidi="ar-SA"/>
        </w:rPr>
      </w:pPr>
      <w:r>
        <w:rPr>
          <w:rFonts w:ascii="Times New Roman" w:hAnsi="Times New Roman" w:eastAsia="黑体" w:cs="Times New Roman"/>
          <w:bCs/>
          <w:kern w:val="2"/>
          <w:sz w:val="32"/>
          <w:szCs w:val="32"/>
          <w:lang w:val="en-US" w:eastAsia="zh-CN" w:bidi="ar-SA"/>
        </w:rPr>
        <w:t>五、其他需要说明的问题</w:t>
      </w:r>
    </w:p>
    <w:p>
      <w:pPr>
        <w:snapToGrid w:val="0"/>
        <w:spacing w:line="550" w:lineRule="exact"/>
        <w:ind w:firstLine="643" w:firstLineChars="200"/>
        <w:rPr>
          <w:rFonts w:ascii="楷体_GB2312" w:hAnsi="楷体_GB2312" w:eastAsia="楷体_GB2312" w:cs="楷体_GB2312"/>
          <w:b/>
          <w:bCs/>
          <w:sz w:val="32"/>
          <w:szCs w:val="32"/>
        </w:rPr>
      </w:pPr>
      <w:r>
        <w:rPr>
          <w:rFonts w:hint="eastAsia" w:ascii="楷体_GB2312" w:hAnsi="楷体_GB2312" w:eastAsia="楷体_GB2312" w:cs="楷体_GB2312"/>
          <w:b/>
          <w:bCs/>
          <w:sz w:val="32"/>
          <w:szCs w:val="32"/>
        </w:rPr>
        <w:t>（一）后续工作计划</w:t>
      </w:r>
    </w:p>
    <w:p>
      <w:pPr>
        <w:adjustRightInd w:val="0"/>
        <w:snapToGrid w:val="0"/>
        <w:spacing w:line="550" w:lineRule="exact"/>
        <w:ind w:firstLine="640" w:firstLineChars="200"/>
        <w:rPr>
          <w:rFonts w:ascii="仿宋_GB2312" w:hAnsi="Times New Roman" w:eastAsia="仿宋_GB2312" w:cs="Times New Roman"/>
          <w:sz w:val="32"/>
          <w:szCs w:val="32"/>
        </w:rPr>
      </w:pPr>
      <w:r>
        <w:rPr>
          <w:rFonts w:hint="eastAsia" w:ascii="仿宋_GB2312" w:hAnsi="Times New Roman" w:eastAsia="仿宋_GB2312" w:cs="Times New Roman"/>
          <w:bCs/>
          <w:sz w:val="32"/>
          <w:szCs w:val="32"/>
        </w:rPr>
        <w:t>（1）打造示范样板。计</w:t>
      </w:r>
      <w:r>
        <w:rPr>
          <w:rFonts w:hint="eastAsia" w:ascii="仿宋_GB2312" w:hAnsi="Times New Roman" w:eastAsia="仿宋_GB2312" w:cs="Times New Roman"/>
          <w:sz w:val="32"/>
          <w:szCs w:val="32"/>
        </w:rPr>
        <w:t>划每个试点组织至少打造1-2个千亩核心示范片，树立示范标牌，打造一批有“看头”的示范样板。主要示范作物为粮油、蔬菜等大宗作物，在示范片因地制宜集中展示一批不同粪肥还田技术模式，重点示范展示“堆肥+配方肥”、“配方肥+沼肥”、“有机肥+配方肥+叶面施肥”、“配方肥+沼肥+水肥一体化”等模式。示范片及其中的每一个技术模式示范点都要做到“四有”：有技术指导责任人、有科技示范户、有示范对比田和有醒目标示牌。在关键农时季节组织现场观摩和田间实地培训，提高示范效果，扩大示范影响。计划在蔬菜作物上申报1-2个绿色食品标志。</w:t>
      </w:r>
    </w:p>
    <w:p>
      <w:pPr>
        <w:adjustRightInd w:val="0"/>
        <w:snapToGrid w:val="0"/>
        <w:spacing w:line="550" w:lineRule="exact"/>
        <w:ind w:firstLine="640" w:firstLineChars="200"/>
        <w:rPr>
          <w:rFonts w:ascii="仿宋_GB2312" w:hAnsi="Times New Roman" w:eastAsia="仿宋_GB2312" w:cs="Times New Roman"/>
          <w:sz w:val="32"/>
          <w:szCs w:val="32"/>
        </w:rPr>
      </w:pPr>
      <w:r>
        <w:rPr>
          <w:rFonts w:hint="eastAsia" w:ascii="仿宋_GB2312" w:hAnsi="Times New Roman" w:eastAsia="仿宋_GB2312" w:cs="Times New Roman"/>
          <w:bCs/>
          <w:sz w:val="32"/>
          <w:szCs w:val="32"/>
        </w:rPr>
        <w:t>（2）开展试验监测。按</w:t>
      </w:r>
      <w:r>
        <w:rPr>
          <w:rFonts w:hint="eastAsia" w:ascii="仿宋_GB2312" w:hAnsi="Times New Roman" w:eastAsia="仿宋_GB2312" w:cs="Times New Roman"/>
          <w:sz w:val="32"/>
          <w:szCs w:val="32"/>
        </w:rPr>
        <w:t>照《华容县绿色种养循环农业试点效果监测方案》要求，科学布置20个试验监测点，做好项目实施前后调查监测，科学评估试点成效。</w:t>
      </w:r>
    </w:p>
    <w:p>
      <w:pPr>
        <w:adjustRightInd w:val="0"/>
        <w:snapToGrid w:val="0"/>
        <w:spacing w:line="550" w:lineRule="exact"/>
        <w:ind w:firstLine="640" w:firstLineChars="200"/>
        <w:rPr>
          <w:rFonts w:ascii="仿宋_GB2312" w:hAnsi="Times New Roman" w:eastAsia="仿宋_GB2312" w:cs="Times New Roman"/>
          <w:sz w:val="32"/>
          <w:szCs w:val="32"/>
        </w:rPr>
      </w:pPr>
      <w:r>
        <w:rPr>
          <w:rFonts w:hint="eastAsia" w:ascii="仿宋_GB2312" w:hAnsi="Times New Roman" w:eastAsia="仿宋_GB2312" w:cs="Times New Roman"/>
          <w:bCs/>
          <w:sz w:val="32"/>
          <w:szCs w:val="32"/>
        </w:rPr>
        <w:t>（3）组织考核验收。及</w:t>
      </w:r>
      <w:r>
        <w:rPr>
          <w:rFonts w:hint="eastAsia" w:ascii="仿宋_GB2312" w:hAnsi="Times New Roman" w:eastAsia="仿宋_GB2312" w:cs="Times New Roman"/>
          <w:sz w:val="32"/>
          <w:szCs w:val="32"/>
        </w:rPr>
        <w:t>时组织有关单位的专家组成考核验收组，严格按照《华容县绿色种养循环农业试点项目考核验收办法》，组织年度验收，重点对服务区域、服务面积、服务质量进行考核验收，出具验收意见。并对各试点服务组织进行综合评分，对项目实施成效好的服务组织，在上级支持本项目前提下，原则上持续支持5年；对不按要求实施、出现工作失误、运行模式不畅、目标没完成的服务组织，将淘汰出试点范围。</w:t>
      </w:r>
    </w:p>
    <w:p>
      <w:pPr>
        <w:snapToGrid w:val="0"/>
        <w:spacing w:line="550" w:lineRule="exact"/>
        <w:ind w:firstLine="643" w:firstLineChars="200"/>
        <w:rPr>
          <w:rFonts w:ascii="楷体_GB2312" w:hAnsi="楷体_GB2312" w:eastAsia="楷体_GB2312" w:cs="楷体_GB2312"/>
          <w:b/>
          <w:bCs/>
          <w:sz w:val="32"/>
          <w:szCs w:val="32"/>
        </w:rPr>
      </w:pPr>
      <w:r>
        <w:rPr>
          <w:rFonts w:hint="eastAsia" w:ascii="楷体_GB2312" w:hAnsi="楷体_GB2312" w:eastAsia="楷体_GB2312" w:cs="楷体_GB2312"/>
          <w:b/>
          <w:bCs/>
          <w:sz w:val="32"/>
          <w:szCs w:val="32"/>
        </w:rPr>
        <w:t>（二）存在问题</w:t>
      </w:r>
    </w:p>
    <w:p>
      <w:pPr>
        <w:adjustRightInd w:val="0"/>
        <w:snapToGrid w:val="0"/>
        <w:spacing w:line="550" w:lineRule="exact"/>
        <w:ind w:firstLine="640" w:firstLineChars="200"/>
        <w:rPr>
          <w:rFonts w:ascii="仿宋_GB2312" w:hAnsi="Times New Roman" w:eastAsia="仿宋_GB2312" w:cs="Times New Roman"/>
          <w:sz w:val="32"/>
          <w:szCs w:val="32"/>
        </w:rPr>
      </w:pPr>
      <w:r>
        <w:rPr>
          <w:rFonts w:hint="eastAsia" w:ascii="仿宋_GB2312" w:hAnsi="Times New Roman" w:eastAsia="仿宋_GB2312" w:cs="Times New Roman"/>
          <w:bCs/>
          <w:sz w:val="32"/>
          <w:szCs w:val="32"/>
        </w:rPr>
        <w:t>（1）粪肥收集处理难。</w:t>
      </w:r>
      <w:r>
        <w:rPr>
          <w:rFonts w:hint="eastAsia" w:ascii="仿宋_GB2312" w:hAnsi="Times New Roman" w:eastAsia="仿宋_GB2312" w:cs="Times New Roman"/>
          <w:sz w:val="32"/>
          <w:szCs w:val="32"/>
        </w:rPr>
        <w:t>一是出于防疫目的，养殖户大多不愿意第三方服务组织进场收集粪渣；二是出于经济目的，养殖户不愿将干湿分离后的粪渣免费交给第三方组织处理，特别是在猪价低迷的时候更不愿意付费处理粪污。</w:t>
      </w:r>
    </w:p>
    <w:p>
      <w:pPr>
        <w:adjustRightInd w:val="0"/>
        <w:snapToGrid w:val="0"/>
        <w:spacing w:line="550" w:lineRule="exact"/>
        <w:ind w:firstLine="640" w:firstLineChars="200"/>
        <w:rPr>
          <w:rFonts w:ascii="仿宋_GB2312" w:hAnsi="Times New Roman" w:eastAsia="仿宋_GB2312" w:cs="Times New Roman"/>
          <w:sz w:val="32"/>
          <w:szCs w:val="32"/>
        </w:rPr>
      </w:pPr>
      <w:r>
        <w:rPr>
          <w:rFonts w:hint="eastAsia" w:ascii="仿宋_GB2312" w:hAnsi="Times New Roman" w:eastAsia="仿宋_GB2312" w:cs="Times New Roman"/>
          <w:bCs/>
          <w:sz w:val="32"/>
          <w:szCs w:val="32"/>
        </w:rPr>
        <w:t>（2）部分农户接受难。部分</w:t>
      </w:r>
      <w:r>
        <w:rPr>
          <w:rFonts w:hint="eastAsia" w:ascii="仿宋_GB2312" w:hAnsi="Times New Roman" w:eastAsia="仿宋_GB2312" w:cs="Times New Roman"/>
          <w:sz w:val="32"/>
          <w:szCs w:val="32"/>
        </w:rPr>
        <w:t>农户认为粪肥特别是粪水带有病菌，且有一定臭味，会影响作物健康生长，还污染土壤，不愿意接受粪肥还田。需要进一步加大宣传培训力度，扭转农户在思想上不愿接受粪肥还田的现状。</w:t>
      </w:r>
    </w:p>
    <w:p>
      <w:pPr>
        <w:adjustRightInd w:val="0"/>
        <w:snapToGrid w:val="0"/>
        <w:spacing w:line="550" w:lineRule="exact"/>
        <w:ind w:firstLine="640" w:firstLineChars="200"/>
        <w:rPr>
          <w:rFonts w:ascii="仿宋_GB2312" w:hAnsi="Times New Roman" w:eastAsia="仿宋_GB2312" w:cs="Times New Roman"/>
          <w:sz w:val="32"/>
          <w:szCs w:val="32"/>
        </w:rPr>
      </w:pPr>
      <w:r>
        <w:rPr>
          <w:rFonts w:hint="eastAsia" w:ascii="仿宋_GB2312" w:hAnsi="Times New Roman" w:eastAsia="仿宋_GB2312" w:cs="Times New Roman"/>
          <w:bCs/>
          <w:sz w:val="32"/>
          <w:szCs w:val="32"/>
        </w:rPr>
        <w:t>（3）农户不愿交服务费。</w:t>
      </w:r>
      <w:r>
        <w:rPr>
          <w:rFonts w:hint="eastAsia" w:ascii="仿宋_GB2312" w:hAnsi="Times New Roman" w:eastAsia="仿宋_GB2312" w:cs="Times New Roman"/>
          <w:sz w:val="32"/>
          <w:szCs w:val="32"/>
        </w:rPr>
        <w:t>第三方组织上门服务，帮其施肥可以，但不出钱，有的就连机械施肥工本费都不出，奖补资金额度小，影响组织施肥积极性。</w:t>
      </w:r>
    </w:p>
    <w:p>
      <w:pPr>
        <w:snapToGrid w:val="0"/>
        <w:spacing w:line="550" w:lineRule="exact"/>
        <w:ind w:firstLine="643" w:firstLineChars="200"/>
        <w:rPr>
          <w:rFonts w:ascii="楷体_GB2312" w:hAnsi="楷体_GB2312" w:eastAsia="楷体_GB2312" w:cs="楷体_GB2312"/>
          <w:b/>
          <w:bCs/>
          <w:sz w:val="32"/>
          <w:szCs w:val="32"/>
        </w:rPr>
      </w:pPr>
      <w:r>
        <w:rPr>
          <w:rFonts w:hint="eastAsia" w:ascii="楷体_GB2312" w:hAnsi="楷体_GB2312" w:eastAsia="楷体_GB2312" w:cs="楷体_GB2312"/>
          <w:b/>
          <w:bCs/>
          <w:sz w:val="32"/>
          <w:szCs w:val="32"/>
        </w:rPr>
        <w:t>（三）建议</w:t>
      </w:r>
    </w:p>
    <w:p>
      <w:pPr>
        <w:adjustRightInd w:val="0"/>
        <w:snapToGrid w:val="0"/>
        <w:spacing w:line="550" w:lineRule="exact"/>
        <w:ind w:firstLine="640" w:firstLineChars="200"/>
        <w:rPr>
          <w:rFonts w:ascii="仿宋_GB2312" w:hAnsi="Times New Roman" w:eastAsia="仿宋_GB2312" w:cs="Times New Roman"/>
          <w:sz w:val="32"/>
          <w:szCs w:val="32"/>
        </w:rPr>
      </w:pPr>
      <w:r>
        <w:rPr>
          <w:rFonts w:hint="eastAsia" w:ascii="仿宋_GB2312" w:hAnsi="Times New Roman" w:eastAsia="仿宋_GB2312" w:cs="Times New Roman"/>
          <w:sz w:val="32"/>
          <w:szCs w:val="32"/>
        </w:rPr>
        <w:t xml:space="preserve">建议政府有关部门进一步加大宣传和执法力度，让养殖户承担畜禽养殖污染防治的主体责任，主动履行国家规定的畜禽养殖污染防治义务，对逾期拒不整改或经整改仍无法达到相关要求的，依法依规严肃处理，构成犯罪的依法追究刑事责任。 </w:t>
      </w:r>
    </w:p>
    <w:p>
      <w:pPr>
        <w:adjustRightInd w:val="0"/>
        <w:snapToGrid w:val="0"/>
        <w:spacing w:line="550" w:lineRule="exact"/>
        <w:ind w:firstLine="640" w:firstLineChars="200"/>
        <w:rPr>
          <w:rFonts w:ascii="仿宋_GB2312" w:hAnsi="Times New Roman" w:eastAsia="仿宋_GB2312" w:cs="Times New Roman"/>
          <w:sz w:val="32"/>
          <w:szCs w:val="32"/>
        </w:rPr>
      </w:pPr>
    </w:p>
    <w:p>
      <w:pPr>
        <w:adjustRightInd w:val="0"/>
        <w:snapToGrid w:val="0"/>
        <w:spacing w:line="550" w:lineRule="exact"/>
        <w:ind w:firstLine="640" w:firstLineChars="200"/>
        <w:rPr>
          <w:rFonts w:ascii="仿宋_GB2312" w:hAnsi="Times New Roman" w:eastAsia="仿宋_GB2312" w:cs="Times New Roman"/>
          <w:sz w:val="32"/>
          <w:szCs w:val="32"/>
        </w:rPr>
      </w:pPr>
    </w:p>
    <w:p>
      <w:pPr>
        <w:snapToGrid w:val="0"/>
        <w:spacing w:line="550" w:lineRule="exact"/>
        <w:ind w:firstLine="5440" w:firstLineChars="1700"/>
        <w:rPr>
          <w:rFonts w:ascii="Times New Roman" w:hAnsi="Times New Roman" w:eastAsia="仿宋_GB2312" w:cs="Times New Roman"/>
          <w:color w:val="000000"/>
          <w:sz w:val="32"/>
          <w:szCs w:val="32"/>
        </w:rPr>
      </w:pPr>
      <w:r>
        <w:rPr>
          <w:rFonts w:hint="eastAsia" w:ascii="Times New Roman" w:hAnsi="Times New Roman" w:eastAsia="仿宋_GB2312" w:cs="Times New Roman"/>
          <w:color w:val="000000"/>
          <w:sz w:val="32"/>
          <w:szCs w:val="32"/>
        </w:rPr>
        <w:t>华容县农业农村局</w:t>
      </w:r>
    </w:p>
    <w:p>
      <w:pPr>
        <w:snapToGrid w:val="0"/>
        <w:spacing w:line="550" w:lineRule="exact"/>
        <w:ind w:firstLine="5440" w:firstLineChars="1700"/>
        <w:rPr>
          <w:rFonts w:ascii="Times New Roman" w:hAnsi="Times New Roman" w:eastAsia="仿宋_GB2312" w:cs="Times New Roman"/>
          <w:color w:val="000000"/>
          <w:sz w:val="32"/>
          <w:szCs w:val="32"/>
        </w:rPr>
      </w:pPr>
      <w:r>
        <w:rPr>
          <w:rFonts w:hint="eastAsia" w:ascii="Times New Roman" w:hAnsi="Times New Roman" w:eastAsia="仿宋_GB2312" w:cs="Times New Roman"/>
          <w:color w:val="000000"/>
          <w:sz w:val="32"/>
          <w:szCs w:val="32"/>
        </w:rPr>
        <w:t>2024年5月28日</w:t>
      </w:r>
    </w:p>
    <w:p>
      <w:pPr>
        <w:spacing w:line="610" w:lineRule="exact"/>
        <w:ind w:firstLine="600" w:firstLineChars="200"/>
        <w:rPr>
          <w:rFonts w:ascii="黑体" w:hAnsi="黑体" w:eastAsia="黑体" w:cs="黑体"/>
          <w:sz w:val="30"/>
          <w:szCs w:val="30"/>
        </w:rPr>
      </w:pPr>
    </w:p>
    <w:p>
      <w:pPr>
        <w:spacing w:line="610" w:lineRule="exact"/>
        <w:ind w:firstLine="600" w:firstLineChars="200"/>
        <w:rPr>
          <w:rFonts w:ascii="黑体" w:hAnsi="黑体" w:eastAsia="黑体" w:cs="黑体"/>
          <w:sz w:val="30"/>
          <w:szCs w:val="30"/>
        </w:rPr>
      </w:pPr>
    </w:p>
    <w:p>
      <w:pPr>
        <w:spacing w:line="610" w:lineRule="exact"/>
        <w:ind w:firstLine="600" w:firstLineChars="200"/>
        <w:rPr>
          <w:rFonts w:ascii="黑体" w:hAnsi="黑体" w:eastAsia="黑体" w:cs="黑体"/>
          <w:sz w:val="30"/>
          <w:szCs w:val="30"/>
        </w:rPr>
      </w:pPr>
    </w:p>
    <w:p>
      <w:pPr>
        <w:spacing w:line="610" w:lineRule="exact"/>
        <w:ind w:firstLine="600" w:firstLineChars="200"/>
        <w:rPr>
          <w:rFonts w:ascii="黑体" w:hAnsi="黑体" w:eastAsia="黑体" w:cs="黑体"/>
          <w:sz w:val="30"/>
          <w:szCs w:val="30"/>
        </w:rPr>
      </w:pPr>
    </w:p>
    <w:p>
      <w:pPr>
        <w:spacing w:before="181" w:line="171" w:lineRule="auto"/>
        <w:rPr>
          <w:rFonts w:ascii="仿宋_GB2312" w:hAnsi="仿宋_GB2312" w:eastAsia="仿宋_GB2312" w:cs="仿宋_GB2312"/>
          <w:sz w:val="32"/>
          <w:szCs w:val="32"/>
        </w:rPr>
      </w:pPr>
      <w:r>
        <w:rPr>
          <w:rFonts w:hint="eastAsia" w:ascii="仿宋_GB2312" w:hAnsi="仿宋_GB2312" w:eastAsia="仿宋_GB2312" w:cs="仿宋_GB2312"/>
          <w:sz w:val="32"/>
          <w:szCs w:val="32"/>
        </w:rPr>
        <w:t>附件6</w:t>
      </w:r>
    </w:p>
    <w:p>
      <w:pPr>
        <w:spacing w:afterLines="50" w:line="580" w:lineRule="exact"/>
        <w:jc w:val="center"/>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pacing w:val="7"/>
          <w:sz w:val="44"/>
          <w:szCs w:val="44"/>
        </w:rPr>
        <w:t>2023年度项目支出绩效自评表</w:t>
      </w:r>
    </w:p>
    <w:tbl>
      <w:tblPr>
        <w:tblStyle w:val="19"/>
        <w:tblW w:w="5047"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905"/>
        <w:gridCol w:w="895"/>
        <w:gridCol w:w="1119"/>
        <w:gridCol w:w="943"/>
        <w:gridCol w:w="981"/>
        <w:gridCol w:w="1119"/>
        <w:gridCol w:w="596"/>
        <w:gridCol w:w="696"/>
        <w:gridCol w:w="1335"/>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1699" w:type="pct"/>
            <w:gridSpan w:val="3"/>
            <w:vAlign w:val="center"/>
          </w:tcPr>
          <w:p>
            <w:pPr>
              <w:jc w:val="center"/>
              <w:rPr>
                <w:rFonts w:ascii="黑体" w:hAnsi="黑体" w:eastAsia="黑体" w:cs="黑体"/>
                <w:szCs w:val="21"/>
              </w:rPr>
            </w:pPr>
            <w:r>
              <w:rPr>
                <w:rFonts w:hint="eastAsia" w:ascii="黑体" w:hAnsi="黑体" w:eastAsia="黑体" w:cs="黑体"/>
                <w:szCs w:val="21"/>
              </w:rPr>
              <w:t>项目支出名称</w:t>
            </w:r>
          </w:p>
        </w:tc>
        <w:tc>
          <w:tcPr>
            <w:tcW w:w="3300" w:type="pct"/>
            <w:gridSpan w:val="6"/>
            <w:vAlign w:val="center"/>
          </w:tcPr>
          <w:p>
            <w:pPr>
              <w:jc w:val="center"/>
              <w:rPr>
                <w:rFonts w:hint="eastAsia" w:ascii="黑体" w:hAnsi="黑体" w:eastAsia="黑体" w:cs="黑体"/>
                <w:szCs w:val="21"/>
              </w:rPr>
            </w:pPr>
            <w:r>
              <w:rPr>
                <w:rFonts w:hint="eastAsia" w:ascii="黑体" w:hAnsi="黑体" w:eastAsia="黑体" w:cs="黑体"/>
                <w:szCs w:val="21"/>
              </w:rPr>
              <w:t>绿色种养循环项目</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7" w:type="pct"/>
            <w:vAlign w:val="center"/>
          </w:tcPr>
          <w:p>
            <w:pPr>
              <w:jc w:val="center"/>
              <w:rPr>
                <w:rFonts w:ascii="黑体" w:hAnsi="黑体" w:eastAsia="黑体" w:cs="黑体"/>
                <w:szCs w:val="21"/>
              </w:rPr>
            </w:pPr>
            <w:r>
              <w:rPr>
                <w:rFonts w:hint="eastAsia" w:ascii="黑体" w:hAnsi="黑体" w:eastAsia="黑体" w:cs="黑体"/>
                <w:szCs w:val="21"/>
              </w:rPr>
              <w:t>主管</w:t>
            </w:r>
          </w:p>
          <w:p>
            <w:pPr>
              <w:jc w:val="center"/>
              <w:rPr>
                <w:rFonts w:ascii="黑体" w:hAnsi="黑体" w:eastAsia="黑体" w:cs="黑体"/>
                <w:szCs w:val="21"/>
              </w:rPr>
            </w:pPr>
            <w:r>
              <w:rPr>
                <w:rFonts w:hint="eastAsia" w:ascii="黑体" w:hAnsi="黑体" w:eastAsia="黑体" w:cs="黑体"/>
                <w:szCs w:val="21"/>
              </w:rPr>
              <w:t>部门</w:t>
            </w:r>
          </w:p>
        </w:tc>
        <w:tc>
          <w:tcPr>
            <w:tcW w:w="2292" w:type="pct"/>
            <w:gridSpan w:val="4"/>
            <w:vAlign w:val="center"/>
          </w:tcPr>
          <w:p>
            <w:pPr>
              <w:jc w:val="center"/>
              <w:rPr>
                <w:rFonts w:ascii="黑体" w:hAnsi="黑体" w:eastAsia="黑体" w:cs="黑体"/>
                <w:szCs w:val="21"/>
              </w:rPr>
            </w:pPr>
            <w:r>
              <w:rPr>
                <w:rFonts w:hint="eastAsia" w:ascii="黑体" w:hAnsi="黑体" w:eastAsia="黑体" w:cs="黑体"/>
                <w:szCs w:val="21"/>
              </w:rPr>
              <w:t>华容县农业农村局</w:t>
            </w:r>
          </w:p>
        </w:tc>
        <w:tc>
          <w:tcPr>
            <w:tcW w:w="650" w:type="pct"/>
            <w:vAlign w:val="center"/>
          </w:tcPr>
          <w:p>
            <w:pPr>
              <w:jc w:val="center"/>
              <w:rPr>
                <w:rFonts w:ascii="黑体" w:hAnsi="黑体" w:eastAsia="黑体" w:cs="黑体"/>
                <w:szCs w:val="21"/>
              </w:rPr>
            </w:pPr>
            <w:r>
              <w:rPr>
                <w:rFonts w:hint="eastAsia" w:ascii="黑体" w:hAnsi="黑体" w:eastAsia="黑体" w:cs="黑体"/>
                <w:szCs w:val="21"/>
              </w:rPr>
              <w:t>实施单位</w:t>
            </w:r>
          </w:p>
        </w:tc>
        <w:tc>
          <w:tcPr>
            <w:tcW w:w="1529" w:type="pct"/>
            <w:gridSpan w:val="3"/>
            <w:vAlign w:val="center"/>
          </w:tcPr>
          <w:p>
            <w:pPr>
              <w:jc w:val="center"/>
              <w:rPr>
                <w:rFonts w:ascii="黑体" w:hAnsi="黑体" w:eastAsia="黑体" w:cs="黑体"/>
                <w:szCs w:val="21"/>
              </w:rPr>
            </w:pPr>
            <w:r>
              <w:rPr>
                <w:rFonts w:hint="eastAsia" w:ascii="黑体" w:hAnsi="黑体" w:eastAsia="黑体" w:cs="黑体"/>
                <w:szCs w:val="21"/>
              </w:rPr>
              <w:t>各乡镇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7" w:type="pct"/>
            <w:vMerge w:val="restart"/>
            <w:tcBorders>
              <w:bottom w:val="nil"/>
            </w:tcBorders>
            <w:vAlign w:val="center"/>
          </w:tcPr>
          <w:p>
            <w:pPr>
              <w:jc w:val="center"/>
              <w:rPr>
                <w:rFonts w:ascii="黑体" w:hAnsi="黑体" w:eastAsia="黑体" w:cs="黑体"/>
                <w:szCs w:val="21"/>
              </w:rPr>
            </w:pPr>
            <w:r>
              <w:rPr>
                <w:rFonts w:hint="eastAsia" w:ascii="黑体" w:hAnsi="黑体" w:eastAsia="黑体" w:cs="黑体"/>
                <w:szCs w:val="21"/>
              </w:rPr>
              <w:t>项目资金（万元）</w:t>
            </w:r>
          </w:p>
        </w:tc>
        <w:tc>
          <w:tcPr>
            <w:tcW w:w="1171" w:type="pct"/>
            <w:gridSpan w:val="2"/>
            <w:vAlign w:val="center"/>
          </w:tcPr>
          <w:p>
            <w:pPr>
              <w:jc w:val="center"/>
              <w:rPr>
                <w:rFonts w:ascii="黑体" w:hAnsi="黑体" w:eastAsia="黑体" w:cs="黑体"/>
                <w:szCs w:val="21"/>
              </w:rPr>
            </w:pPr>
          </w:p>
        </w:tc>
        <w:tc>
          <w:tcPr>
            <w:tcW w:w="549" w:type="pct"/>
            <w:vAlign w:val="center"/>
          </w:tcPr>
          <w:p>
            <w:pPr>
              <w:jc w:val="center"/>
              <w:rPr>
                <w:rFonts w:ascii="黑体" w:hAnsi="黑体" w:eastAsia="黑体" w:cs="黑体"/>
                <w:szCs w:val="21"/>
              </w:rPr>
            </w:pPr>
            <w:r>
              <w:rPr>
                <w:rFonts w:hint="eastAsia" w:ascii="黑体" w:hAnsi="黑体" w:eastAsia="黑体" w:cs="黑体"/>
                <w:szCs w:val="21"/>
              </w:rPr>
              <w:t>年初</w:t>
            </w:r>
          </w:p>
          <w:p>
            <w:pPr>
              <w:jc w:val="center"/>
              <w:rPr>
                <w:rFonts w:ascii="黑体" w:hAnsi="黑体" w:eastAsia="黑体" w:cs="黑体"/>
                <w:szCs w:val="21"/>
              </w:rPr>
            </w:pPr>
            <w:r>
              <w:rPr>
                <w:rFonts w:hint="eastAsia" w:ascii="黑体" w:hAnsi="黑体" w:eastAsia="黑体" w:cs="黑体"/>
                <w:szCs w:val="21"/>
              </w:rPr>
              <w:t>预算数</w:t>
            </w:r>
          </w:p>
        </w:tc>
        <w:tc>
          <w:tcPr>
            <w:tcW w:w="571" w:type="pct"/>
            <w:vAlign w:val="center"/>
          </w:tcPr>
          <w:p>
            <w:pPr>
              <w:jc w:val="center"/>
              <w:rPr>
                <w:rFonts w:ascii="黑体" w:hAnsi="黑体" w:eastAsia="黑体" w:cs="黑体"/>
                <w:szCs w:val="21"/>
              </w:rPr>
            </w:pPr>
            <w:r>
              <w:rPr>
                <w:rFonts w:hint="eastAsia" w:ascii="黑体" w:hAnsi="黑体" w:eastAsia="黑体" w:cs="黑体"/>
                <w:szCs w:val="21"/>
              </w:rPr>
              <w:t>全年</w:t>
            </w:r>
          </w:p>
          <w:p>
            <w:pPr>
              <w:jc w:val="center"/>
              <w:rPr>
                <w:rFonts w:ascii="黑体" w:hAnsi="黑体" w:eastAsia="黑体" w:cs="黑体"/>
                <w:szCs w:val="21"/>
              </w:rPr>
            </w:pPr>
            <w:r>
              <w:rPr>
                <w:rFonts w:hint="eastAsia" w:ascii="黑体" w:hAnsi="黑体" w:eastAsia="黑体" w:cs="黑体"/>
                <w:szCs w:val="21"/>
              </w:rPr>
              <w:t>预算数</w:t>
            </w:r>
          </w:p>
        </w:tc>
        <w:tc>
          <w:tcPr>
            <w:tcW w:w="650" w:type="pct"/>
            <w:vAlign w:val="center"/>
          </w:tcPr>
          <w:p>
            <w:pPr>
              <w:jc w:val="center"/>
              <w:rPr>
                <w:rFonts w:ascii="黑体" w:hAnsi="黑体" w:eastAsia="黑体" w:cs="黑体"/>
                <w:szCs w:val="21"/>
              </w:rPr>
            </w:pPr>
            <w:r>
              <w:rPr>
                <w:rFonts w:hint="eastAsia" w:ascii="黑体" w:hAnsi="黑体" w:eastAsia="黑体" w:cs="黑体"/>
                <w:szCs w:val="21"/>
              </w:rPr>
              <w:t>全年</w:t>
            </w:r>
          </w:p>
          <w:p>
            <w:pPr>
              <w:jc w:val="center"/>
              <w:rPr>
                <w:rFonts w:ascii="黑体" w:hAnsi="黑体" w:eastAsia="黑体" w:cs="黑体"/>
                <w:szCs w:val="21"/>
              </w:rPr>
            </w:pPr>
            <w:r>
              <w:rPr>
                <w:rFonts w:hint="eastAsia" w:ascii="黑体" w:hAnsi="黑体" w:eastAsia="黑体" w:cs="黑体"/>
                <w:szCs w:val="21"/>
              </w:rPr>
              <w:t>执行数</w:t>
            </w:r>
          </w:p>
        </w:tc>
        <w:tc>
          <w:tcPr>
            <w:tcW w:w="347" w:type="pct"/>
            <w:vAlign w:val="center"/>
          </w:tcPr>
          <w:p>
            <w:pPr>
              <w:jc w:val="center"/>
              <w:rPr>
                <w:rFonts w:ascii="黑体" w:hAnsi="黑体" w:eastAsia="黑体" w:cs="黑体"/>
                <w:szCs w:val="21"/>
              </w:rPr>
            </w:pPr>
            <w:r>
              <w:rPr>
                <w:rFonts w:hint="eastAsia" w:ascii="黑体" w:hAnsi="黑体" w:eastAsia="黑体" w:cs="黑体"/>
                <w:szCs w:val="21"/>
              </w:rPr>
              <w:t>分值</w:t>
            </w:r>
          </w:p>
        </w:tc>
        <w:tc>
          <w:tcPr>
            <w:tcW w:w="405" w:type="pct"/>
            <w:vAlign w:val="center"/>
          </w:tcPr>
          <w:p>
            <w:pPr>
              <w:jc w:val="center"/>
              <w:rPr>
                <w:rFonts w:ascii="黑体" w:hAnsi="黑体" w:eastAsia="黑体" w:cs="黑体"/>
                <w:szCs w:val="21"/>
              </w:rPr>
            </w:pPr>
            <w:r>
              <w:rPr>
                <w:rFonts w:hint="eastAsia" w:ascii="黑体" w:hAnsi="黑体" w:eastAsia="黑体" w:cs="黑体"/>
                <w:szCs w:val="21"/>
              </w:rPr>
              <w:t>执行率</w:t>
            </w:r>
          </w:p>
        </w:tc>
        <w:tc>
          <w:tcPr>
            <w:tcW w:w="776" w:type="pct"/>
            <w:vAlign w:val="center"/>
          </w:tcPr>
          <w:p>
            <w:pPr>
              <w:jc w:val="center"/>
              <w:rPr>
                <w:rFonts w:ascii="黑体" w:hAnsi="黑体" w:eastAsia="黑体" w:cs="黑体"/>
                <w:szCs w:val="21"/>
              </w:rPr>
            </w:pPr>
            <w:r>
              <w:rPr>
                <w:rFonts w:hint="eastAsia" w:ascii="黑体" w:hAnsi="黑体" w:eastAsia="黑体" w:cs="黑体"/>
                <w:szCs w:val="21"/>
              </w:rPr>
              <w:t>自评得分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7" w:type="pct"/>
            <w:vMerge w:val="continue"/>
            <w:tcBorders>
              <w:top w:val="nil"/>
              <w:bottom w:val="nil"/>
            </w:tcBorders>
            <w:vAlign w:val="center"/>
          </w:tcPr>
          <w:p>
            <w:pPr>
              <w:jc w:val="center"/>
              <w:rPr>
                <w:rFonts w:asciiTheme="minorEastAsia" w:hAnsiTheme="minorEastAsia" w:eastAsiaTheme="minorEastAsia" w:cstheme="minorEastAsia"/>
                <w:szCs w:val="21"/>
              </w:rPr>
            </w:pPr>
          </w:p>
        </w:tc>
        <w:tc>
          <w:tcPr>
            <w:tcW w:w="1171" w:type="pct"/>
            <w:gridSpan w:val="2"/>
            <w:vAlign w:val="center"/>
          </w:tcPr>
          <w:p>
            <w:pP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年度资金总额</w:t>
            </w:r>
          </w:p>
        </w:tc>
        <w:tc>
          <w:tcPr>
            <w:tcW w:w="549"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6662</w:t>
            </w:r>
          </w:p>
        </w:tc>
        <w:tc>
          <w:tcPr>
            <w:tcW w:w="571"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6662</w:t>
            </w:r>
          </w:p>
        </w:tc>
        <w:tc>
          <w:tcPr>
            <w:tcW w:w="650"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6662</w:t>
            </w:r>
          </w:p>
        </w:tc>
        <w:tc>
          <w:tcPr>
            <w:tcW w:w="347"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10</w:t>
            </w:r>
          </w:p>
        </w:tc>
        <w:tc>
          <w:tcPr>
            <w:tcW w:w="405" w:type="pct"/>
            <w:vAlign w:val="center"/>
          </w:tcPr>
          <w:p>
            <w:pPr>
              <w:jc w:val="center"/>
              <w:rPr>
                <w:rFonts w:asciiTheme="minorEastAsia" w:hAnsiTheme="minorEastAsia" w:eastAsiaTheme="minorEastAsia" w:cstheme="minorEastAsia"/>
                <w:szCs w:val="21"/>
              </w:rPr>
            </w:pPr>
          </w:p>
        </w:tc>
        <w:tc>
          <w:tcPr>
            <w:tcW w:w="776"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7" w:type="pct"/>
            <w:vMerge w:val="continue"/>
            <w:tcBorders>
              <w:top w:val="nil"/>
              <w:bottom w:val="nil"/>
            </w:tcBorders>
            <w:vAlign w:val="center"/>
          </w:tcPr>
          <w:p>
            <w:pPr>
              <w:jc w:val="center"/>
              <w:rPr>
                <w:rFonts w:asciiTheme="minorEastAsia" w:hAnsiTheme="minorEastAsia" w:eastAsiaTheme="minorEastAsia" w:cstheme="minorEastAsia"/>
                <w:szCs w:val="21"/>
              </w:rPr>
            </w:pPr>
          </w:p>
        </w:tc>
        <w:tc>
          <w:tcPr>
            <w:tcW w:w="1171" w:type="pct"/>
            <w:gridSpan w:val="2"/>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其中：当年财政拨款</w:t>
            </w:r>
          </w:p>
        </w:tc>
        <w:tc>
          <w:tcPr>
            <w:tcW w:w="549"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6662</w:t>
            </w:r>
          </w:p>
        </w:tc>
        <w:tc>
          <w:tcPr>
            <w:tcW w:w="571"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6662</w:t>
            </w:r>
          </w:p>
        </w:tc>
        <w:tc>
          <w:tcPr>
            <w:tcW w:w="650"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6662</w:t>
            </w:r>
          </w:p>
        </w:tc>
        <w:tc>
          <w:tcPr>
            <w:tcW w:w="347" w:type="pct"/>
            <w:vAlign w:val="center"/>
          </w:tcPr>
          <w:p>
            <w:pPr>
              <w:jc w:val="center"/>
              <w:rPr>
                <w:rFonts w:asciiTheme="minorEastAsia" w:hAnsiTheme="minorEastAsia" w:eastAsiaTheme="minorEastAsia" w:cstheme="minorEastAsia"/>
                <w:szCs w:val="21"/>
              </w:rPr>
            </w:pPr>
          </w:p>
        </w:tc>
        <w:tc>
          <w:tcPr>
            <w:tcW w:w="405" w:type="pct"/>
            <w:vAlign w:val="center"/>
          </w:tcPr>
          <w:p>
            <w:pPr>
              <w:jc w:val="center"/>
              <w:rPr>
                <w:rFonts w:asciiTheme="minorEastAsia" w:hAnsiTheme="minorEastAsia" w:eastAsiaTheme="minorEastAsia" w:cstheme="minorEastAsia"/>
                <w:szCs w:val="21"/>
              </w:rPr>
            </w:pPr>
          </w:p>
        </w:tc>
        <w:tc>
          <w:tcPr>
            <w:tcW w:w="776"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7" w:type="pct"/>
            <w:vMerge w:val="continue"/>
            <w:tcBorders>
              <w:top w:val="nil"/>
              <w:bottom w:val="nil"/>
            </w:tcBorders>
            <w:vAlign w:val="center"/>
          </w:tcPr>
          <w:p>
            <w:pPr>
              <w:jc w:val="center"/>
              <w:rPr>
                <w:rFonts w:asciiTheme="minorEastAsia" w:hAnsiTheme="minorEastAsia" w:eastAsiaTheme="minorEastAsia" w:cstheme="minorEastAsia"/>
                <w:szCs w:val="21"/>
              </w:rPr>
            </w:pPr>
          </w:p>
        </w:tc>
        <w:tc>
          <w:tcPr>
            <w:tcW w:w="1171" w:type="pct"/>
            <w:gridSpan w:val="2"/>
            <w:vAlign w:val="center"/>
          </w:tcPr>
          <w:p>
            <w:pPr>
              <w:ind w:firstLine="619" w:firstLineChars="295"/>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上年结转资金</w:t>
            </w:r>
          </w:p>
        </w:tc>
        <w:tc>
          <w:tcPr>
            <w:tcW w:w="549" w:type="pct"/>
            <w:vAlign w:val="center"/>
          </w:tcPr>
          <w:p>
            <w:pPr>
              <w:jc w:val="center"/>
              <w:rPr>
                <w:rFonts w:asciiTheme="minorEastAsia" w:hAnsiTheme="minorEastAsia" w:eastAsiaTheme="minorEastAsia" w:cstheme="minorEastAsia"/>
                <w:szCs w:val="21"/>
              </w:rPr>
            </w:pPr>
          </w:p>
        </w:tc>
        <w:tc>
          <w:tcPr>
            <w:tcW w:w="571" w:type="pct"/>
            <w:vAlign w:val="center"/>
          </w:tcPr>
          <w:p>
            <w:pPr>
              <w:jc w:val="center"/>
              <w:rPr>
                <w:rFonts w:asciiTheme="minorEastAsia" w:hAnsiTheme="minorEastAsia" w:eastAsiaTheme="minorEastAsia" w:cstheme="minorEastAsia"/>
                <w:szCs w:val="21"/>
              </w:rPr>
            </w:pPr>
          </w:p>
        </w:tc>
        <w:tc>
          <w:tcPr>
            <w:tcW w:w="650" w:type="pct"/>
            <w:vAlign w:val="center"/>
          </w:tcPr>
          <w:p>
            <w:pPr>
              <w:jc w:val="center"/>
              <w:rPr>
                <w:rFonts w:asciiTheme="minorEastAsia" w:hAnsiTheme="minorEastAsia" w:eastAsiaTheme="minorEastAsia" w:cstheme="minorEastAsia"/>
                <w:szCs w:val="21"/>
              </w:rPr>
            </w:pPr>
          </w:p>
        </w:tc>
        <w:tc>
          <w:tcPr>
            <w:tcW w:w="347" w:type="pct"/>
            <w:vAlign w:val="center"/>
          </w:tcPr>
          <w:p>
            <w:pPr>
              <w:jc w:val="center"/>
              <w:rPr>
                <w:rFonts w:asciiTheme="minorEastAsia" w:hAnsiTheme="minorEastAsia" w:eastAsiaTheme="minorEastAsia" w:cstheme="minorEastAsia"/>
                <w:szCs w:val="21"/>
              </w:rPr>
            </w:pPr>
          </w:p>
        </w:tc>
        <w:tc>
          <w:tcPr>
            <w:tcW w:w="405" w:type="pct"/>
            <w:vAlign w:val="center"/>
          </w:tcPr>
          <w:p>
            <w:pPr>
              <w:jc w:val="center"/>
              <w:rPr>
                <w:rFonts w:asciiTheme="minorEastAsia" w:hAnsiTheme="minorEastAsia" w:eastAsiaTheme="minorEastAsia" w:cstheme="minorEastAsia"/>
                <w:szCs w:val="21"/>
              </w:rPr>
            </w:pPr>
          </w:p>
        </w:tc>
        <w:tc>
          <w:tcPr>
            <w:tcW w:w="776"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7" w:type="pct"/>
            <w:vMerge w:val="continue"/>
            <w:tcBorders>
              <w:top w:val="nil"/>
            </w:tcBorders>
            <w:vAlign w:val="center"/>
          </w:tcPr>
          <w:p>
            <w:pPr>
              <w:jc w:val="center"/>
              <w:rPr>
                <w:rFonts w:asciiTheme="minorEastAsia" w:hAnsiTheme="minorEastAsia" w:eastAsiaTheme="minorEastAsia" w:cstheme="minorEastAsia"/>
                <w:szCs w:val="21"/>
              </w:rPr>
            </w:pPr>
          </w:p>
        </w:tc>
        <w:tc>
          <w:tcPr>
            <w:tcW w:w="1171" w:type="pct"/>
            <w:gridSpan w:val="2"/>
            <w:vAlign w:val="center"/>
          </w:tcPr>
          <w:p>
            <w:pPr>
              <w:ind w:firstLine="619" w:firstLineChars="295"/>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其他资金</w:t>
            </w:r>
          </w:p>
        </w:tc>
        <w:tc>
          <w:tcPr>
            <w:tcW w:w="549" w:type="pct"/>
            <w:vAlign w:val="center"/>
          </w:tcPr>
          <w:p>
            <w:pPr>
              <w:jc w:val="center"/>
              <w:rPr>
                <w:rFonts w:asciiTheme="minorEastAsia" w:hAnsiTheme="minorEastAsia" w:eastAsiaTheme="minorEastAsia" w:cstheme="minorEastAsia"/>
                <w:szCs w:val="21"/>
              </w:rPr>
            </w:pPr>
          </w:p>
        </w:tc>
        <w:tc>
          <w:tcPr>
            <w:tcW w:w="571" w:type="pct"/>
            <w:vAlign w:val="center"/>
          </w:tcPr>
          <w:p>
            <w:pPr>
              <w:jc w:val="center"/>
              <w:rPr>
                <w:rFonts w:asciiTheme="minorEastAsia" w:hAnsiTheme="minorEastAsia" w:eastAsiaTheme="minorEastAsia" w:cstheme="minorEastAsia"/>
                <w:szCs w:val="21"/>
              </w:rPr>
            </w:pPr>
          </w:p>
        </w:tc>
        <w:tc>
          <w:tcPr>
            <w:tcW w:w="650" w:type="pct"/>
            <w:vAlign w:val="center"/>
          </w:tcPr>
          <w:p>
            <w:pPr>
              <w:jc w:val="center"/>
              <w:rPr>
                <w:rFonts w:asciiTheme="minorEastAsia" w:hAnsiTheme="minorEastAsia" w:eastAsiaTheme="minorEastAsia" w:cstheme="minorEastAsia"/>
                <w:szCs w:val="21"/>
              </w:rPr>
            </w:pPr>
          </w:p>
        </w:tc>
        <w:tc>
          <w:tcPr>
            <w:tcW w:w="347" w:type="pct"/>
            <w:vAlign w:val="center"/>
          </w:tcPr>
          <w:p>
            <w:pPr>
              <w:jc w:val="center"/>
              <w:rPr>
                <w:rFonts w:asciiTheme="minorEastAsia" w:hAnsiTheme="minorEastAsia" w:eastAsiaTheme="minorEastAsia" w:cstheme="minorEastAsia"/>
                <w:szCs w:val="21"/>
              </w:rPr>
            </w:pPr>
          </w:p>
        </w:tc>
        <w:tc>
          <w:tcPr>
            <w:tcW w:w="405" w:type="pct"/>
            <w:vAlign w:val="center"/>
          </w:tcPr>
          <w:p>
            <w:pPr>
              <w:jc w:val="center"/>
              <w:rPr>
                <w:rFonts w:asciiTheme="minorEastAsia" w:hAnsiTheme="minorEastAsia" w:eastAsiaTheme="minorEastAsia" w:cstheme="minorEastAsia"/>
                <w:szCs w:val="21"/>
              </w:rPr>
            </w:pPr>
          </w:p>
        </w:tc>
        <w:tc>
          <w:tcPr>
            <w:tcW w:w="776"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7" w:type="pct"/>
            <w:vMerge w:val="restart"/>
            <w:tcBorders>
              <w:bottom w:val="nil"/>
            </w:tcBorders>
            <w:vAlign w:val="center"/>
          </w:tcPr>
          <w:p>
            <w:pPr>
              <w:jc w:val="center"/>
              <w:rPr>
                <w:rFonts w:ascii="黑体" w:hAnsi="黑体" w:eastAsia="黑体" w:cs="黑体"/>
                <w:szCs w:val="21"/>
              </w:rPr>
            </w:pPr>
            <w:r>
              <w:rPr>
                <w:rFonts w:hint="eastAsia" w:ascii="黑体" w:hAnsi="黑体" w:eastAsia="黑体" w:cs="黑体"/>
                <w:szCs w:val="21"/>
              </w:rPr>
              <w:t>年度总</w:t>
            </w:r>
          </w:p>
          <w:p>
            <w:pPr>
              <w:jc w:val="center"/>
              <w:rPr>
                <w:rFonts w:ascii="黑体" w:hAnsi="黑体" w:eastAsia="黑体" w:cs="黑体"/>
                <w:szCs w:val="21"/>
              </w:rPr>
            </w:pPr>
            <w:r>
              <w:rPr>
                <w:rFonts w:hint="eastAsia" w:ascii="黑体" w:hAnsi="黑体" w:eastAsia="黑体" w:cs="黑体"/>
                <w:szCs w:val="21"/>
              </w:rPr>
              <w:t>体目标</w:t>
            </w:r>
          </w:p>
        </w:tc>
        <w:tc>
          <w:tcPr>
            <w:tcW w:w="2292" w:type="pct"/>
            <w:gridSpan w:val="4"/>
            <w:vAlign w:val="center"/>
          </w:tcPr>
          <w:p>
            <w:pPr>
              <w:jc w:val="center"/>
              <w:rPr>
                <w:rFonts w:ascii="黑体" w:hAnsi="黑体" w:eastAsia="黑体" w:cs="黑体"/>
                <w:szCs w:val="21"/>
              </w:rPr>
            </w:pPr>
            <w:r>
              <w:rPr>
                <w:rFonts w:hint="eastAsia" w:ascii="黑体" w:hAnsi="黑体" w:eastAsia="黑体" w:cs="黑体"/>
                <w:szCs w:val="21"/>
              </w:rPr>
              <w:t>预期目标</w:t>
            </w:r>
          </w:p>
        </w:tc>
        <w:tc>
          <w:tcPr>
            <w:tcW w:w="2179" w:type="pct"/>
            <w:gridSpan w:val="4"/>
            <w:vAlign w:val="center"/>
          </w:tcPr>
          <w:p>
            <w:pPr>
              <w:jc w:val="center"/>
              <w:rPr>
                <w:rFonts w:ascii="黑体" w:hAnsi="黑体" w:eastAsia="黑体" w:cs="黑体"/>
                <w:szCs w:val="21"/>
              </w:rPr>
            </w:pPr>
            <w:r>
              <w:rPr>
                <w:rFonts w:hint="eastAsia" w:ascii="黑体" w:hAnsi="黑体" w:eastAsia="黑体" w:cs="黑体"/>
                <w:szCs w:val="21"/>
              </w:rPr>
              <w:t>实际完成情况</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84" w:hRule="atLeast"/>
        </w:trPr>
        <w:tc>
          <w:tcPr>
            <w:tcW w:w="527" w:type="pct"/>
            <w:vMerge w:val="continue"/>
            <w:tcBorders>
              <w:top w:val="nil"/>
            </w:tcBorders>
            <w:vAlign w:val="center"/>
          </w:tcPr>
          <w:p>
            <w:pPr>
              <w:jc w:val="center"/>
              <w:rPr>
                <w:rFonts w:asciiTheme="minorEastAsia" w:hAnsiTheme="minorEastAsia" w:eastAsiaTheme="minorEastAsia" w:cstheme="minorEastAsia"/>
                <w:szCs w:val="21"/>
              </w:rPr>
            </w:pPr>
          </w:p>
        </w:tc>
        <w:tc>
          <w:tcPr>
            <w:tcW w:w="2292" w:type="pct"/>
            <w:gridSpan w:val="4"/>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加快畜禽粪污资源化利用，打通种养循环堵点，促进粪肥还田，推动农业绿色高质量</w:t>
            </w:r>
            <w:r>
              <w:rPr>
                <w:rFonts w:hint="eastAsia" w:asciiTheme="minorEastAsia" w:hAnsiTheme="minorEastAsia" w:eastAsiaTheme="minorEastAsia" w:cstheme="minorEastAsia"/>
                <w:szCs w:val="21"/>
                <w:lang w:val="en-US" w:eastAsia="zh-CN"/>
              </w:rPr>
              <w:t>发</w:t>
            </w:r>
            <w:r>
              <w:rPr>
                <w:rFonts w:hint="eastAsia" w:asciiTheme="minorEastAsia" w:hAnsiTheme="minorEastAsia" w:eastAsiaTheme="minorEastAsia" w:cstheme="minorEastAsia"/>
                <w:szCs w:val="21"/>
              </w:rPr>
              <w:t>展</w:t>
            </w:r>
          </w:p>
        </w:tc>
        <w:tc>
          <w:tcPr>
            <w:tcW w:w="2179" w:type="pct"/>
            <w:gridSpan w:val="4"/>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加快畜禽粪污资源化利用，打通种养循环堵点，促进粪肥还田，推动农业绿色高质量</w:t>
            </w:r>
            <w:r>
              <w:rPr>
                <w:rFonts w:hint="eastAsia" w:asciiTheme="minorEastAsia" w:hAnsiTheme="minorEastAsia" w:eastAsiaTheme="minorEastAsia" w:cstheme="minorEastAsia"/>
                <w:szCs w:val="21"/>
                <w:lang w:val="en-US" w:eastAsia="zh-CN"/>
              </w:rPr>
              <w:t>发</w:t>
            </w:r>
            <w:r>
              <w:rPr>
                <w:rFonts w:hint="eastAsia" w:asciiTheme="minorEastAsia" w:hAnsiTheme="minorEastAsia" w:eastAsiaTheme="minorEastAsia" w:cstheme="minorEastAsia"/>
                <w:szCs w:val="21"/>
              </w:rPr>
              <w:t>展</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527" w:type="pct"/>
            <w:vMerge w:val="restart"/>
            <w:vAlign w:val="center"/>
          </w:tcPr>
          <w:p>
            <w:pPr>
              <w:jc w:val="center"/>
              <w:rPr>
                <w:rFonts w:ascii="黑体" w:hAnsi="黑体" w:eastAsia="黑体" w:cs="黑体"/>
                <w:szCs w:val="21"/>
              </w:rPr>
            </w:pPr>
            <w:r>
              <w:rPr>
                <w:rFonts w:hint="eastAsia" w:ascii="黑体" w:hAnsi="黑体" w:eastAsia="黑体" w:cs="黑体"/>
                <w:szCs w:val="21"/>
              </w:rPr>
              <w:t>绩</w:t>
            </w:r>
          </w:p>
          <w:p>
            <w:pPr>
              <w:jc w:val="center"/>
              <w:rPr>
                <w:rFonts w:ascii="黑体" w:hAnsi="黑体" w:eastAsia="黑体" w:cs="黑体"/>
                <w:szCs w:val="21"/>
              </w:rPr>
            </w:pPr>
            <w:r>
              <w:rPr>
                <w:rFonts w:hint="eastAsia" w:ascii="黑体" w:hAnsi="黑体" w:eastAsia="黑体" w:cs="黑体"/>
                <w:szCs w:val="21"/>
              </w:rPr>
              <w:t>效</w:t>
            </w:r>
          </w:p>
          <w:p>
            <w:pPr>
              <w:jc w:val="center"/>
              <w:rPr>
                <w:rFonts w:ascii="黑体" w:hAnsi="黑体" w:eastAsia="黑体" w:cs="黑体"/>
                <w:szCs w:val="21"/>
              </w:rPr>
            </w:pPr>
            <w:r>
              <w:rPr>
                <w:rFonts w:hint="eastAsia" w:ascii="黑体" w:hAnsi="黑体" w:eastAsia="黑体" w:cs="黑体"/>
                <w:szCs w:val="21"/>
              </w:rPr>
              <w:t>指</w:t>
            </w:r>
          </w:p>
          <w:p>
            <w:pPr>
              <w:jc w:val="center"/>
              <w:rPr>
                <w:rFonts w:ascii="黑体" w:hAnsi="黑体" w:eastAsia="黑体" w:cs="黑体"/>
                <w:szCs w:val="21"/>
              </w:rPr>
            </w:pPr>
            <w:r>
              <w:rPr>
                <w:rFonts w:hint="eastAsia" w:ascii="黑体" w:hAnsi="黑体" w:eastAsia="黑体" w:cs="黑体"/>
                <w:szCs w:val="21"/>
              </w:rPr>
              <w:t>标</w:t>
            </w:r>
          </w:p>
        </w:tc>
        <w:tc>
          <w:tcPr>
            <w:tcW w:w="521" w:type="pct"/>
            <w:vAlign w:val="center"/>
          </w:tcPr>
          <w:p>
            <w:pPr>
              <w:jc w:val="center"/>
              <w:rPr>
                <w:rFonts w:ascii="黑体" w:hAnsi="黑体" w:eastAsia="黑体" w:cs="黑体"/>
                <w:szCs w:val="21"/>
              </w:rPr>
            </w:pPr>
            <w:r>
              <w:rPr>
                <w:rFonts w:hint="eastAsia" w:ascii="黑体" w:hAnsi="黑体" w:eastAsia="黑体" w:cs="黑体"/>
                <w:szCs w:val="21"/>
              </w:rPr>
              <w:t>一级指标</w:t>
            </w:r>
          </w:p>
        </w:tc>
        <w:tc>
          <w:tcPr>
            <w:tcW w:w="650" w:type="pct"/>
            <w:vAlign w:val="center"/>
          </w:tcPr>
          <w:p>
            <w:pPr>
              <w:jc w:val="center"/>
              <w:rPr>
                <w:rFonts w:ascii="黑体" w:hAnsi="黑体" w:eastAsia="黑体" w:cs="黑体"/>
                <w:szCs w:val="21"/>
              </w:rPr>
            </w:pPr>
            <w:r>
              <w:rPr>
                <w:rFonts w:hint="eastAsia" w:ascii="黑体" w:hAnsi="黑体" w:eastAsia="黑体" w:cs="黑体"/>
                <w:szCs w:val="21"/>
              </w:rPr>
              <w:t>二级指标</w:t>
            </w:r>
          </w:p>
        </w:tc>
        <w:tc>
          <w:tcPr>
            <w:tcW w:w="549" w:type="pct"/>
            <w:vAlign w:val="center"/>
          </w:tcPr>
          <w:p>
            <w:pPr>
              <w:jc w:val="center"/>
              <w:rPr>
                <w:rFonts w:ascii="黑体" w:hAnsi="黑体" w:eastAsia="黑体" w:cs="黑体"/>
                <w:szCs w:val="21"/>
              </w:rPr>
            </w:pPr>
            <w:r>
              <w:rPr>
                <w:rFonts w:hint="eastAsia" w:ascii="黑体" w:hAnsi="黑体" w:eastAsia="黑体" w:cs="黑体"/>
                <w:szCs w:val="21"/>
              </w:rPr>
              <w:t>三级指标</w:t>
            </w:r>
          </w:p>
        </w:tc>
        <w:tc>
          <w:tcPr>
            <w:tcW w:w="571" w:type="pct"/>
            <w:vAlign w:val="center"/>
          </w:tcPr>
          <w:p>
            <w:pPr>
              <w:jc w:val="center"/>
              <w:rPr>
                <w:rFonts w:ascii="黑体" w:hAnsi="黑体" w:eastAsia="黑体" w:cs="黑体"/>
                <w:szCs w:val="21"/>
              </w:rPr>
            </w:pPr>
            <w:r>
              <w:rPr>
                <w:rFonts w:hint="eastAsia" w:ascii="黑体" w:hAnsi="黑体" w:eastAsia="黑体" w:cs="黑体"/>
                <w:szCs w:val="21"/>
              </w:rPr>
              <w:t>年度</w:t>
            </w:r>
          </w:p>
          <w:p>
            <w:pPr>
              <w:jc w:val="center"/>
              <w:rPr>
                <w:rFonts w:ascii="黑体" w:hAnsi="黑体" w:eastAsia="黑体" w:cs="黑体"/>
                <w:szCs w:val="21"/>
              </w:rPr>
            </w:pPr>
            <w:r>
              <w:rPr>
                <w:rFonts w:hint="eastAsia" w:ascii="黑体" w:hAnsi="黑体" w:eastAsia="黑体" w:cs="黑体"/>
                <w:szCs w:val="21"/>
              </w:rPr>
              <w:t>指标值</w:t>
            </w:r>
          </w:p>
        </w:tc>
        <w:tc>
          <w:tcPr>
            <w:tcW w:w="650" w:type="pct"/>
            <w:vAlign w:val="center"/>
          </w:tcPr>
          <w:p>
            <w:pPr>
              <w:jc w:val="center"/>
              <w:rPr>
                <w:rFonts w:ascii="黑体" w:hAnsi="黑体" w:eastAsia="黑体" w:cs="黑体"/>
                <w:szCs w:val="21"/>
              </w:rPr>
            </w:pPr>
            <w:r>
              <w:rPr>
                <w:rFonts w:hint="eastAsia" w:ascii="黑体" w:hAnsi="黑体" w:eastAsia="黑体" w:cs="黑体"/>
                <w:szCs w:val="21"/>
              </w:rPr>
              <w:t>实际</w:t>
            </w:r>
          </w:p>
          <w:p>
            <w:pPr>
              <w:jc w:val="center"/>
              <w:rPr>
                <w:rFonts w:ascii="黑体" w:hAnsi="黑体" w:eastAsia="黑体" w:cs="黑体"/>
                <w:szCs w:val="21"/>
              </w:rPr>
            </w:pPr>
            <w:r>
              <w:rPr>
                <w:rFonts w:hint="eastAsia" w:ascii="黑体" w:hAnsi="黑体" w:eastAsia="黑体" w:cs="黑体"/>
                <w:szCs w:val="21"/>
              </w:rPr>
              <w:t>完成值</w:t>
            </w:r>
          </w:p>
        </w:tc>
        <w:tc>
          <w:tcPr>
            <w:tcW w:w="347" w:type="pct"/>
            <w:vAlign w:val="center"/>
          </w:tcPr>
          <w:p>
            <w:pPr>
              <w:jc w:val="center"/>
              <w:rPr>
                <w:rFonts w:ascii="黑体" w:hAnsi="黑体" w:eastAsia="黑体" w:cs="黑体"/>
                <w:szCs w:val="21"/>
              </w:rPr>
            </w:pPr>
            <w:r>
              <w:rPr>
                <w:rFonts w:hint="eastAsia" w:ascii="黑体" w:hAnsi="黑体" w:eastAsia="黑体" w:cs="黑体"/>
                <w:szCs w:val="21"/>
              </w:rPr>
              <w:t>分值</w:t>
            </w:r>
          </w:p>
        </w:tc>
        <w:tc>
          <w:tcPr>
            <w:tcW w:w="405" w:type="pct"/>
            <w:vAlign w:val="center"/>
          </w:tcPr>
          <w:p>
            <w:pPr>
              <w:jc w:val="center"/>
              <w:rPr>
                <w:rFonts w:ascii="黑体" w:hAnsi="黑体" w:eastAsia="黑体" w:cs="黑体"/>
                <w:szCs w:val="21"/>
              </w:rPr>
            </w:pPr>
            <w:r>
              <w:rPr>
                <w:rFonts w:hint="eastAsia" w:ascii="黑体" w:hAnsi="黑体" w:eastAsia="黑体" w:cs="黑体"/>
                <w:szCs w:val="21"/>
              </w:rPr>
              <w:t>自评</w:t>
            </w:r>
          </w:p>
          <w:p>
            <w:pPr>
              <w:jc w:val="center"/>
              <w:rPr>
                <w:rFonts w:ascii="黑体" w:hAnsi="黑体" w:eastAsia="黑体" w:cs="黑体"/>
                <w:szCs w:val="21"/>
              </w:rPr>
            </w:pPr>
            <w:r>
              <w:rPr>
                <w:rFonts w:hint="eastAsia" w:ascii="黑体" w:hAnsi="黑体" w:eastAsia="黑体" w:cs="黑体"/>
                <w:szCs w:val="21"/>
              </w:rPr>
              <w:t>得分</w:t>
            </w:r>
          </w:p>
        </w:tc>
        <w:tc>
          <w:tcPr>
            <w:tcW w:w="776" w:type="pct"/>
            <w:vAlign w:val="center"/>
          </w:tcPr>
          <w:p>
            <w:pPr>
              <w:jc w:val="center"/>
              <w:rPr>
                <w:rFonts w:ascii="黑体" w:hAnsi="黑体" w:eastAsia="黑体" w:cs="黑体"/>
                <w:szCs w:val="21"/>
              </w:rPr>
            </w:pPr>
            <w:r>
              <w:rPr>
                <w:rFonts w:hint="eastAsia" w:ascii="黑体" w:hAnsi="黑体" w:eastAsia="黑体" w:cs="黑体"/>
                <w:szCs w:val="21"/>
              </w:rPr>
              <w:t>偏差原因分析及改进措施</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1" w:hRule="atLeast"/>
        </w:trPr>
        <w:tc>
          <w:tcPr>
            <w:tcW w:w="527" w:type="pct"/>
            <w:vMerge w:val="continue"/>
            <w:textDirection w:val="tbRlV"/>
            <w:vAlign w:val="center"/>
          </w:tcPr>
          <w:p>
            <w:pPr>
              <w:jc w:val="center"/>
              <w:rPr>
                <w:rFonts w:ascii="黑体" w:hAnsi="黑体" w:eastAsia="黑体" w:cs="黑体"/>
                <w:szCs w:val="21"/>
              </w:rPr>
            </w:pPr>
          </w:p>
        </w:tc>
        <w:tc>
          <w:tcPr>
            <w:tcW w:w="521" w:type="pct"/>
            <w:vMerge w:val="restart"/>
            <w:tcBorders>
              <w:bottom w:val="nil"/>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产</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出</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标</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(30分）</w:t>
            </w:r>
          </w:p>
        </w:tc>
        <w:tc>
          <w:tcPr>
            <w:tcW w:w="650" w:type="pct"/>
            <w:tcBorders>
              <w:bottom w:val="nil"/>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数</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量</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标</w:t>
            </w:r>
          </w:p>
        </w:tc>
        <w:tc>
          <w:tcPr>
            <w:tcW w:w="549" w:type="pct"/>
            <w:vAlign w:val="center"/>
          </w:tcPr>
          <w:p>
            <w:pPr>
              <w:widowControl/>
              <w:spacing w:line="260" w:lineRule="exact"/>
              <w:jc w:val="left"/>
              <w:rPr>
                <w:rFonts w:ascii="仿宋" w:hAnsi="仿宋" w:eastAsia="仿宋" w:cs="Times New Roman"/>
                <w:color w:val="000000"/>
                <w:sz w:val="20"/>
                <w:szCs w:val="20"/>
              </w:rPr>
            </w:pPr>
            <w:r>
              <w:rPr>
                <w:rFonts w:ascii="仿宋" w:hAnsi="仿宋" w:eastAsia="仿宋" w:cs="Times New Roman"/>
                <w:color w:val="000000"/>
                <w:sz w:val="20"/>
                <w:szCs w:val="20"/>
              </w:rPr>
              <w:t>　</w:t>
            </w:r>
            <w:r>
              <w:rPr>
                <w:rFonts w:hint="eastAsia" w:ascii="仿宋" w:hAnsi="仿宋" w:eastAsia="仿宋" w:cs="Times New Roman"/>
                <w:bCs/>
                <w:color w:val="000000" w:themeColor="text1"/>
                <w:spacing w:val="-4"/>
                <w:sz w:val="20"/>
                <w:szCs w:val="20"/>
                <w14:textFill>
                  <w14:solidFill>
                    <w14:schemeClr w14:val="tx1"/>
                  </w14:solidFill>
                </w14:textFill>
              </w:rPr>
              <w:t>完成绿色种养循环试点面积</w:t>
            </w:r>
          </w:p>
        </w:tc>
        <w:tc>
          <w:tcPr>
            <w:tcW w:w="571" w:type="pct"/>
            <w:vAlign w:val="center"/>
          </w:tcPr>
          <w:p>
            <w:pPr>
              <w:widowControl/>
              <w:spacing w:line="260" w:lineRule="exact"/>
              <w:jc w:val="left"/>
              <w:rPr>
                <w:rFonts w:ascii="仿宋" w:hAnsi="仿宋" w:eastAsia="仿宋" w:cs="Times New Roman"/>
                <w:color w:val="000000"/>
                <w:sz w:val="20"/>
                <w:szCs w:val="20"/>
              </w:rPr>
            </w:pPr>
            <w:r>
              <w:rPr>
                <w:rFonts w:hint="eastAsia" w:ascii="仿宋" w:hAnsi="仿宋" w:eastAsia="仿宋" w:cs="Times New Roman"/>
                <w:color w:val="000000"/>
                <w:sz w:val="20"/>
                <w:szCs w:val="20"/>
              </w:rPr>
              <w:t>10万亩</w:t>
            </w:r>
          </w:p>
        </w:tc>
        <w:tc>
          <w:tcPr>
            <w:tcW w:w="650" w:type="pct"/>
            <w:vAlign w:val="center"/>
          </w:tcPr>
          <w:p>
            <w:pPr>
              <w:widowControl/>
              <w:spacing w:line="260" w:lineRule="exact"/>
              <w:jc w:val="left"/>
              <w:rPr>
                <w:rFonts w:ascii="仿宋" w:hAnsi="仿宋" w:eastAsia="仿宋" w:cs="Times New Roman"/>
                <w:color w:val="000000"/>
                <w:sz w:val="20"/>
                <w:szCs w:val="20"/>
              </w:rPr>
            </w:pPr>
            <w:r>
              <w:rPr>
                <w:rFonts w:ascii="仿宋" w:hAnsi="仿宋" w:eastAsia="仿宋" w:cs="Times New Roman"/>
                <w:color w:val="000000"/>
                <w:sz w:val="20"/>
                <w:szCs w:val="20"/>
              </w:rPr>
              <w:t>　</w:t>
            </w:r>
            <w:r>
              <w:rPr>
                <w:rFonts w:hint="eastAsia" w:ascii="仿宋" w:hAnsi="仿宋" w:eastAsia="仿宋" w:cs="Times New Roman"/>
                <w:color w:val="000000"/>
                <w:sz w:val="20"/>
                <w:szCs w:val="20"/>
              </w:rPr>
              <w:t>10万亩</w:t>
            </w:r>
          </w:p>
        </w:tc>
        <w:tc>
          <w:tcPr>
            <w:tcW w:w="347" w:type="pct"/>
            <w:vAlign w:val="center"/>
          </w:tcPr>
          <w:p>
            <w:pPr>
              <w:widowControl/>
              <w:spacing w:line="260" w:lineRule="exact"/>
              <w:jc w:val="left"/>
              <w:rPr>
                <w:rFonts w:ascii="仿宋" w:hAnsi="仿宋" w:eastAsia="仿宋" w:cs="Times New Roman"/>
                <w:color w:val="000000"/>
                <w:sz w:val="20"/>
                <w:szCs w:val="20"/>
              </w:rPr>
            </w:pPr>
            <w:r>
              <w:rPr>
                <w:rFonts w:ascii="仿宋" w:hAnsi="仿宋" w:eastAsia="仿宋" w:cs="Times New Roman"/>
                <w:color w:val="000000"/>
                <w:sz w:val="20"/>
                <w:szCs w:val="20"/>
              </w:rPr>
              <w:t>　</w:t>
            </w:r>
            <w:r>
              <w:rPr>
                <w:rFonts w:hint="eastAsia" w:ascii="仿宋" w:hAnsi="仿宋" w:eastAsia="仿宋" w:cs="Times New Roman"/>
                <w:color w:val="000000"/>
                <w:sz w:val="20"/>
                <w:szCs w:val="20"/>
              </w:rPr>
              <w:t>10</w:t>
            </w:r>
          </w:p>
        </w:tc>
        <w:tc>
          <w:tcPr>
            <w:tcW w:w="405" w:type="pct"/>
            <w:vAlign w:val="center"/>
          </w:tcPr>
          <w:p>
            <w:pPr>
              <w:widowControl/>
              <w:spacing w:line="260" w:lineRule="exact"/>
              <w:jc w:val="left"/>
              <w:rPr>
                <w:rFonts w:ascii="仿宋" w:hAnsi="仿宋" w:eastAsia="仿宋" w:cs="Times New Roman"/>
                <w:color w:val="000000"/>
                <w:sz w:val="20"/>
                <w:szCs w:val="20"/>
              </w:rPr>
            </w:pPr>
            <w:r>
              <w:rPr>
                <w:rFonts w:ascii="仿宋" w:hAnsi="仿宋" w:eastAsia="仿宋" w:cs="Times New Roman"/>
                <w:color w:val="000000"/>
                <w:sz w:val="20"/>
                <w:szCs w:val="20"/>
              </w:rPr>
              <w:t>　</w:t>
            </w:r>
            <w:r>
              <w:rPr>
                <w:rFonts w:hint="eastAsia" w:ascii="仿宋" w:hAnsi="仿宋" w:eastAsia="仿宋" w:cs="Times New Roman"/>
                <w:color w:val="000000"/>
                <w:sz w:val="20"/>
                <w:szCs w:val="20"/>
              </w:rPr>
              <w:t>10</w:t>
            </w:r>
          </w:p>
        </w:tc>
        <w:tc>
          <w:tcPr>
            <w:tcW w:w="776"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1" w:hRule="atLeast"/>
        </w:trPr>
        <w:tc>
          <w:tcPr>
            <w:tcW w:w="527" w:type="pct"/>
            <w:vMerge w:val="continue"/>
            <w:textDirection w:val="tbRlV"/>
            <w:vAlign w:val="center"/>
          </w:tcPr>
          <w:p>
            <w:pPr>
              <w:jc w:val="center"/>
              <w:rPr>
                <w:rFonts w:ascii="黑体" w:hAnsi="黑体" w:eastAsia="黑体" w:cs="黑体"/>
                <w:szCs w:val="21"/>
              </w:rPr>
            </w:pPr>
          </w:p>
        </w:tc>
        <w:tc>
          <w:tcPr>
            <w:tcW w:w="521" w:type="pct"/>
            <w:vMerge w:val="continue"/>
            <w:tcBorders>
              <w:top w:val="nil"/>
              <w:bottom w:val="nil"/>
            </w:tcBorders>
            <w:vAlign w:val="center"/>
          </w:tcPr>
          <w:p>
            <w:pPr>
              <w:jc w:val="center"/>
              <w:rPr>
                <w:rFonts w:asciiTheme="minorEastAsia" w:hAnsiTheme="minorEastAsia" w:eastAsiaTheme="minorEastAsia" w:cstheme="minorEastAsia"/>
                <w:szCs w:val="21"/>
              </w:rPr>
            </w:pPr>
          </w:p>
        </w:tc>
        <w:tc>
          <w:tcPr>
            <w:tcW w:w="650" w:type="pct"/>
            <w:tcBorders>
              <w:bottom w:val="nil"/>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质</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量</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标</w:t>
            </w:r>
          </w:p>
        </w:tc>
        <w:tc>
          <w:tcPr>
            <w:tcW w:w="549" w:type="pct"/>
            <w:vAlign w:val="center"/>
          </w:tcPr>
          <w:p>
            <w:pPr>
              <w:widowControl/>
              <w:spacing w:line="260" w:lineRule="exact"/>
              <w:jc w:val="left"/>
              <w:rPr>
                <w:rFonts w:ascii="仿宋" w:hAnsi="仿宋" w:eastAsia="仿宋" w:cs="Times New Roman"/>
                <w:color w:val="000000"/>
                <w:sz w:val="20"/>
                <w:szCs w:val="20"/>
              </w:rPr>
            </w:pPr>
            <w:r>
              <w:rPr>
                <w:rFonts w:hint="eastAsia" w:ascii="仿宋" w:hAnsi="仿宋" w:eastAsia="仿宋" w:cs="Times New Roman"/>
                <w:color w:val="000000" w:themeColor="text1"/>
                <w:sz w:val="20"/>
                <w:szCs w:val="20"/>
                <w14:textFill>
                  <w14:solidFill>
                    <w14:schemeClr w14:val="tx1"/>
                  </w14:solidFill>
                </w14:textFill>
              </w:rPr>
              <w:t>化肥减量(折纯)</w:t>
            </w:r>
          </w:p>
        </w:tc>
        <w:tc>
          <w:tcPr>
            <w:tcW w:w="571" w:type="pct"/>
            <w:vAlign w:val="center"/>
          </w:tcPr>
          <w:p>
            <w:pPr>
              <w:widowControl/>
              <w:spacing w:line="260" w:lineRule="exact"/>
              <w:jc w:val="left"/>
              <w:rPr>
                <w:rFonts w:ascii="仿宋" w:hAnsi="仿宋" w:eastAsia="仿宋" w:cs="Times New Roman"/>
                <w:color w:val="000000"/>
                <w:sz w:val="20"/>
                <w:szCs w:val="20"/>
              </w:rPr>
            </w:pPr>
            <w:r>
              <w:rPr>
                <w:rFonts w:ascii="仿宋" w:hAnsi="仿宋" w:eastAsia="仿宋" w:cs="Times New Roman"/>
                <w:color w:val="000000"/>
                <w:sz w:val="20"/>
                <w:szCs w:val="20"/>
              </w:rPr>
              <w:t>　</w:t>
            </w:r>
            <w:r>
              <w:rPr>
                <w:rFonts w:hint="eastAsia" w:ascii="仿宋" w:hAnsi="仿宋" w:eastAsia="仿宋" w:cs="Times New Roman"/>
                <w:color w:val="000000"/>
                <w:sz w:val="20"/>
                <w:szCs w:val="20"/>
              </w:rPr>
              <w:t>1500吨</w:t>
            </w:r>
          </w:p>
        </w:tc>
        <w:tc>
          <w:tcPr>
            <w:tcW w:w="650" w:type="pct"/>
            <w:vAlign w:val="center"/>
          </w:tcPr>
          <w:p>
            <w:pPr>
              <w:widowControl/>
              <w:spacing w:line="260" w:lineRule="exact"/>
              <w:jc w:val="left"/>
              <w:rPr>
                <w:rFonts w:ascii="仿宋" w:hAnsi="仿宋" w:eastAsia="仿宋" w:cs="Times New Roman"/>
                <w:color w:val="000000"/>
                <w:sz w:val="20"/>
                <w:szCs w:val="20"/>
              </w:rPr>
            </w:pPr>
            <w:r>
              <w:rPr>
                <w:rFonts w:ascii="仿宋" w:hAnsi="仿宋" w:eastAsia="仿宋" w:cs="Times New Roman"/>
                <w:color w:val="000000"/>
                <w:sz w:val="20"/>
                <w:szCs w:val="20"/>
              </w:rPr>
              <w:t>　</w:t>
            </w:r>
            <w:r>
              <w:rPr>
                <w:rFonts w:hint="eastAsia" w:ascii="仿宋" w:hAnsi="仿宋" w:eastAsia="仿宋" w:cs="Times New Roman"/>
                <w:color w:val="000000"/>
                <w:sz w:val="20"/>
                <w:szCs w:val="20"/>
              </w:rPr>
              <w:t>1500吨</w:t>
            </w:r>
          </w:p>
        </w:tc>
        <w:tc>
          <w:tcPr>
            <w:tcW w:w="347" w:type="pct"/>
            <w:vAlign w:val="center"/>
          </w:tcPr>
          <w:p>
            <w:pPr>
              <w:widowControl/>
              <w:spacing w:line="260" w:lineRule="exact"/>
              <w:jc w:val="left"/>
              <w:rPr>
                <w:rFonts w:ascii="仿宋" w:hAnsi="仿宋" w:eastAsia="仿宋" w:cs="Times New Roman"/>
                <w:color w:val="000000"/>
                <w:sz w:val="20"/>
                <w:szCs w:val="20"/>
              </w:rPr>
            </w:pPr>
            <w:r>
              <w:rPr>
                <w:rFonts w:ascii="仿宋" w:hAnsi="仿宋" w:eastAsia="仿宋" w:cs="Times New Roman"/>
                <w:color w:val="000000"/>
                <w:sz w:val="20"/>
                <w:szCs w:val="20"/>
              </w:rPr>
              <w:t>　</w:t>
            </w:r>
            <w:r>
              <w:rPr>
                <w:rFonts w:hint="eastAsia" w:ascii="仿宋" w:hAnsi="仿宋" w:eastAsia="仿宋" w:cs="Times New Roman"/>
                <w:color w:val="000000"/>
                <w:sz w:val="20"/>
                <w:szCs w:val="20"/>
              </w:rPr>
              <w:t>10</w:t>
            </w:r>
          </w:p>
        </w:tc>
        <w:tc>
          <w:tcPr>
            <w:tcW w:w="405" w:type="pct"/>
            <w:vAlign w:val="center"/>
          </w:tcPr>
          <w:p>
            <w:pPr>
              <w:widowControl/>
              <w:spacing w:line="260" w:lineRule="exact"/>
              <w:jc w:val="left"/>
              <w:rPr>
                <w:rFonts w:hint="default" w:ascii="仿宋" w:hAnsi="仿宋" w:eastAsia="仿宋" w:cs="Times New Roman"/>
                <w:color w:val="000000"/>
                <w:sz w:val="20"/>
                <w:szCs w:val="20"/>
                <w:lang w:val="en-US" w:eastAsia="zh-CN"/>
              </w:rPr>
            </w:pPr>
            <w:r>
              <w:rPr>
                <w:rFonts w:hint="eastAsia" w:ascii="仿宋" w:hAnsi="仿宋" w:eastAsia="仿宋" w:cs="Times New Roman"/>
                <w:color w:val="000000"/>
                <w:sz w:val="20"/>
                <w:szCs w:val="20"/>
                <w:lang w:val="en-US" w:eastAsia="zh-CN"/>
              </w:rPr>
              <w:t>10</w:t>
            </w:r>
          </w:p>
        </w:tc>
        <w:tc>
          <w:tcPr>
            <w:tcW w:w="776"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1" w:hRule="atLeast"/>
        </w:trPr>
        <w:tc>
          <w:tcPr>
            <w:tcW w:w="527" w:type="pct"/>
            <w:vMerge w:val="continue"/>
            <w:textDirection w:val="tbRlV"/>
            <w:vAlign w:val="center"/>
          </w:tcPr>
          <w:p>
            <w:pPr>
              <w:jc w:val="center"/>
              <w:rPr>
                <w:rFonts w:ascii="黑体" w:hAnsi="黑体" w:eastAsia="黑体" w:cs="黑体"/>
                <w:szCs w:val="21"/>
              </w:rPr>
            </w:pPr>
          </w:p>
        </w:tc>
        <w:tc>
          <w:tcPr>
            <w:tcW w:w="521" w:type="pct"/>
            <w:vMerge w:val="continue"/>
            <w:tcBorders>
              <w:top w:val="nil"/>
              <w:bottom w:val="nil"/>
            </w:tcBorders>
            <w:vAlign w:val="center"/>
          </w:tcPr>
          <w:p>
            <w:pPr>
              <w:jc w:val="center"/>
              <w:rPr>
                <w:rFonts w:asciiTheme="minorEastAsia" w:hAnsiTheme="minorEastAsia" w:eastAsiaTheme="minorEastAsia" w:cstheme="minorEastAsia"/>
                <w:szCs w:val="21"/>
              </w:rPr>
            </w:pPr>
          </w:p>
        </w:tc>
        <w:tc>
          <w:tcPr>
            <w:tcW w:w="650" w:type="pct"/>
            <w:tcBorders>
              <w:bottom w:val="nil"/>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时</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效</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标</w:t>
            </w:r>
          </w:p>
        </w:tc>
        <w:tc>
          <w:tcPr>
            <w:tcW w:w="549" w:type="pct"/>
            <w:vAlign w:val="center"/>
          </w:tcPr>
          <w:p>
            <w:pPr>
              <w:widowControl/>
              <w:spacing w:line="260" w:lineRule="exact"/>
              <w:jc w:val="left"/>
              <w:rPr>
                <w:rFonts w:ascii="仿宋" w:hAnsi="仿宋" w:eastAsia="仿宋" w:cs="Times New Roman"/>
                <w:color w:val="000000"/>
                <w:sz w:val="20"/>
                <w:szCs w:val="20"/>
              </w:rPr>
            </w:pPr>
            <w:r>
              <w:rPr>
                <w:rFonts w:hint="eastAsia" w:ascii="仿宋" w:hAnsi="仿宋" w:eastAsia="仿宋" w:cs="宋体"/>
                <w:color w:val="000000"/>
                <w:sz w:val="20"/>
                <w:szCs w:val="20"/>
              </w:rPr>
              <w:t>任</w:t>
            </w:r>
            <w:r>
              <w:rPr>
                <w:rFonts w:hint="eastAsia" w:ascii="仿宋" w:hAnsi="仿宋" w:eastAsia="仿宋" w:cs="___WRD_EMBED_SUB_40"/>
                <w:color w:val="000000"/>
                <w:sz w:val="20"/>
                <w:szCs w:val="20"/>
              </w:rPr>
              <w:t>务完成及时性</w:t>
            </w:r>
          </w:p>
        </w:tc>
        <w:tc>
          <w:tcPr>
            <w:tcW w:w="571" w:type="pct"/>
            <w:vAlign w:val="center"/>
          </w:tcPr>
          <w:p>
            <w:pPr>
              <w:widowControl/>
              <w:spacing w:line="260" w:lineRule="exact"/>
              <w:jc w:val="left"/>
              <w:rPr>
                <w:rFonts w:ascii="仿宋" w:hAnsi="仿宋" w:eastAsia="仿宋" w:cs="Times New Roman"/>
                <w:color w:val="000000"/>
                <w:sz w:val="20"/>
                <w:szCs w:val="20"/>
              </w:rPr>
            </w:pPr>
            <w:r>
              <w:rPr>
                <w:rFonts w:ascii="仿宋" w:hAnsi="仿宋" w:eastAsia="仿宋" w:cs="Times New Roman"/>
                <w:color w:val="000000"/>
                <w:sz w:val="20"/>
                <w:szCs w:val="20"/>
              </w:rPr>
              <w:t>　</w:t>
            </w:r>
            <w:r>
              <w:rPr>
                <w:rFonts w:hint="eastAsia" w:ascii="仿宋" w:hAnsi="仿宋" w:eastAsia="仿宋" w:cs="Times New Roman"/>
                <w:color w:val="000000"/>
                <w:sz w:val="20"/>
                <w:szCs w:val="20"/>
              </w:rPr>
              <w:t>1—2年</w:t>
            </w:r>
          </w:p>
        </w:tc>
        <w:tc>
          <w:tcPr>
            <w:tcW w:w="650" w:type="pct"/>
            <w:vAlign w:val="center"/>
          </w:tcPr>
          <w:p>
            <w:pPr>
              <w:widowControl/>
              <w:spacing w:line="260" w:lineRule="exact"/>
              <w:jc w:val="left"/>
              <w:rPr>
                <w:rFonts w:ascii="仿宋" w:hAnsi="仿宋" w:eastAsia="仿宋" w:cs="Times New Roman"/>
                <w:color w:val="000000"/>
                <w:sz w:val="20"/>
                <w:szCs w:val="20"/>
              </w:rPr>
            </w:pPr>
            <w:r>
              <w:rPr>
                <w:rFonts w:ascii="仿宋" w:hAnsi="仿宋" w:eastAsia="仿宋" w:cs="Times New Roman"/>
                <w:color w:val="000000"/>
                <w:sz w:val="20"/>
                <w:szCs w:val="20"/>
              </w:rPr>
              <w:t>　</w:t>
            </w:r>
            <w:r>
              <w:rPr>
                <w:rFonts w:hint="eastAsia" w:ascii="仿宋" w:hAnsi="仿宋" w:eastAsia="仿宋" w:cs="Times New Roman"/>
                <w:color w:val="000000"/>
                <w:sz w:val="20"/>
                <w:szCs w:val="20"/>
              </w:rPr>
              <w:t>1年</w:t>
            </w:r>
          </w:p>
        </w:tc>
        <w:tc>
          <w:tcPr>
            <w:tcW w:w="347" w:type="pct"/>
            <w:vAlign w:val="center"/>
          </w:tcPr>
          <w:p>
            <w:pPr>
              <w:widowControl/>
              <w:spacing w:line="260" w:lineRule="exact"/>
              <w:jc w:val="left"/>
              <w:rPr>
                <w:rFonts w:hint="default" w:ascii="仿宋" w:hAnsi="仿宋" w:eastAsia="仿宋" w:cs="Times New Roman"/>
                <w:color w:val="000000"/>
                <w:sz w:val="20"/>
                <w:szCs w:val="20"/>
                <w:lang w:val="en-US" w:eastAsia="zh-CN"/>
              </w:rPr>
            </w:pPr>
            <w:r>
              <w:rPr>
                <w:rFonts w:ascii="仿宋" w:hAnsi="仿宋" w:eastAsia="仿宋" w:cs="Times New Roman"/>
                <w:color w:val="000000"/>
                <w:sz w:val="20"/>
                <w:szCs w:val="20"/>
              </w:rPr>
              <w:t>　</w:t>
            </w:r>
            <w:r>
              <w:rPr>
                <w:rFonts w:hint="eastAsia" w:ascii="仿宋" w:hAnsi="仿宋" w:eastAsia="仿宋" w:cs="Times New Roman"/>
                <w:color w:val="000000"/>
                <w:sz w:val="20"/>
                <w:szCs w:val="20"/>
                <w:lang w:val="en-US" w:eastAsia="zh-CN"/>
              </w:rPr>
              <w:t>10</w:t>
            </w:r>
          </w:p>
        </w:tc>
        <w:tc>
          <w:tcPr>
            <w:tcW w:w="405" w:type="pct"/>
            <w:vAlign w:val="center"/>
          </w:tcPr>
          <w:p>
            <w:pPr>
              <w:widowControl/>
              <w:spacing w:line="260" w:lineRule="exact"/>
              <w:jc w:val="left"/>
              <w:rPr>
                <w:rFonts w:hint="default" w:ascii="仿宋" w:hAnsi="仿宋" w:eastAsia="仿宋" w:cs="Times New Roman"/>
                <w:color w:val="000000"/>
                <w:sz w:val="20"/>
                <w:szCs w:val="20"/>
                <w:lang w:val="en-US" w:eastAsia="zh-CN"/>
              </w:rPr>
            </w:pPr>
            <w:r>
              <w:rPr>
                <w:rFonts w:ascii="仿宋" w:hAnsi="仿宋" w:eastAsia="仿宋" w:cs="Times New Roman"/>
                <w:color w:val="000000"/>
                <w:sz w:val="20"/>
                <w:szCs w:val="20"/>
              </w:rPr>
              <w:t>　</w:t>
            </w:r>
            <w:r>
              <w:rPr>
                <w:rFonts w:hint="eastAsia" w:ascii="仿宋" w:hAnsi="仿宋" w:eastAsia="仿宋" w:cs="Times New Roman"/>
                <w:color w:val="000000"/>
                <w:sz w:val="20"/>
                <w:szCs w:val="20"/>
                <w:lang w:val="en-US" w:eastAsia="zh-CN"/>
              </w:rPr>
              <w:t>10</w:t>
            </w:r>
          </w:p>
        </w:tc>
        <w:tc>
          <w:tcPr>
            <w:tcW w:w="776"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7" w:type="pct"/>
            <w:vMerge w:val="restart"/>
            <w:vAlign w:val="center"/>
          </w:tcPr>
          <w:p>
            <w:pPr>
              <w:jc w:val="center"/>
              <w:rPr>
                <w:rFonts w:ascii="黑体" w:hAnsi="黑体" w:eastAsia="黑体" w:cs="黑体"/>
                <w:szCs w:val="21"/>
              </w:rPr>
            </w:pPr>
            <w:r>
              <w:rPr>
                <w:rFonts w:hint="eastAsia" w:ascii="黑体" w:hAnsi="黑体" w:eastAsia="黑体" w:cs="黑体"/>
                <w:szCs w:val="21"/>
              </w:rPr>
              <w:t>绩</w:t>
            </w:r>
          </w:p>
          <w:p>
            <w:pPr>
              <w:jc w:val="center"/>
              <w:rPr>
                <w:rFonts w:ascii="黑体" w:hAnsi="黑体" w:eastAsia="黑体" w:cs="黑体"/>
                <w:szCs w:val="21"/>
              </w:rPr>
            </w:pPr>
            <w:r>
              <w:rPr>
                <w:rFonts w:hint="eastAsia" w:ascii="黑体" w:hAnsi="黑体" w:eastAsia="黑体" w:cs="黑体"/>
                <w:szCs w:val="21"/>
              </w:rPr>
              <w:t>效</w:t>
            </w:r>
          </w:p>
          <w:p>
            <w:pPr>
              <w:jc w:val="center"/>
              <w:rPr>
                <w:rFonts w:ascii="黑体" w:hAnsi="黑体" w:eastAsia="黑体" w:cs="黑体"/>
                <w:szCs w:val="21"/>
              </w:rPr>
            </w:pPr>
            <w:r>
              <w:rPr>
                <w:rFonts w:hint="eastAsia" w:ascii="黑体" w:hAnsi="黑体" w:eastAsia="黑体" w:cs="黑体"/>
                <w:szCs w:val="21"/>
              </w:rPr>
              <w:t>指</w:t>
            </w:r>
          </w:p>
          <w:p>
            <w:pPr>
              <w:jc w:val="center"/>
              <w:rPr>
                <w:rFonts w:ascii="黑体" w:hAnsi="黑体" w:eastAsia="黑体" w:cs="黑体"/>
                <w:szCs w:val="21"/>
              </w:rPr>
            </w:pPr>
            <w:r>
              <w:rPr>
                <w:rFonts w:hint="eastAsia" w:ascii="黑体" w:hAnsi="黑体" w:eastAsia="黑体" w:cs="黑体"/>
                <w:szCs w:val="21"/>
              </w:rPr>
              <w:t>标</w:t>
            </w:r>
          </w:p>
        </w:tc>
        <w:tc>
          <w:tcPr>
            <w:tcW w:w="521" w:type="pct"/>
            <w:vMerge w:val="restart"/>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效</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益</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标</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（30分）</w:t>
            </w:r>
          </w:p>
        </w:tc>
        <w:tc>
          <w:tcPr>
            <w:tcW w:w="650" w:type="pct"/>
            <w:tcBorders>
              <w:left w:val="single" w:color="auto" w:sz="4" w:space="0"/>
              <w:bottom w:val="nil"/>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经济</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效益</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tc>
        <w:tc>
          <w:tcPr>
            <w:tcW w:w="549" w:type="pct"/>
            <w:vAlign w:val="center"/>
          </w:tcPr>
          <w:p>
            <w:pPr>
              <w:widowControl/>
              <w:spacing w:line="260" w:lineRule="exact"/>
              <w:jc w:val="left"/>
              <w:rPr>
                <w:rFonts w:ascii="仿宋" w:hAnsi="仿宋" w:eastAsia="仿宋" w:cs="Times New Roman"/>
                <w:color w:val="000000"/>
                <w:sz w:val="20"/>
                <w:szCs w:val="20"/>
              </w:rPr>
            </w:pPr>
            <w:r>
              <w:rPr>
                <w:rFonts w:hint="eastAsia" w:ascii="仿宋" w:hAnsi="仿宋" w:eastAsia="仿宋" w:cs="Times New Roman"/>
                <w:color w:val="000000" w:themeColor="text1"/>
                <w:sz w:val="20"/>
                <w:szCs w:val="20"/>
                <w14:textFill>
                  <w14:solidFill>
                    <w14:schemeClr w14:val="tx1"/>
                  </w14:solidFill>
                </w14:textFill>
              </w:rPr>
              <w:t>作物增产增收</w:t>
            </w:r>
          </w:p>
        </w:tc>
        <w:tc>
          <w:tcPr>
            <w:tcW w:w="571" w:type="pct"/>
            <w:vAlign w:val="center"/>
          </w:tcPr>
          <w:p>
            <w:pPr>
              <w:widowControl/>
              <w:spacing w:line="260" w:lineRule="exact"/>
              <w:jc w:val="left"/>
              <w:rPr>
                <w:rFonts w:ascii="仿宋" w:hAnsi="仿宋" w:eastAsia="仿宋" w:cs="Times New Roman"/>
                <w:color w:val="000000"/>
                <w:sz w:val="20"/>
                <w:szCs w:val="20"/>
              </w:rPr>
            </w:pPr>
            <w:r>
              <w:rPr>
                <w:rFonts w:hint="eastAsia" w:ascii="仿宋" w:hAnsi="仿宋" w:eastAsia="仿宋" w:cs="Times New Roman"/>
                <w:color w:val="000000" w:themeColor="text1"/>
                <w:sz w:val="20"/>
                <w:szCs w:val="20"/>
                <w14:textFill>
                  <w14:solidFill>
                    <w14:schemeClr w14:val="tx1"/>
                  </w14:solidFill>
                </w14:textFill>
              </w:rPr>
              <w:t>增收500万</w:t>
            </w:r>
            <w:r>
              <w:rPr>
                <w:rFonts w:ascii="仿宋" w:hAnsi="仿宋" w:eastAsia="仿宋" w:cs="Times New Roman"/>
                <w:color w:val="000000"/>
                <w:sz w:val="20"/>
                <w:szCs w:val="20"/>
              </w:rPr>
              <w:t>　</w:t>
            </w:r>
          </w:p>
        </w:tc>
        <w:tc>
          <w:tcPr>
            <w:tcW w:w="650" w:type="pct"/>
            <w:vAlign w:val="center"/>
          </w:tcPr>
          <w:p>
            <w:pPr>
              <w:widowControl/>
              <w:spacing w:line="260" w:lineRule="exact"/>
              <w:jc w:val="left"/>
              <w:rPr>
                <w:rFonts w:ascii="仿宋" w:hAnsi="仿宋" w:eastAsia="仿宋" w:cs="Times New Roman"/>
                <w:color w:val="000000"/>
                <w:sz w:val="20"/>
                <w:szCs w:val="20"/>
              </w:rPr>
            </w:pPr>
            <w:r>
              <w:rPr>
                <w:rFonts w:ascii="仿宋" w:hAnsi="仿宋" w:eastAsia="仿宋" w:cs="Times New Roman"/>
                <w:color w:val="000000"/>
                <w:sz w:val="20"/>
                <w:szCs w:val="20"/>
              </w:rPr>
              <w:t>　</w:t>
            </w:r>
            <w:r>
              <w:rPr>
                <w:rFonts w:hint="eastAsia" w:ascii="仿宋" w:hAnsi="仿宋" w:eastAsia="仿宋" w:cs="Times New Roman"/>
                <w:color w:val="000000" w:themeColor="text1"/>
                <w:sz w:val="20"/>
                <w:szCs w:val="20"/>
                <w14:textFill>
                  <w14:solidFill>
                    <w14:schemeClr w14:val="tx1"/>
                  </w14:solidFill>
                </w14:textFill>
              </w:rPr>
              <w:t>增收</w:t>
            </w:r>
            <w:r>
              <w:rPr>
                <w:rFonts w:hint="eastAsia" w:ascii="仿宋" w:hAnsi="仿宋" w:eastAsia="仿宋" w:cs="Times New Roman"/>
                <w:color w:val="000000" w:themeColor="text1"/>
                <w:sz w:val="20"/>
                <w:szCs w:val="20"/>
                <w:lang w:val="en-US" w:eastAsia="zh-CN"/>
                <w14:textFill>
                  <w14:solidFill>
                    <w14:schemeClr w14:val="tx1"/>
                  </w14:solidFill>
                </w14:textFill>
              </w:rPr>
              <w:t>450</w:t>
            </w:r>
            <w:r>
              <w:rPr>
                <w:rFonts w:hint="eastAsia" w:ascii="仿宋" w:hAnsi="仿宋" w:eastAsia="仿宋" w:cs="Times New Roman"/>
                <w:color w:val="000000" w:themeColor="text1"/>
                <w:sz w:val="20"/>
                <w:szCs w:val="20"/>
                <w14:textFill>
                  <w14:solidFill>
                    <w14:schemeClr w14:val="tx1"/>
                  </w14:solidFill>
                </w14:textFill>
              </w:rPr>
              <w:t>万</w:t>
            </w:r>
            <w:r>
              <w:rPr>
                <w:rFonts w:ascii="仿宋" w:hAnsi="仿宋" w:eastAsia="仿宋" w:cs="Times New Roman"/>
                <w:color w:val="000000"/>
                <w:sz w:val="20"/>
                <w:szCs w:val="20"/>
              </w:rPr>
              <w:t>　</w:t>
            </w:r>
          </w:p>
        </w:tc>
        <w:tc>
          <w:tcPr>
            <w:tcW w:w="347" w:type="pct"/>
            <w:vAlign w:val="center"/>
          </w:tcPr>
          <w:p>
            <w:pPr>
              <w:widowControl/>
              <w:spacing w:line="260" w:lineRule="exact"/>
              <w:jc w:val="left"/>
              <w:rPr>
                <w:rFonts w:ascii="仿宋" w:hAnsi="仿宋" w:eastAsia="仿宋" w:cs="Times New Roman"/>
                <w:color w:val="000000"/>
                <w:sz w:val="20"/>
                <w:szCs w:val="20"/>
              </w:rPr>
            </w:pPr>
            <w:r>
              <w:rPr>
                <w:rFonts w:ascii="仿宋" w:hAnsi="仿宋" w:eastAsia="仿宋" w:cs="Times New Roman"/>
                <w:color w:val="000000"/>
                <w:sz w:val="20"/>
                <w:szCs w:val="20"/>
              </w:rPr>
              <w:t>　</w:t>
            </w:r>
            <w:r>
              <w:rPr>
                <w:rFonts w:hint="eastAsia" w:ascii="仿宋" w:hAnsi="仿宋" w:eastAsia="仿宋" w:cs="Times New Roman"/>
                <w:color w:val="000000"/>
                <w:sz w:val="20"/>
                <w:szCs w:val="20"/>
              </w:rPr>
              <w:t>10</w:t>
            </w:r>
          </w:p>
        </w:tc>
        <w:tc>
          <w:tcPr>
            <w:tcW w:w="405" w:type="pct"/>
            <w:vAlign w:val="center"/>
          </w:tcPr>
          <w:p>
            <w:pPr>
              <w:widowControl/>
              <w:spacing w:line="260" w:lineRule="exact"/>
              <w:jc w:val="left"/>
              <w:rPr>
                <w:rFonts w:hint="eastAsia" w:ascii="仿宋" w:hAnsi="仿宋" w:eastAsia="仿宋" w:cs="Times New Roman"/>
                <w:color w:val="000000"/>
                <w:sz w:val="20"/>
                <w:szCs w:val="20"/>
                <w:lang w:eastAsia="zh-CN"/>
              </w:rPr>
            </w:pPr>
            <w:r>
              <w:rPr>
                <w:rFonts w:ascii="仿宋" w:hAnsi="仿宋" w:eastAsia="仿宋" w:cs="Times New Roman"/>
                <w:color w:val="000000"/>
                <w:sz w:val="20"/>
                <w:szCs w:val="20"/>
              </w:rPr>
              <w:t>　</w:t>
            </w:r>
            <w:r>
              <w:rPr>
                <w:rFonts w:hint="eastAsia" w:ascii="仿宋" w:hAnsi="仿宋" w:eastAsia="仿宋" w:cs="Times New Roman"/>
                <w:color w:val="000000"/>
                <w:sz w:val="20"/>
                <w:szCs w:val="20"/>
                <w:lang w:val="en-US" w:eastAsia="zh-CN"/>
              </w:rPr>
              <w:t>9</w:t>
            </w:r>
          </w:p>
        </w:tc>
        <w:tc>
          <w:tcPr>
            <w:tcW w:w="776"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7" w:type="pct"/>
            <w:vMerge w:val="continue"/>
            <w:textDirection w:val="tbRlV"/>
            <w:vAlign w:val="center"/>
          </w:tcPr>
          <w:p>
            <w:pPr>
              <w:jc w:val="center"/>
              <w:rPr>
                <w:rFonts w:asciiTheme="minorEastAsia" w:hAnsiTheme="minorEastAsia" w:eastAsiaTheme="minorEastAsia" w:cstheme="minorEastAsia"/>
                <w:szCs w:val="21"/>
              </w:rPr>
            </w:pPr>
          </w:p>
        </w:tc>
        <w:tc>
          <w:tcPr>
            <w:tcW w:w="521" w:type="pct"/>
            <w:vMerge w:val="continue"/>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p>
        </w:tc>
        <w:tc>
          <w:tcPr>
            <w:tcW w:w="650" w:type="pct"/>
            <w:tcBorders>
              <w:left w:val="single" w:color="auto" w:sz="4" w:space="0"/>
              <w:bottom w:val="nil"/>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社会</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效益</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tc>
        <w:tc>
          <w:tcPr>
            <w:tcW w:w="549" w:type="pct"/>
            <w:vAlign w:val="center"/>
          </w:tcPr>
          <w:p>
            <w:pPr>
              <w:widowControl/>
              <w:spacing w:line="260" w:lineRule="exact"/>
              <w:jc w:val="left"/>
              <w:rPr>
                <w:rFonts w:ascii="仿宋" w:hAnsi="仿宋" w:eastAsia="仿宋" w:cs="Times New Roman"/>
                <w:color w:val="000000"/>
                <w:sz w:val="20"/>
                <w:szCs w:val="20"/>
              </w:rPr>
            </w:pPr>
            <w:r>
              <w:rPr>
                <w:rFonts w:hint="eastAsia" w:ascii="仿宋" w:hAnsi="仿宋" w:eastAsia="仿宋" w:cs="Times New Roman"/>
                <w:color w:val="000000" w:themeColor="text1"/>
                <w:sz w:val="20"/>
                <w:szCs w:val="20"/>
                <w14:textFill>
                  <w14:solidFill>
                    <w14:schemeClr w14:val="tx1"/>
                  </w14:solidFill>
                </w14:textFill>
              </w:rPr>
              <w:t>创建了粪肥还田追溯监管平台</w:t>
            </w:r>
          </w:p>
        </w:tc>
        <w:tc>
          <w:tcPr>
            <w:tcW w:w="571" w:type="pct"/>
            <w:vAlign w:val="center"/>
          </w:tcPr>
          <w:p>
            <w:pPr>
              <w:widowControl/>
              <w:spacing w:line="260" w:lineRule="exact"/>
              <w:jc w:val="left"/>
              <w:rPr>
                <w:rFonts w:ascii="仿宋" w:hAnsi="仿宋" w:eastAsia="仿宋" w:cs="Times New Roman"/>
                <w:color w:val="000000"/>
                <w:sz w:val="20"/>
                <w:szCs w:val="20"/>
              </w:rPr>
            </w:pPr>
            <w:r>
              <w:rPr>
                <w:rFonts w:ascii="仿宋" w:hAnsi="仿宋" w:eastAsia="仿宋" w:cs="Times New Roman"/>
                <w:color w:val="000000"/>
                <w:sz w:val="20"/>
                <w:szCs w:val="20"/>
              </w:rPr>
              <w:t>　</w:t>
            </w:r>
            <w:r>
              <w:rPr>
                <w:rFonts w:hint="eastAsia" w:ascii="仿宋" w:hAnsi="仿宋" w:eastAsia="仿宋" w:cs="Times New Roman"/>
                <w:color w:val="000000" w:themeColor="text1"/>
                <w:sz w:val="20"/>
                <w:szCs w:val="20"/>
                <w14:textFill>
                  <w14:solidFill>
                    <w14:schemeClr w14:val="tx1"/>
                  </w14:solidFill>
                </w14:textFill>
              </w:rPr>
              <w:t>粪污消纳池50多个</w:t>
            </w:r>
          </w:p>
        </w:tc>
        <w:tc>
          <w:tcPr>
            <w:tcW w:w="650" w:type="pct"/>
            <w:vAlign w:val="center"/>
          </w:tcPr>
          <w:p>
            <w:pPr>
              <w:widowControl/>
              <w:spacing w:line="260" w:lineRule="exact"/>
              <w:jc w:val="left"/>
              <w:rPr>
                <w:rFonts w:ascii="仿宋" w:hAnsi="仿宋" w:eastAsia="仿宋" w:cs="Times New Roman"/>
                <w:color w:val="000000"/>
                <w:sz w:val="20"/>
                <w:szCs w:val="20"/>
              </w:rPr>
            </w:pPr>
            <w:r>
              <w:rPr>
                <w:rFonts w:ascii="仿宋" w:hAnsi="仿宋" w:eastAsia="仿宋" w:cs="Times New Roman"/>
                <w:color w:val="000000"/>
                <w:sz w:val="20"/>
                <w:szCs w:val="20"/>
              </w:rPr>
              <w:t>　</w:t>
            </w:r>
            <w:r>
              <w:rPr>
                <w:rFonts w:hint="eastAsia" w:ascii="仿宋" w:hAnsi="仿宋" w:eastAsia="仿宋" w:cs="Times New Roman"/>
                <w:color w:val="000000" w:themeColor="text1"/>
                <w:sz w:val="20"/>
                <w:szCs w:val="20"/>
                <w14:textFill>
                  <w14:solidFill>
                    <w14:schemeClr w14:val="tx1"/>
                  </w14:solidFill>
                </w14:textFill>
              </w:rPr>
              <w:t>粪污消纳池50多个</w:t>
            </w:r>
          </w:p>
        </w:tc>
        <w:tc>
          <w:tcPr>
            <w:tcW w:w="347" w:type="pct"/>
            <w:vAlign w:val="center"/>
          </w:tcPr>
          <w:p>
            <w:pPr>
              <w:widowControl/>
              <w:spacing w:line="260" w:lineRule="exact"/>
              <w:jc w:val="left"/>
              <w:rPr>
                <w:rFonts w:ascii="仿宋" w:hAnsi="仿宋" w:eastAsia="仿宋" w:cs="Times New Roman"/>
                <w:color w:val="000000"/>
                <w:sz w:val="20"/>
                <w:szCs w:val="20"/>
              </w:rPr>
            </w:pPr>
            <w:r>
              <w:rPr>
                <w:rFonts w:ascii="仿宋" w:hAnsi="仿宋" w:eastAsia="仿宋" w:cs="Times New Roman"/>
                <w:color w:val="000000"/>
                <w:sz w:val="20"/>
                <w:szCs w:val="20"/>
              </w:rPr>
              <w:t>　</w:t>
            </w:r>
            <w:r>
              <w:rPr>
                <w:rFonts w:hint="eastAsia" w:ascii="仿宋" w:hAnsi="仿宋" w:eastAsia="仿宋" w:cs="Times New Roman"/>
                <w:color w:val="000000"/>
                <w:sz w:val="20"/>
                <w:szCs w:val="20"/>
              </w:rPr>
              <w:t>10</w:t>
            </w:r>
          </w:p>
        </w:tc>
        <w:tc>
          <w:tcPr>
            <w:tcW w:w="405" w:type="pct"/>
            <w:vAlign w:val="center"/>
          </w:tcPr>
          <w:p>
            <w:pPr>
              <w:widowControl/>
              <w:spacing w:line="260" w:lineRule="exact"/>
              <w:jc w:val="left"/>
              <w:rPr>
                <w:rFonts w:ascii="仿宋" w:hAnsi="仿宋" w:eastAsia="仿宋" w:cs="Times New Roman"/>
                <w:color w:val="000000"/>
                <w:sz w:val="20"/>
                <w:szCs w:val="20"/>
              </w:rPr>
            </w:pPr>
            <w:r>
              <w:rPr>
                <w:rFonts w:ascii="仿宋" w:hAnsi="仿宋" w:eastAsia="仿宋" w:cs="Times New Roman"/>
                <w:color w:val="000000"/>
                <w:sz w:val="20"/>
                <w:szCs w:val="20"/>
              </w:rPr>
              <w:t>　</w:t>
            </w:r>
            <w:r>
              <w:rPr>
                <w:rFonts w:hint="eastAsia" w:ascii="仿宋" w:hAnsi="仿宋" w:eastAsia="仿宋" w:cs="Times New Roman"/>
                <w:color w:val="000000"/>
                <w:sz w:val="20"/>
                <w:szCs w:val="20"/>
              </w:rPr>
              <w:t>10</w:t>
            </w:r>
          </w:p>
        </w:tc>
        <w:tc>
          <w:tcPr>
            <w:tcW w:w="776"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7" w:type="pct"/>
            <w:vMerge w:val="continue"/>
            <w:textDirection w:val="tbRlV"/>
            <w:vAlign w:val="center"/>
          </w:tcPr>
          <w:p>
            <w:pPr>
              <w:jc w:val="center"/>
              <w:rPr>
                <w:rFonts w:asciiTheme="minorEastAsia" w:hAnsiTheme="minorEastAsia" w:eastAsiaTheme="minorEastAsia" w:cstheme="minorEastAsia"/>
                <w:szCs w:val="21"/>
              </w:rPr>
            </w:pPr>
          </w:p>
        </w:tc>
        <w:tc>
          <w:tcPr>
            <w:tcW w:w="521" w:type="pct"/>
            <w:vMerge w:val="continue"/>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p>
        </w:tc>
        <w:tc>
          <w:tcPr>
            <w:tcW w:w="650" w:type="pct"/>
            <w:tcBorders>
              <w:left w:val="single" w:color="auto" w:sz="4" w:space="0"/>
              <w:bottom w:val="nil"/>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生态</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效益</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tc>
        <w:tc>
          <w:tcPr>
            <w:tcW w:w="549" w:type="pct"/>
            <w:vAlign w:val="center"/>
          </w:tcPr>
          <w:p>
            <w:pPr>
              <w:widowControl/>
              <w:spacing w:line="260" w:lineRule="exact"/>
              <w:jc w:val="left"/>
              <w:rPr>
                <w:rFonts w:hint="default" w:ascii="仿宋" w:hAnsi="仿宋" w:eastAsia="仿宋" w:cs="Times New Roman"/>
                <w:color w:val="000000"/>
                <w:sz w:val="20"/>
                <w:szCs w:val="20"/>
                <w:lang w:val="en-US" w:eastAsia="zh-CN"/>
              </w:rPr>
            </w:pPr>
            <w:r>
              <w:rPr>
                <w:rFonts w:hint="eastAsia" w:ascii="仿宋" w:hAnsi="仿宋" w:eastAsia="仿宋" w:cs="Times New Roman"/>
                <w:bCs/>
                <w:color w:val="000000" w:themeColor="text1"/>
                <w:spacing w:val="-4"/>
                <w:sz w:val="20"/>
                <w:szCs w:val="20"/>
                <w:lang w:val="en-US" w:eastAsia="zh-CN"/>
                <w14:textFill>
                  <w14:solidFill>
                    <w14:schemeClr w14:val="tx1"/>
                  </w14:solidFill>
                </w14:textFill>
              </w:rPr>
              <w:t>提升环境向良性方向发展率</w:t>
            </w:r>
          </w:p>
        </w:tc>
        <w:tc>
          <w:tcPr>
            <w:tcW w:w="571" w:type="pct"/>
            <w:vAlign w:val="center"/>
          </w:tcPr>
          <w:p>
            <w:pPr>
              <w:widowControl/>
              <w:spacing w:line="260" w:lineRule="exact"/>
              <w:jc w:val="left"/>
              <w:rPr>
                <w:rFonts w:ascii="仿宋" w:hAnsi="仿宋" w:eastAsia="仿宋" w:cs="Times New Roman"/>
                <w:color w:val="000000"/>
                <w:sz w:val="20"/>
                <w:szCs w:val="20"/>
              </w:rPr>
            </w:pPr>
            <w:r>
              <w:rPr>
                <w:rFonts w:hint="eastAsia" w:ascii="仿宋" w:hAnsi="仿宋" w:eastAsia="仿宋" w:cs="Times New Roman"/>
                <w:sz w:val="20"/>
                <w:szCs w:val="20"/>
              </w:rPr>
              <w:t>≥</w:t>
            </w:r>
            <w:r>
              <w:rPr>
                <w:rFonts w:hint="eastAsia" w:ascii="仿宋" w:hAnsi="仿宋" w:eastAsia="仿宋" w:cs="Times New Roman"/>
                <w:sz w:val="20"/>
                <w:szCs w:val="20"/>
                <w:lang w:val="en-US" w:eastAsia="zh-CN"/>
              </w:rPr>
              <w:t>2</w:t>
            </w:r>
            <w:r>
              <w:rPr>
                <w:rFonts w:ascii="仿宋" w:hAnsi="仿宋" w:eastAsia="仿宋" w:cs="Times New Roman"/>
                <w:sz w:val="20"/>
                <w:szCs w:val="20"/>
              </w:rPr>
              <w:t>%</w:t>
            </w:r>
          </w:p>
        </w:tc>
        <w:tc>
          <w:tcPr>
            <w:tcW w:w="650" w:type="pct"/>
            <w:vAlign w:val="center"/>
          </w:tcPr>
          <w:p>
            <w:pPr>
              <w:widowControl/>
              <w:spacing w:line="260" w:lineRule="exact"/>
              <w:jc w:val="left"/>
              <w:rPr>
                <w:rFonts w:ascii="仿宋" w:hAnsi="仿宋" w:eastAsia="仿宋" w:cs="Times New Roman"/>
                <w:color w:val="000000"/>
                <w:sz w:val="20"/>
                <w:szCs w:val="20"/>
              </w:rPr>
            </w:pPr>
            <w:r>
              <w:rPr>
                <w:rFonts w:hint="eastAsia" w:ascii="仿宋" w:hAnsi="仿宋" w:eastAsia="仿宋" w:cs="Times New Roman"/>
                <w:sz w:val="20"/>
                <w:szCs w:val="20"/>
              </w:rPr>
              <w:t>≥</w:t>
            </w:r>
            <w:r>
              <w:rPr>
                <w:rFonts w:hint="eastAsia" w:ascii="仿宋" w:hAnsi="仿宋" w:eastAsia="仿宋" w:cs="Times New Roman"/>
                <w:sz w:val="20"/>
                <w:szCs w:val="20"/>
                <w:lang w:val="en-US" w:eastAsia="zh-CN"/>
              </w:rPr>
              <w:t>1.6%</w:t>
            </w:r>
            <w:r>
              <w:rPr>
                <w:rFonts w:ascii="仿宋" w:hAnsi="仿宋" w:eastAsia="仿宋" w:cs="Times New Roman"/>
                <w:color w:val="000000"/>
                <w:sz w:val="20"/>
                <w:szCs w:val="20"/>
              </w:rPr>
              <w:t>　</w:t>
            </w:r>
          </w:p>
        </w:tc>
        <w:tc>
          <w:tcPr>
            <w:tcW w:w="347" w:type="pct"/>
            <w:vAlign w:val="center"/>
          </w:tcPr>
          <w:p>
            <w:pPr>
              <w:widowControl/>
              <w:spacing w:line="260" w:lineRule="exact"/>
              <w:jc w:val="left"/>
              <w:rPr>
                <w:rFonts w:hint="eastAsia" w:ascii="仿宋" w:hAnsi="仿宋" w:eastAsia="仿宋" w:cs="Times New Roman"/>
                <w:color w:val="000000"/>
                <w:sz w:val="20"/>
                <w:szCs w:val="20"/>
                <w:lang w:eastAsia="zh-CN"/>
              </w:rPr>
            </w:pPr>
            <w:r>
              <w:rPr>
                <w:rFonts w:hint="eastAsia" w:ascii="仿宋" w:hAnsi="仿宋" w:eastAsia="仿宋" w:cs="Times New Roman"/>
                <w:color w:val="000000"/>
                <w:sz w:val="20"/>
                <w:szCs w:val="20"/>
                <w:lang w:val="en-US" w:eastAsia="zh-CN"/>
              </w:rPr>
              <w:t>5</w:t>
            </w:r>
          </w:p>
        </w:tc>
        <w:tc>
          <w:tcPr>
            <w:tcW w:w="405" w:type="pct"/>
            <w:vAlign w:val="center"/>
          </w:tcPr>
          <w:p>
            <w:pPr>
              <w:widowControl/>
              <w:spacing w:line="260" w:lineRule="exact"/>
              <w:jc w:val="left"/>
              <w:rPr>
                <w:rFonts w:hint="eastAsia" w:ascii="仿宋" w:hAnsi="仿宋" w:eastAsia="仿宋" w:cs="Times New Roman"/>
                <w:color w:val="000000"/>
                <w:sz w:val="20"/>
                <w:szCs w:val="20"/>
                <w:lang w:eastAsia="zh-CN"/>
              </w:rPr>
            </w:pPr>
            <w:r>
              <w:rPr>
                <w:rFonts w:hint="eastAsia" w:ascii="仿宋" w:hAnsi="仿宋" w:eastAsia="仿宋" w:cs="Times New Roman"/>
                <w:color w:val="000000"/>
                <w:sz w:val="20"/>
                <w:szCs w:val="20"/>
                <w:lang w:val="en-US" w:eastAsia="zh-CN"/>
              </w:rPr>
              <w:t>4</w:t>
            </w:r>
          </w:p>
        </w:tc>
        <w:tc>
          <w:tcPr>
            <w:tcW w:w="776"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7" w:type="pct"/>
            <w:vMerge w:val="continue"/>
            <w:textDirection w:val="tbRlV"/>
            <w:vAlign w:val="center"/>
          </w:tcPr>
          <w:p>
            <w:pPr>
              <w:jc w:val="center"/>
              <w:rPr>
                <w:rFonts w:asciiTheme="minorEastAsia" w:hAnsiTheme="minorEastAsia" w:eastAsiaTheme="minorEastAsia" w:cstheme="minorEastAsia"/>
                <w:szCs w:val="21"/>
              </w:rPr>
            </w:pPr>
          </w:p>
        </w:tc>
        <w:tc>
          <w:tcPr>
            <w:tcW w:w="521" w:type="pct"/>
            <w:vMerge w:val="continue"/>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p>
        </w:tc>
        <w:tc>
          <w:tcPr>
            <w:tcW w:w="650" w:type="pct"/>
            <w:tcBorders>
              <w:left w:val="single" w:color="auto" w:sz="4" w:space="0"/>
              <w:bottom w:val="nil"/>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可持续</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影响</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tc>
        <w:tc>
          <w:tcPr>
            <w:tcW w:w="549" w:type="pct"/>
            <w:vAlign w:val="center"/>
          </w:tcPr>
          <w:p>
            <w:pPr>
              <w:widowControl/>
              <w:spacing w:line="260" w:lineRule="exact"/>
              <w:jc w:val="left"/>
              <w:rPr>
                <w:rFonts w:asciiTheme="minorEastAsia" w:hAnsiTheme="minorEastAsia" w:eastAsiaTheme="minorEastAsia" w:cstheme="minorEastAsia"/>
                <w:szCs w:val="21"/>
              </w:rPr>
            </w:pPr>
            <w:r>
              <w:rPr>
                <w:rFonts w:hint="eastAsia" w:ascii="仿宋" w:hAnsi="仿宋" w:eastAsia="仿宋" w:cs="Times New Roman"/>
                <w:bCs/>
                <w:color w:val="000000" w:themeColor="text1"/>
                <w:spacing w:val="-4"/>
                <w:sz w:val="20"/>
                <w:szCs w:val="20"/>
                <w14:textFill>
                  <w14:solidFill>
                    <w14:schemeClr w14:val="tx1"/>
                  </w14:solidFill>
                </w14:textFill>
              </w:rPr>
              <w:t>全县畜禽粪污资源综合利用</w:t>
            </w:r>
          </w:p>
        </w:tc>
        <w:tc>
          <w:tcPr>
            <w:tcW w:w="571" w:type="pct"/>
            <w:vAlign w:val="center"/>
          </w:tcPr>
          <w:p>
            <w:pPr>
              <w:widowControl/>
              <w:spacing w:line="260" w:lineRule="exact"/>
              <w:jc w:val="left"/>
              <w:rPr>
                <w:rFonts w:asciiTheme="minorEastAsia" w:hAnsiTheme="minorEastAsia" w:eastAsiaTheme="minorEastAsia" w:cstheme="minorEastAsia"/>
                <w:szCs w:val="21"/>
              </w:rPr>
            </w:pPr>
            <w:r>
              <w:rPr>
                <w:rFonts w:hint="eastAsia" w:ascii="仿宋" w:hAnsi="仿宋" w:eastAsia="仿宋" w:cs="Times New Roman"/>
                <w:color w:val="000000" w:themeColor="text1"/>
                <w:sz w:val="20"/>
                <w:szCs w:val="20"/>
                <w14:textFill>
                  <w14:solidFill>
                    <w14:schemeClr w14:val="tx1"/>
                  </w14:solidFill>
                </w14:textFill>
              </w:rPr>
              <w:t>节肥增收达到预期效果</w:t>
            </w:r>
            <w:r>
              <w:rPr>
                <w:rFonts w:ascii="仿宋" w:hAnsi="仿宋" w:eastAsia="仿宋" w:cs="Times New Roman"/>
                <w:color w:val="000000"/>
                <w:sz w:val="20"/>
                <w:szCs w:val="20"/>
              </w:rPr>
              <w:t>　</w:t>
            </w:r>
          </w:p>
        </w:tc>
        <w:tc>
          <w:tcPr>
            <w:tcW w:w="650" w:type="pct"/>
            <w:vAlign w:val="center"/>
          </w:tcPr>
          <w:p>
            <w:pPr>
              <w:widowControl/>
              <w:spacing w:line="260" w:lineRule="exact"/>
              <w:jc w:val="left"/>
              <w:rPr>
                <w:rFonts w:asciiTheme="minorEastAsia" w:hAnsiTheme="minorEastAsia" w:eastAsiaTheme="minorEastAsia" w:cstheme="minorEastAsia"/>
                <w:szCs w:val="21"/>
              </w:rPr>
            </w:pPr>
            <w:r>
              <w:rPr>
                <w:rFonts w:ascii="仿宋" w:hAnsi="仿宋" w:eastAsia="仿宋" w:cs="Times New Roman"/>
                <w:color w:val="000000"/>
                <w:sz w:val="20"/>
                <w:szCs w:val="20"/>
              </w:rPr>
              <w:t>　</w:t>
            </w:r>
            <w:r>
              <w:rPr>
                <w:rFonts w:hint="eastAsia" w:ascii="仿宋" w:hAnsi="仿宋" w:eastAsia="仿宋" w:cs="Times New Roman"/>
                <w:color w:val="000000" w:themeColor="text1"/>
                <w:sz w:val="20"/>
                <w:szCs w:val="20"/>
                <w14:textFill>
                  <w14:solidFill>
                    <w14:schemeClr w14:val="tx1"/>
                  </w14:solidFill>
                </w14:textFill>
              </w:rPr>
              <w:t>节肥增收达到预期效果</w:t>
            </w:r>
            <w:r>
              <w:rPr>
                <w:rFonts w:ascii="仿宋" w:hAnsi="仿宋" w:eastAsia="仿宋" w:cs="Times New Roman"/>
                <w:color w:val="000000"/>
                <w:sz w:val="20"/>
                <w:szCs w:val="20"/>
              </w:rPr>
              <w:t>　</w:t>
            </w:r>
          </w:p>
        </w:tc>
        <w:tc>
          <w:tcPr>
            <w:tcW w:w="347" w:type="pct"/>
            <w:vAlign w:val="center"/>
          </w:tcPr>
          <w:p>
            <w:pPr>
              <w:widowControl/>
              <w:spacing w:line="260" w:lineRule="exact"/>
              <w:jc w:val="left"/>
              <w:rPr>
                <w:rFonts w:hint="eastAsia" w:asciiTheme="minorEastAsia" w:hAnsiTheme="minorEastAsia" w:eastAsiaTheme="minorEastAsia" w:cstheme="minorEastAsia"/>
                <w:szCs w:val="21"/>
                <w:lang w:eastAsia="zh-CN"/>
              </w:rPr>
            </w:pPr>
            <w:r>
              <w:rPr>
                <w:rFonts w:hint="eastAsia" w:ascii="仿宋" w:hAnsi="仿宋" w:eastAsia="仿宋" w:cs="Times New Roman"/>
                <w:color w:val="000000"/>
                <w:sz w:val="20"/>
                <w:szCs w:val="20"/>
                <w:lang w:val="en-US" w:eastAsia="zh-CN"/>
              </w:rPr>
              <w:t>5</w:t>
            </w:r>
          </w:p>
        </w:tc>
        <w:tc>
          <w:tcPr>
            <w:tcW w:w="405" w:type="pct"/>
            <w:vAlign w:val="center"/>
          </w:tcPr>
          <w:p>
            <w:pPr>
              <w:widowControl/>
              <w:spacing w:line="260" w:lineRule="exact"/>
              <w:jc w:val="left"/>
              <w:rPr>
                <w:rFonts w:hint="default" w:asciiTheme="minorEastAsia" w:hAnsiTheme="minorEastAsia" w:eastAsiaTheme="minorEastAsia" w:cstheme="minorEastAsia"/>
                <w:szCs w:val="21"/>
                <w:lang w:val="en-US" w:eastAsia="zh-CN"/>
              </w:rPr>
            </w:pPr>
            <w:r>
              <w:rPr>
                <w:rFonts w:hint="eastAsia" w:ascii="仿宋" w:hAnsi="仿宋" w:eastAsia="仿宋" w:cs="Times New Roman"/>
                <w:color w:val="000000"/>
                <w:sz w:val="20"/>
                <w:szCs w:val="20"/>
                <w:lang w:val="en-US" w:eastAsia="zh-CN"/>
              </w:rPr>
              <w:t>3.7</w:t>
            </w:r>
          </w:p>
        </w:tc>
        <w:tc>
          <w:tcPr>
            <w:tcW w:w="776"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7" w:type="pct"/>
            <w:vMerge w:val="continue"/>
            <w:textDirection w:val="tbRlV"/>
            <w:vAlign w:val="center"/>
          </w:tcPr>
          <w:p>
            <w:pPr>
              <w:jc w:val="center"/>
              <w:rPr>
                <w:rFonts w:asciiTheme="minorEastAsia" w:hAnsiTheme="minorEastAsia" w:eastAsiaTheme="minorEastAsia" w:cstheme="minorEastAsia"/>
                <w:szCs w:val="21"/>
              </w:rPr>
            </w:pPr>
          </w:p>
        </w:tc>
        <w:tc>
          <w:tcPr>
            <w:tcW w:w="521" w:type="pct"/>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满意度</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（10分）</w:t>
            </w:r>
          </w:p>
        </w:tc>
        <w:tc>
          <w:tcPr>
            <w:tcW w:w="650" w:type="pct"/>
            <w:tcBorders>
              <w:left w:val="single" w:color="auto" w:sz="4" w:space="0"/>
              <w:bottom w:val="nil"/>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服务对象</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满意度</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tc>
        <w:tc>
          <w:tcPr>
            <w:tcW w:w="549" w:type="pct"/>
            <w:vAlign w:val="center"/>
          </w:tcPr>
          <w:p>
            <w:pPr>
              <w:jc w:val="center"/>
              <w:rPr>
                <w:rFonts w:ascii="仿宋" w:hAnsi="仿宋" w:eastAsia="仿宋" w:cs="宋体"/>
                <w:sz w:val="20"/>
                <w:szCs w:val="20"/>
              </w:rPr>
            </w:pPr>
            <w:r>
              <w:rPr>
                <w:rFonts w:hint="eastAsia" w:ascii="仿宋" w:hAnsi="仿宋" w:eastAsia="仿宋" w:cs="Times New Roman"/>
                <w:sz w:val="20"/>
                <w:szCs w:val="20"/>
              </w:rPr>
              <w:t>受益群众满意率</w:t>
            </w:r>
          </w:p>
        </w:tc>
        <w:tc>
          <w:tcPr>
            <w:tcW w:w="571" w:type="pct"/>
            <w:vAlign w:val="center"/>
          </w:tcPr>
          <w:p>
            <w:pPr>
              <w:jc w:val="center"/>
              <w:rPr>
                <w:rFonts w:ascii="仿宋" w:hAnsi="仿宋" w:eastAsia="仿宋" w:cs="宋体"/>
                <w:sz w:val="20"/>
                <w:szCs w:val="20"/>
              </w:rPr>
            </w:pPr>
            <w:r>
              <w:rPr>
                <w:rFonts w:hint="eastAsia" w:ascii="仿宋" w:hAnsi="仿宋" w:eastAsia="仿宋" w:cs="Times New Roman"/>
                <w:sz w:val="20"/>
                <w:szCs w:val="20"/>
              </w:rPr>
              <w:t>≥</w:t>
            </w:r>
            <w:r>
              <w:rPr>
                <w:rFonts w:hint="eastAsia" w:ascii="仿宋" w:hAnsi="仿宋" w:eastAsia="仿宋" w:cs="Times New Roman"/>
                <w:sz w:val="20"/>
                <w:szCs w:val="20"/>
                <w:lang w:val="en-US" w:eastAsia="zh-CN"/>
              </w:rPr>
              <w:t>95</w:t>
            </w:r>
            <w:r>
              <w:rPr>
                <w:rFonts w:ascii="仿宋" w:hAnsi="仿宋" w:eastAsia="仿宋" w:cs="Times New Roman"/>
                <w:sz w:val="20"/>
                <w:szCs w:val="20"/>
              </w:rPr>
              <w:t>%</w:t>
            </w:r>
          </w:p>
        </w:tc>
        <w:tc>
          <w:tcPr>
            <w:tcW w:w="650" w:type="pct"/>
            <w:vAlign w:val="center"/>
          </w:tcPr>
          <w:p>
            <w:pPr>
              <w:jc w:val="center"/>
              <w:rPr>
                <w:rFonts w:ascii="仿宋" w:hAnsi="仿宋" w:eastAsia="仿宋" w:cs="Times New Roman"/>
                <w:sz w:val="20"/>
                <w:szCs w:val="20"/>
              </w:rPr>
            </w:pPr>
            <w:r>
              <w:rPr>
                <w:rFonts w:hint="eastAsia" w:ascii="仿宋" w:hAnsi="仿宋" w:eastAsia="仿宋" w:cs="Times New Roman"/>
                <w:sz w:val="20"/>
                <w:szCs w:val="20"/>
              </w:rPr>
              <w:t>98</w:t>
            </w:r>
            <w:r>
              <w:rPr>
                <w:rFonts w:ascii="仿宋" w:hAnsi="仿宋" w:eastAsia="仿宋" w:cs="Times New Roman"/>
                <w:sz w:val="20"/>
                <w:szCs w:val="20"/>
              </w:rPr>
              <w:t>%</w:t>
            </w:r>
          </w:p>
        </w:tc>
        <w:tc>
          <w:tcPr>
            <w:tcW w:w="347" w:type="pct"/>
            <w:vAlign w:val="center"/>
          </w:tcPr>
          <w:p>
            <w:pPr>
              <w:widowControl/>
              <w:spacing w:line="260" w:lineRule="exact"/>
              <w:jc w:val="left"/>
              <w:rPr>
                <w:rFonts w:ascii="仿宋" w:hAnsi="仿宋" w:eastAsia="仿宋" w:cs="Times New Roman"/>
                <w:color w:val="000000"/>
                <w:sz w:val="20"/>
                <w:szCs w:val="20"/>
              </w:rPr>
            </w:pPr>
            <w:r>
              <w:rPr>
                <w:rFonts w:ascii="仿宋" w:hAnsi="仿宋" w:eastAsia="仿宋" w:cs="Times New Roman"/>
                <w:color w:val="000000"/>
                <w:sz w:val="20"/>
                <w:szCs w:val="20"/>
              </w:rPr>
              <w:t>　</w:t>
            </w:r>
            <w:r>
              <w:rPr>
                <w:rFonts w:hint="eastAsia" w:ascii="仿宋" w:hAnsi="仿宋" w:eastAsia="仿宋" w:cs="Times New Roman"/>
                <w:color w:val="000000"/>
                <w:sz w:val="20"/>
                <w:szCs w:val="20"/>
              </w:rPr>
              <w:t>10</w:t>
            </w:r>
          </w:p>
        </w:tc>
        <w:tc>
          <w:tcPr>
            <w:tcW w:w="405" w:type="pct"/>
            <w:vAlign w:val="center"/>
          </w:tcPr>
          <w:p>
            <w:pPr>
              <w:widowControl/>
              <w:spacing w:line="260" w:lineRule="exact"/>
              <w:jc w:val="left"/>
              <w:rPr>
                <w:rFonts w:hint="default" w:ascii="仿宋" w:hAnsi="仿宋" w:eastAsia="仿宋" w:cs="Times New Roman"/>
                <w:color w:val="000000"/>
                <w:sz w:val="20"/>
                <w:szCs w:val="20"/>
                <w:lang w:val="en-US" w:eastAsia="zh-CN"/>
              </w:rPr>
            </w:pPr>
            <w:r>
              <w:rPr>
                <w:rFonts w:ascii="仿宋" w:hAnsi="仿宋" w:eastAsia="仿宋" w:cs="Times New Roman"/>
                <w:color w:val="000000"/>
                <w:sz w:val="20"/>
                <w:szCs w:val="20"/>
              </w:rPr>
              <w:t>　</w:t>
            </w:r>
            <w:r>
              <w:rPr>
                <w:rFonts w:hint="eastAsia" w:ascii="仿宋" w:hAnsi="仿宋" w:eastAsia="仿宋" w:cs="Times New Roman"/>
                <w:color w:val="000000"/>
                <w:sz w:val="20"/>
                <w:szCs w:val="20"/>
                <w:lang w:val="en-US" w:eastAsia="zh-CN"/>
              </w:rPr>
              <w:t>10</w:t>
            </w:r>
          </w:p>
        </w:tc>
        <w:tc>
          <w:tcPr>
            <w:tcW w:w="776"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7" w:type="pct"/>
            <w:vMerge w:val="continue"/>
            <w:textDirection w:val="tbRlV"/>
            <w:vAlign w:val="center"/>
          </w:tcPr>
          <w:p>
            <w:pPr>
              <w:jc w:val="center"/>
              <w:rPr>
                <w:rFonts w:asciiTheme="minorEastAsia" w:hAnsiTheme="minorEastAsia" w:eastAsiaTheme="minorEastAsia" w:cstheme="minorEastAsia"/>
                <w:szCs w:val="21"/>
              </w:rPr>
            </w:pPr>
          </w:p>
        </w:tc>
        <w:tc>
          <w:tcPr>
            <w:tcW w:w="521" w:type="pct"/>
            <w:vMerge w:val="restart"/>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成</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本</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标</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（20分）</w:t>
            </w:r>
          </w:p>
        </w:tc>
        <w:tc>
          <w:tcPr>
            <w:tcW w:w="650" w:type="pct"/>
            <w:tcBorders>
              <w:top w:val="single" w:color="auto" w:sz="4" w:space="0"/>
              <w:left w:val="single" w:color="auto" w:sz="4" w:space="0"/>
              <w:right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经济</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成本</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tc>
        <w:tc>
          <w:tcPr>
            <w:tcW w:w="549" w:type="pct"/>
            <w:tcBorders>
              <w:left w:val="single" w:color="auto" w:sz="4" w:space="0"/>
            </w:tcBorders>
            <w:vAlign w:val="center"/>
          </w:tcPr>
          <w:p>
            <w:pPr>
              <w:widowControl/>
              <w:spacing w:line="260" w:lineRule="exact"/>
              <w:jc w:val="left"/>
              <w:rPr>
                <w:rFonts w:hint="default" w:ascii="仿宋" w:hAnsi="仿宋" w:eastAsia="仿宋" w:cs="Times New Roman"/>
                <w:color w:val="000000" w:themeColor="text1"/>
                <w:sz w:val="20"/>
                <w:szCs w:val="20"/>
                <w:lang w:val="en-US" w:eastAsia="zh-CN"/>
                <w14:textFill>
                  <w14:solidFill>
                    <w14:schemeClr w14:val="tx1"/>
                  </w14:solidFill>
                </w14:textFill>
              </w:rPr>
            </w:pPr>
            <w:r>
              <w:rPr>
                <w:rFonts w:hint="eastAsia" w:ascii="仿宋" w:hAnsi="仿宋" w:eastAsia="仿宋" w:cs="Times New Roman"/>
                <w:color w:val="000000" w:themeColor="text1"/>
                <w:sz w:val="20"/>
                <w:szCs w:val="20"/>
                <w:lang w:val="en-US" w:eastAsia="zh-CN"/>
                <w14:textFill>
                  <w14:solidFill>
                    <w14:schemeClr w14:val="tx1"/>
                  </w14:solidFill>
                </w14:textFill>
              </w:rPr>
              <w:t>绿色种养循环项目资金成本</w:t>
            </w:r>
          </w:p>
        </w:tc>
        <w:tc>
          <w:tcPr>
            <w:tcW w:w="571" w:type="pct"/>
            <w:vAlign w:val="center"/>
          </w:tcPr>
          <w:p>
            <w:pPr>
              <w:widowControl/>
              <w:spacing w:line="260" w:lineRule="exact"/>
              <w:jc w:val="left"/>
              <w:rPr>
                <w:rFonts w:hint="default" w:ascii="仿宋" w:hAnsi="仿宋" w:eastAsia="仿宋" w:cs="Times New Roman"/>
                <w:color w:val="000000" w:themeColor="text1"/>
                <w:sz w:val="20"/>
                <w:szCs w:val="20"/>
                <w:lang w:val="en-US" w:eastAsia="zh-CN"/>
                <w14:textFill>
                  <w14:solidFill>
                    <w14:schemeClr w14:val="tx1"/>
                  </w14:solidFill>
                </w14:textFill>
              </w:rPr>
            </w:pPr>
            <w:r>
              <w:rPr>
                <w:rFonts w:hint="eastAsia" w:ascii="仿宋" w:hAnsi="仿宋" w:eastAsia="仿宋" w:cs="Times New Roman"/>
                <w:color w:val="000000" w:themeColor="text1"/>
                <w:sz w:val="20"/>
                <w:szCs w:val="20"/>
                <w14:textFill>
                  <w14:solidFill>
                    <w14:schemeClr w14:val="tx1"/>
                  </w14:solidFill>
                </w14:textFill>
              </w:rPr>
              <w:t>≤</w:t>
            </w:r>
            <w:r>
              <w:rPr>
                <w:rFonts w:hint="eastAsia" w:ascii="仿宋" w:hAnsi="仿宋" w:eastAsia="仿宋" w:cs="Times New Roman"/>
                <w:color w:val="000000" w:themeColor="text1"/>
                <w:sz w:val="20"/>
                <w:szCs w:val="20"/>
                <w:lang w:val="en-US" w:eastAsia="zh-CN"/>
                <w14:textFill>
                  <w14:solidFill>
                    <w14:schemeClr w14:val="tx1"/>
                  </w14:solidFill>
                </w14:textFill>
              </w:rPr>
              <w:t>6662万</w:t>
            </w:r>
          </w:p>
        </w:tc>
        <w:tc>
          <w:tcPr>
            <w:tcW w:w="650" w:type="pct"/>
            <w:vAlign w:val="center"/>
          </w:tcPr>
          <w:p>
            <w:pPr>
              <w:widowControl/>
              <w:spacing w:line="260" w:lineRule="exact"/>
              <w:jc w:val="left"/>
              <w:rPr>
                <w:rFonts w:hint="eastAsia" w:ascii="仿宋" w:hAnsi="仿宋" w:eastAsia="仿宋" w:cs="Times New Roman"/>
                <w:color w:val="000000" w:themeColor="text1"/>
                <w:sz w:val="20"/>
                <w:szCs w:val="20"/>
                <w14:textFill>
                  <w14:solidFill>
                    <w14:schemeClr w14:val="tx1"/>
                  </w14:solidFill>
                </w14:textFill>
              </w:rPr>
            </w:pPr>
            <w:r>
              <w:rPr>
                <w:rFonts w:hint="eastAsia" w:ascii="仿宋" w:hAnsi="仿宋" w:eastAsia="仿宋" w:cs="Times New Roman"/>
                <w:color w:val="000000" w:themeColor="text1"/>
                <w:sz w:val="20"/>
                <w:szCs w:val="20"/>
                <w14:textFill>
                  <w14:solidFill>
                    <w14:schemeClr w14:val="tx1"/>
                  </w14:solidFill>
                </w14:textFill>
              </w:rPr>
              <w:t>　≤</w:t>
            </w:r>
            <w:r>
              <w:rPr>
                <w:rFonts w:hint="eastAsia" w:ascii="仿宋" w:hAnsi="仿宋" w:eastAsia="仿宋" w:cs="Times New Roman"/>
                <w:color w:val="000000" w:themeColor="text1"/>
                <w:sz w:val="20"/>
                <w:szCs w:val="20"/>
                <w:lang w:val="en-US" w:eastAsia="zh-CN"/>
                <w14:textFill>
                  <w14:solidFill>
                    <w14:schemeClr w14:val="tx1"/>
                  </w14:solidFill>
                </w14:textFill>
              </w:rPr>
              <w:t>6662万</w:t>
            </w:r>
          </w:p>
        </w:tc>
        <w:tc>
          <w:tcPr>
            <w:tcW w:w="347" w:type="pct"/>
            <w:vAlign w:val="center"/>
          </w:tcPr>
          <w:p>
            <w:pPr>
              <w:widowControl/>
              <w:spacing w:line="260" w:lineRule="exact"/>
              <w:jc w:val="left"/>
              <w:rPr>
                <w:rFonts w:hint="default" w:ascii="仿宋" w:hAnsi="仿宋" w:eastAsia="仿宋" w:cs="Times New Roman"/>
                <w:color w:val="000000" w:themeColor="text1"/>
                <w:sz w:val="20"/>
                <w:szCs w:val="20"/>
                <w:lang w:val="en-US" w:eastAsia="zh-CN"/>
                <w14:textFill>
                  <w14:solidFill>
                    <w14:schemeClr w14:val="tx1"/>
                  </w14:solidFill>
                </w14:textFill>
              </w:rPr>
            </w:pPr>
            <w:r>
              <w:rPr>
                <w:rFonts w:hint="eastAsia" w:ascii="仿宋" w:hAnsi="仿宋" w:eastAsia="仿宋" w:cs="Times New Roman"/>
                <w:color w:val="000000" w:themeColor="text1"/>
                <w:sz w:val="20"/>
                <w:szCs w:val="20"/>
                <w14:textFill>
                  <w14:solidFill>
                    <w14:schemeClr w14:val="tx1"/>
                  </w14:solidFill>
                </w14:textFill>
              </w:rPr>
              <w:t>　</w:t>
            </w:r>
            <w:r>
              <w:rPr>
                <w:rFonts w:hint="eastAsia" w:ascii="仿宋" w:hAnsi="仿宋" w:eastAsia="仿宋" w:cs="Times New Roman"/>
                <w:color w:val="000000" w:themeColor="text1"/>
                <w:sz w:val="20"/>
                <w:szCs w:val="20"/>
                <w:lang w:val="en-US" w:eastAsia="zh-CN"/>
                <w14:textFill>
                  <w14:solidFill>
                    <w14:schemeClr w14:val="tx1"/>
                  </w14:solidFill>
                </w14:textFill>
              </w:rPr>
              <w:t>10</w:t>
            </w:r>
          </w:p>
        </w:tc>
        <w:tc>
          <w:tcPr>
            <w:tcW w:w="405" w:type="pct"/>
            <w:vAlign w:val="center"/>
          </w:tcPr>
          <w:p>
            <w:pPr>
              <w:widowControl/>
              <w:spacing w:line="260" w:lineRule="exact"/>
              <w:jc w:val="left"/>
              <w:rPr>
                <w:rFonts w:hint="default" w:ascii="仿宋" w:hAnsi="仿宋" w:eastAsia="仿宋" w:cs="Times New Roman"/>
                <w:color w:val="000000" w:themeColor="text1"/>
                <w:sz w:val="20"/>
                <w:szCs w:val="20"/>
                <w:lang w:val="en-US" w:eastAsia="zh-CN"/>
                <w14:textFill>
                  <w14:solidFill>
                    <w14:schemeClr w14:val="tx1"/>
                  </w14:solidFill>
                </w14:textFill>
              </w:rPr>
            </w:pPr>
            <w:r>
              <w:rPr>
                <w:rFonts w:hint="eastAsia" w:ascii="仿宋" w:hAnsi="仿宋" w:eastAsia="仿宋" w:cs="Times New Roman"/>
                <w:color w:val="000000" w:themeColor="text1"/>
                <w:sz w:val="20"/>
                <w:szCs w:val="20"/>
                <w14:textFill>
                  <w14:solidFill>
                    <w14:schemeClr w14:val="tx1"/>
                  </w14:solidFill>
                </w14:textFill>
              </w:rPr>
              <w:t>　</w:t>
            </w:r>
            <w:r>
              <w:rPr>
                <w:rFonts w:hint="eastAsia" w:ascii="仿宋" w:hAnsi="仿宋" w:eastAsia="仿宋" w:cs="Times New Roman"/>
                <w:color w:val="000000" w:themeColor="text1"/>
                <w:sz w:val="20"/>
                <w:szCs w:val="20"/>
                <w:lang w:val="en-US" w:eastAsia="zh-CN"/>
                <w14:textFill>
                  <w14:solidFill>
                    <w14:schemeClr w14:val="tx1"/>
                  </w14:solidFill>
                </w14:textFill>
              </w:rPr>
              <w:t>10</w:t>
            </w:r>
          </w:p>
        </w:tc>
        <w:tc>
          <w:tcPr>
            <w:tcW w:w="776"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7" w:type="pct"/>
            <w:vMerge w:val="continue"/>
            <w:textDirection w:val="tbRlV"/>
            <w:vAlign w:val="center"/>
          </w:tcPr>
          <w:p>
            <w:pPr>
              <w:jc w:val="center"/>
              <w:rPr>
                <w:rFonts w:asciiTheme="minorEastAsia" w:hAnsiTheme="minorEastAsia" w:eastAsiaTheme="minorEastAsia" w:cstheme="minorEastAsia"/>
                <w:szCs w:val="21"/>
              </w:rPr>
            </w:pPr>
          </w:p>
        </w:tc>
        <w:tc>
          <w:tcPr>
            <w:tcW w:w="521" w:type="pct"/>
            <w:vMerge w:val="continue"/>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p>
        </w:tc>
        <w:tc>
          <w:tcPr>
            <w:tcW w:w="650" w:type="pct"/>
            <w:vMerge w:val="restart"/>
            <w:tcBorders>
              <w:top w:val="single" w:color="auto" w:sz="4" w:space="0"/>
              <w:left w:val="single" w:color="auto" w:sz="4" w:space="0"/>
              <w:right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社会</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成本</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tc>
        <w:tc>
          <w:tcPr>
            <w:tcW w:w="549" w:type="pct"/>
            <w:tcBorders>
              <w:left w:val="single" w:color="auto" w:sz="4" w:space="0"/>
            </w:tcBorders>
            <w:vAlign w:val="center"/>
          </w:tcPr>
          <w:p>
            <w:pPr>
              <w:widowControl/>
              <w:spacing w:line="260" w:lineRule="exact"/>
              <w:jc w:val="left"/>
              <w:rPr>
                <w:rFonts w:hint="eastAsia" w:ascii="仿宋" w:hAnsi="仿宋" w:eastAsia="仿宋" w:cs="Times New Roman"/>
                <w:color w:val="000000" w:themeColor="text1"/>
                <w:sz w:val="20"/>
                <w:szCs w:val="20"/>
                <w14:textFill>
                  <w14:solidFill>
                    <w14:schemeClr w14:val="tx1"/>
                  </w14:solidFill>
                </w14:textFill>
              </w:rPr>
            </w:pPr>
          </w:p>
        </w:tc>
        <w:tc>
          <w:tcPr>
            <w:tcW w:w="571" w:type="pct"/>
            <w:vAlign w:val="center"/>
          </w:tcPr>
          <w:p>
            <w:pPr>
              <w:widowControl/>
              <w:spacing w:line="260" w:lineRule="exact"/>
              <w:jc w:val="left"/>
              <w:rPr>
                <w:rFonts w:hint="eastAsia" w:ascii="仿宋" w:hAnsi="仿宋" w:eastAsia="仿宋" w:cs="Times New Roman"/>
                <w:color w:val="000000" w:themeColor="text1"/>
                <w:sz w:val="20"/>
                <w:szCs w:val="20"/>
                <w14:textFill>
                  <w14:solidFill>
                    <w14:schemeClr w14:val="tx1"/>
                  </w14:solidFill>
                </w14:textFill>
              </w:rPr>
            </w:pPr>
          </w:p>
        </w:tc>
        <w:tc>
          <w:tcPr>
            <w:tcW w:w="650" w:type="pct"/>
            <w:vAlign w:val="center"/>
          </w:tcPr>
          <w:p>
            <w:pPr>
              <w:widowControl/>
              <w:spacing w:line="260" w:lineRule="exact"/>
              <w:jc w:val="left"/>
              <w:rPr>
                <w:rFonts w:hint="eastAsia" w:ascii="仿宋" w:hAnsi="仿宋" w:eastAsia="仿宋" w:cs="Times New Roman"/>
                <w:color w:val="000000" w:themeColor="text1"/>
                <w:sz w:val="20"/>
                <w:szCs w:val="20"/>
                <w14:textFill>
                  <w14:solidFill>
                    <w14:schemeClr w14:val="tx1"/>
                  </w14:solidFill>
                </w14:textFill>
              </w:rPr>
            </w:pPr>
          </w:p>
        </w:tc>
        <w:tc>
          <w:tcPr>
            <w:tcW w:w="347" w:type="pct"/>
            <w:vAlign w:val="center"/>
          </w:tcPr>
          <w:p>
            <w:pPr>
              <w:widowControl/>
              <w:spacing w:line="260" w:lineRule="exact"/>
              <w:jc w:val="left"/>
              <w:rPr>
                <w:rFonts w:hint="eastAsia" w:ascii="仿宋" w:hAnsi="仿宋" w:eastAsia="仿宋" w:cs="Times New Roman"/>
                <w:color w:val="000000" w:themeColor="text1"/>
                <w:sz w:val="20"/>
                <w:szCs w:val="20"/>
                <w14:textFill>
                  <w14:solidFill>
                    <w14:schemeClr w14:val="tx1"/>
                  </w14:solidFill>
                </w14:textFill>
              </w:rPr>
            </w:pPr>
          </w:p>
        </w:tc>
        <w:tc>
          <w:tcPr>
            <w:tcW w:w="405" w:type="pct"/>
            <w:vAlign w:val="center"/>
          </w:tcPr>
          <w:p>
            <w:pPr>
              <w:widowControl/>
              <w:spacing w:line="260" w:lineRule="exact"/>
              <w:jc w:val="left"/>
              <w:rPr>
                <w:rFonts w:hint="eastAsia" w:ascii="仿宋" w:hAnsi="仿宋" w:eastAsia="仿宋" w:cs="Times New Roman"/>
                <w:color w:val="000000" w:themeColor="text1"/>
                <w:sz w:val="20"/>
                <w:szCs w:val="20"/>
                <w14:textFill>
                  <w14:solidFill>
                    <w14:schemeClr w14:val="tx1"/>
                  </w14:solidFill>
                </w14:textFill>
              </w:rPr>
            </w:pPr>
          </w:p>
        </w:tc>
        <w:tc>
          <w:tcPr>
            <w:tcW w:w="776"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7" w:type="pct"/>
            <w:vMerge w:val="continue"/>
            <w:textDirection w:val="tbRlV"/>
            <w:vAlign w:val="center"/>
          </w:tcPr>
          <w:p>
            <w:pPr>
              <w:jc w:val="center"/>
              <w:rPr>
                <w:rFonts w:asciiTheme="minorEastAsia" w:hAnsiTheme="minorEastAsia" w:eastAsiaTheme="minorEastAsia" w:cstheme="minorEastAsia"/>
                <w:szCs w:val="21"/>
              </w:rPr>
            </w:pPr>
          </w:p>
        </w:tc>
        <w:tc>
          <w:tcPr>
            <w:tcW w:w="521" w:type="pct"/>
            <w:vMerge w:val="continue"/>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p>
        </w:tc>
        <w:tc>
          <w:tcPr>
            <w:tcW w:w="650" w:type="pct"/>
            <w:vMerge w:val="continue"/>
            <w:tcBorders>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p>
        </w:tc>
        <w:tc>
          <w:tcPr>
            <w:tcW w:w="549" w:type="pct"/>
            <w:tcBorders>
              <w:left w:val="single" w:color="auto" w:sz="4" w:space="0"/>
            </w:tcBorders>
            <w:vAlign w:val="center"/>
          </w:tcPr>
          <w:p>
            <w:pPr>
              <w:widowControl/>
              <w:spacing w:line="260" w:lineRule="exact"/>
              <w:jc w:val="left"/>
              <w:rPr>
                <w:rFonts w:hint="eastAsia" w:ascii="仿宋" w:hAnsi="仿宋" w:eastAsia="仿宋" w:cs="Times New Roman"/>
                <w:color w:val="000000" w:themeColor="text1"/>
                <w:sz w:val="20"/>
                <w:szCs w:val="20"/>
                <w14:textFill>
                  <w14:solidFill>
                    <w14:schemeClr w14:val="tx1"/>
                  </w14:solidFill>
                </w14:textFill>
              </w:rPr>
            </w:pPr>
            <w:r>
              <w:rPr>
                <w:rFonts w:hint="eastAsia" w:ascii="仿宋" w:hAnsi="仿宋" w:eastAsia="仿宋" w:cs="Times New Roman"/>
                <w:color w:val="000000" w:themeColor="text1"/>
                <w:sz w:val="20"/>
                <w:szCs w:val="20"/>
                <w14:textFill>
                  <w14:solidFill>
                    <w14:schemeClr w14:val="tx1"/>
                  </w14:solidFill>
                </w14:textFill>
              </w:rPr>
              <w:t>……</w:t>
            </w:r>
          </w:p>
        </w:tc>
        <w:tc>
          <w:tcPr>
            <w:tcW w:w="571" w:type="pct"/>
            <w:vAlign w:val="center"/>
          </w:tcPr>
          <w:p>
            <w:pPr>
              <w:widowControl/>
              <w:spacing w:line="260" w:lineRule="exact"/>
              <w:jc w:val="left"/>
              <w:rPr>
                <w:rFonts w:hint="eastAsia" w:ascii="仿宋" w:hAnsi="仿宋" w:eastAsia="仿宋" w:cs="Times New Roman"/>
                <w:color w:val="000000" w:themeColor="text1"/>
                <w:sz w:val="20"/>
                <w:szCs w:val="20"/>
                <w14:textFill>
                  <w14:solidFill>
                    <w14:schemeClr w14:val="tx1"/>
                  </w14:solidFill>
                </w14:textFill>
              </w:rPr>
            </w:pPr>
          </w:p>
        </w:tc>
        <w:tc>
          <w:tcPr>
            <w:tcW w:w="650" w:type="pct"/>
            <w:vAlign w:val="center"/>
          </w:tcPr>
          <w:p>
            <w:pPr>
              <w:widowControl/>
              <w:spacing w:line="260" w:lineRule="exact"/>
              <w:jc w:val="left"/>
              <w:rPr>
                <w:rFonts w:hint="eastAsia" w:ascii="仿宋" w:hAnsi="仿宋" w:eastAsia="仿宋" w:cs="Times New Roman"/>
                <w:color w:val="000000" w:themeColor="text1"/>
                <w:sz w:val="20"/>
                <w:szCs w:val="20"/>
                <w14:textFill>
                  <w14:solidFill>
                    <w14:schemeClr w14:val="tx1"/>
                  </w14:solidFill>
                </w14:textFill>
              </w:rPr>
            </w:pPr>
          </w:p>
        </w:tc>
        <w:tc>
          <w:tcPr>
            <w:tcW w:w="347" w:type="pct"/>
            <w:vAlign w:val="center"/>
          </w:tcPr>
          <w:p>
            <w:pPr>
              <w:widowControl/>
              <w:spacing w:line="260" w:lineRule="exact"/>
              <w:jc w:val="left"/>
              <w:rPr>
                <w:rFonts w:hint="eastAsia" w:ascii="仿宋" w:hAnsi="仿宋" w:eastAsia="仿宋" w:cs="Times New Roman"/>
                <w:color w:val="000000" w:themeColor="text1"/>
                <w:sz w:val="20"/>
                <w:szCs w:val="20"/>
                <w14:textFill>
                  <w14:solidFill>
                    <w14:schemeClr w14:val="tx1"/>
                  </w14:solidFill>
                </w14:textFill>
              </w:rPr>
            </w:pPr>
          </w:p>
        </w:tc>
        <w:tc>
          <w:tcPr>
            <w:tcW w:w="405" w:type="pct"/>
            <w:vAlign w:val="center"/>
          </w:tcPr>
          <w:p>
            <w:pPr>
              <w:widowControl/>
              <w:spacing w:line="260" w:lineRule="exact"/>
              <w:jc w:val="left"/>
              <w:rPr>
                <w:rFonts w:hint="eastAsia" w:ascii="仿宋" w:hAnsi="仿宋" w:eastAsia="仿宋" w:cs="Times New Roman"/>
                <w:color w:val="000000" w:themeColor="text1"/>
                <w:sz w:val="20"/>
                <w:szCs w:val="20"/>
                <w14:textFill>
                  <w14:solidFill>
                    <w14:schemeClr w14:val="tx1"/>
                  </w14:solidFill>
                </w14:textFill>
              </w:rPr>
            </w:pPr>
          </w:p>
        </w:tc>
        <w:tc>
          <w:tcPr>
            <w:tcW w:w="776"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7" w:type="pct"/>
            <w:vMerge w:val="continue"/>
            <w:textDirection w:val="tbRlV"/>
            <w:vAlign w:val="center"/>
          </w:tcPr>
          <w:p>
            <w:pPr>
              <w:jc w:val="center"/>
              <w:rPr>
                <w:rFonts w:asciiTheme="minorEastAsia" w:hAnsiTheme="minorEastAsia" w:eastAsiaTheme="minorEastAsia" w:cstheme="minorEastAsia"/>
                <w:szCs w:val="21"/>
              </w:rPr>
            </w:pPr>
          </w:p>
        </w:tc>
        <w:tc>
          <w:tcPr>
            <w:tcW w:w="521" w:type="pct"/>
            <w:vMerge w:val="continue"/>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p>
        </w:tc>
        <w:tc>
          <w:tcPr>
            <w:tcW w:w="650" w:type="pct"/>
            <w:vMerge w:val="restart"/>
            <w:tcBorders>
              <w:top w:val="single" w:color="auto" w:sz="4" w:space="0"/>
              <w:left w:val="single" w:color="auto" w:sz="4" w:space="0"/>
              <w:right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生态</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环境</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成本</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tc>
        <w:tc>
          <w:tcPr>
            <w:tcW w:w="549" w:type="pct"/>
            <w:tcBorders>
              <w:left w:val="single" w:color="auto" w:sz="4" w:space="0"/>
            </w:tcBorders>
            <w:vAlign w:val="center"/>
          </w:tcPr>
          <w:p>
            <w:pPr>
              <w:widowControl/>
              <w:spacing w:line="260" w:lineRule="exact"/>
              <w:jc w:val="left"/>
              <w:rPr>
                <w:rFonts w:hint="default" w:ascii="仿宋" w:hAnsi="仿宋" w:eastAsia="仿宋" w:cs="Times New Roman"/>
                <w:color w:val="000000" w:themeColor="text1"/>
                <w:sz w:val="20"/>
                <w:szCs w:val="20"/>
                <w:lang w:val="en-US" w:eastAsia="zh-CN"/>
                <w14:textFill>
                  <w14:solidFill>
                    <w14:schemeClr w14:val="tx1"/>
                  </w14:solidFill>
                </w14:textFill>
              </w:rPr>
            </w:pPr>
            <w:r>
              <w:rPr>
                <w:rFonts w:hint="eastAsia" w:ascii="仿宋" w:hAnsi="仿宋" w:eastAsia="仿宋" w:cs="Times New Roman"/>
                <w:color w:val="000000" w:themeColor="text1"/>
                <w:sz w:val="20"/>
                <w:szCs w:val="20"/>
                <w:lang w:val="en-US" w:eastAsia="zh-CN"/>
                <w14:textFill>
                  <w14:solidFill>
                    <w14:schemeClr w14:val="tx1"/>
                  </w14:solidFill>
                </w14:textFill>
              </w:rPr>
              <w:t>推动农业绿色高质量发展</w:t>
            </w:r>
          </w:p>
        </w:tc>
        <w:tc>
          <w:tcPr>
            <w:tcW w:w="571" w:type="pct"/>
            <w:vAlign w:val="center"/>
          </w:tcPr>
          <w:p>
            <w:pPr>
              <w:widowControl/>
              <w:spacing w:line="260" w:lineRule="exact"/>
              <w:jc w:val="left"/>
              <w:rPr>
                <w:rFonts w:hint="eastAsia" w:ascii="仿宋" w:hAnsi="仿宋" w:eastAsia="仿宋" w:cs="Times New Roman"/>
                <w:color w:val="000000" w:themeColor="text1"/>
                <w:sz w:val="20"/>
                <w:szCs w:val="20"/>
                <w:lang w:val="en-US" w:eastAsia="zh-CN"/>
                <w14:textFill>
                  <w14:solidFill>
                    <w14:schemeClr w14:val="tx1"/>
                  </w14:solidFill>
                </w14:textFill>
              </w:rPr>
            </w:pPr>
            <w:r>
              <w:rPr>
                <w:rFonts w:hint="eastAsia" w:ascii="仿宋" w:hAnsi="仿宋" w:eastAsia="仿宋" w:cs="Times New Roman"/>
                <w:color w:val="000000" w:themeColor="text1"/>
                <w:sz w:val="20"/>
                <w:szCs w:val="20"/>
                <w:lang w:val="en-US" w:eastAsia="zh-CN"/>
                <w14:textFill>
                  <w14:solidFill>
                    <w14:schemeClr w14:val="tx1"/>
                  </w14:solidFill>
                </w14:textFill>
              </w:rPr>
              <w:t>推动</w:t>
            </w:r>
          </w:p>
        </w:tc>
        <w:tc>
          <w:tcPr>
            <w:tcW w:w="650" w:type="pct"/>
            <w:vAlign w:val="center"/>
          </w:tcPr>
          <w:p>
            <w:pPr>
              <w:widowControl/>
              <w:spacing w:line="260" w:lineRule="exact"/>
              <w:jc w:val="left"/>
              <w:rPr>
                <w:rFonts w:hint="eastAsia" w:ascii="仿宋" w:hAnsi="仿宋" w:eastAsia="仿宋" w:cs="Times New Roman"/>
                <w:color w:val="000000" w:themeColor="text1"/>
                <w:sz w:val="20"/>
                <w:szCs w:val="20"/>
                <w14:textFill>
                  <w14:solidFill>
                    <w14:schemeClr w14:val="tx1"/>
                  </w14:solidFill>
                </w14:textFill>
              </w:rPr>
            </w:pPr>
            <w:r>
              <w:rPr>
                <w:rFonts w:hint="eastAsia" w:ascii="仿宋" w:hAnsi="仿宋" w:eastAsia="仿宋" w:cs="Times New Roman"/>
                <w:color w:val="000000" w:themeColor="text1"/>
                <w:sz w:val="20"/>
                <w:szCs w:val="20"/>
                <w:lang w:val="en-US" w:eastAsia="zh-CN"/>
                <w14:textFill>
                  <w14:solidFill>
                    <w14:schemeClr w14:val="tx1"/>
                  </w14:solidFill>
                </w14:textFill>
              </w:rPr>
              <w:t>推动</w:t>
            </w:r>
          </w:p>
        </w:tc>
        <w:tc>
          <w:tcPr>
            <w:tcW w:w="347" w:type="pct"/>
            <w:vAlign w:val="center"/>
          </w:tcPr>
          <w:p>
            <w:pPr>
              <w:widowControl/>
              <w:spacing w:line="260" w:lineRule="exact"/>
              <w:jc w:val="left"/>
              <w:rPr>
                <w:rFonts w:hint="default" w:ascii="仿宋" w:hAnsi="仿宋" w:eastAsia="仿宋" w:cs="Times New Roman"/>
                <w:color w:val="000000" w:themeColor="text1"/>
                <w:sz w:val="20"/>
                <w:szCs w:val="20"/>
                <w:lang w:val="en-US" w:eastAsia="zh-CN"/>
                <w14:textFill>
                  <w14:solidFill>
                    <w14:schemeClr w14:val="tx1"/>
                  </w14:solidFill>
                </w14:textFill>
              </w:rPr>
            </w:pPr>
            <w:r>
              <w:rPr>
                <w:rFonts w:hint="eastAsia" w:ascii="仿宋" w:hAnsi="仿宋" w:eastAsia="仿宋" w:cs="Times New Roman"/>
                <w:color w:val="000000" w:themeColor="text1"/>
                <w:sz w:val="20"/>
                <w:szCs w:val="20"/>
                <w:lang w:val="en-US" w:eastAsia="zh-CN"/>
                <w14:textFill>
                  <w14:solidFill>
                    <w14:schemeClr w14:val="tx1"/>
                  </w14:solidFill>
                </w14:textFill>
              </w:rPr>
              <w:t>10</w:t>
            </w:r>
          </w:p>
        </w:tc>
        <w:tc>
          <w:tcPr>
            <w:tcW w:w="405" w:type="pct"/>
            <w:vAlign w:val="center"/>
          </w:tcPr>
          <w:p>
            <w:pPr>
              <w:widowControl/>
              <w:spacing w:line="260" w:lineRule="exact"/>
              <w:jc w:val="left"/>
              <w:rPr>
                <w:rFonts w:hint="default" w:ascii="仿宋" w:hAnsi="仿宋" w:eastAsia="仿宋" w:cs="Times New Roman"/>
                <w:color w:val="000000" w:themeColor="text1"/>
                <w:sz w:val="20"/>
                <w:szCs w:val="20"/>
                <w:lang w:val="en-US" w:eastAsia="zh-CN"/>
                <w14:textFill>
                  <w14:solidFill>
                    <w14:schemeClr w14:val="tx1"/>
                  </w14:solidFill>
                </w14:textFill>
              </w:rPr>
            </w:pPr>
            <w:r>
              <w:rPr>
                <w:rFonts w:hint="eastAsia" w:ascii="仿宋" w:hAnsi="仿宋" w:eastAsia="仿宋" w:cs="Times New Roman"/>
                <w:color w:val="000000" w:themeColor="text1"/>
                <w:sz w:val="20"/>
                <w:szCs w:val="20"/>
                <w:lang w:val="en-US" w:eastAsia="zh-CN"/>
                <w14:textFill>
                  <w14:solidFill>
                    <w14:schemeClr w14:val="tx1"/>
                  </w14:solidFill>
                </w14:textFill>
              </w:rPr>
              <w:t>7.5</w:t>
            </w:r>
          </w:p>
        </w:tc>
        <w:tc>
          <w:tcPr>
            <w:tcW w:w="776"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7" w:type="pct"/>
            <w:vMerge w:val="continue"/>
            <w:textDirection w:val="tbRlV"/>
            <w:vAlign w:val="center"/>
          </w:tcPr>
          <w:p>
            <w:pPr>
              <w:jc w:val="center"/>
              <w:rPr>
                <w:rFonts w:asciiTheme="minorEastAsia" w:hAnsiTheme="minorEastAsia" w:eastAsiaTheme="minorEastAsia" w:cstheme="minorEastAsia"/>
                <w:szCs w:val="21"/>
              </w:rPr>
            </w:pPr>
          </w:p>
        </w:tc>
        <w:tc>
          <w:tcPr>
            <w:tcW w:w="521" w:type="pct"/>
            <w:vMerge w:val="continue"/>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p>
        </w:tc>
        <w:tc>
          <w:tcPr>
            <w:tcW w:w="650" w:type="pct"/>
            <w:vMerge w:val="continue"/>
            <w:tcBorders>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p>
        </w:tc>
        <w:tc>
          <w:tcPr>
            <w:tcW w:w="549" w:type="pct"/>
            <w:tcBorders>
              <w:left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w:t>
            </w:r>
          </w:p>
        </w:tc>
        <w:tc>
          <w:tcPr>
            <w:tcW w:w="571" w:type="pct"/>
            <w:vAlign w:val="center"/>
          </w:tcPr>
          <w:p>
            <w:pPr>
              <w:jc w:val="center"/>
              <w:rPr>
                <w:rFonts w:asciiTheme="minorEastAsia" w:hAnsiTheme="minorEastAsia" w:eastAsiaTheme="minorEastAsia" w:cstheme="minorEastAsia"/>
                <w:szCs w:val="21"/>
              </w:rPr>
            </w:pPr>
          </w:p>
        </w:tc>
        <w:tc>
          <w:tcPr>
            <w:tcW w:w="650" w:type="pct"/>
            <w:vAlign w:val="center"/>
          </w:tcPr>
          <w:p>
            <w:pPr>
              <w:jc w:val="center"/>
              <w:rPr>
                <w:rFonts w:asciiTheme="minorEastAsia" w:hAnsiTheme="minorEastAsia" w:eastAsiaTheme="minorEastAsia" w:cstheme="minorEastAsia"/>
                <w:szCs w:val="21"/>
              </w:rPr>
            </w:pPr>
          </w:p>
        </w:tc>
        <w:tc>
          <w:tcPr>
            <w:tcW w:w="347" w:type="pct"/>
            <w:vAlign w:val="center"/>
          </w:tcPr>
          <w:p>
            <w:pPr>
              <w:jc w:val="center"/>
              <w:rPr>
                <w:rFonts w:asciiTheme="minorEastAsia" w:hAnsiTheme="minorEastAsia" w:eastAsiaTheme="minorEastAsia" w:cstheme="minorEastAsia"/>
                <w:szCs w:val="21"/>
              </w:rPr>
            </w:pPr>
          </w:p>
        </w:tc>
        <w:tc>
          <w:tcPr>
            <w:tcW w:w="405" w:type="pct"/>
            <w:vAlign w:val="center"/>
          </w:tcPr>
          <w:p>
            <w:pPr>
              <w:jc w:val="center"/>
              <w:rPr>
                <w:rFonts w:asciiTheme="minorEastAsia" w:hAnsiTheme="minorEastAsia" w:eastAsiaTheme="minorEastAsia" w:cstheme="minorEastAsia"/>
                <w:szCs w:val="21"/>
              </w:rPr>
            </w:pPr>
          </w:p>
        </w:tc>
        <w:tc>
          <w:tcPr>
            <w:tcW w:w="776"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3470" w:type="pct"/>
            <w:gridSpan w:val="6"/>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总分</w:t>
            </w:r>
          </w:p>
        </w:tc>
        <w:tc>
          <w:tcPr>
            <w:tcW w:w="347"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100</w:t>
            </w:r>
          </w:p>
        </w:tc>
        <w:tc>
          <w:tcPr>
            <w:tcW w:w="405" w:type="pct"/>
            <w:vAlign w:val="center"/>
          </w:tcPr>
          <w:p>
            <w:pPr>
              <w:jc w:val="center"/>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94.2</w:t>
            </w:r>
          </w:p>
        </w:tc>
        <w:tc>
          <w:tcPr>
            <w:tcW w:w="776" w:type="pct"/>
            <w:vAlign w:val="center"/>
          </w:tcPr>
          <w:p>
            <w:pPr>
              <w:jc w:val="center"/>
              <w:rPr>
                <w:rFonts w:asciiTheme="minorEastAsia" w:hAnsiTheme="minorEastAsia" w:eastAsiaTheme="minorEastAsia" w:cstheme="minorEastAsia"/>
                <w:szCs w:val="21"/>
              </w:rPr>
            </w:pPr>
          </w:p>
        </w:tc>
      </w:tr>
    </w:tbl>
    <w:p>
      <w:pPr>
        <w:rPr>
          <w:rFonts w:ascii="Times New Roman" w:hAnsi="Times New Roman" w:eastAsia="宋体" w:cs="Times New Roman"/>
        </w:rPr>
      </w:pPr>
      <w:r>
        <w:rPr>
          <w:rFonts w:hint="eastAsia" w:ascii="Times New Roman" w:hAnsi="Times New Roman" w:eastAsia="宋体" w:cs="Times New Roman"/>
        </w:rPr>
        <w:t>备注：每个一级项目支出一张表。如，业务工作经费，运行维护经费，其他事业发展类资金各一张表。</w:t>
      </w:r>
    </w:p>
    <w:p>
      <w:pPr>
        <w:rPr>
          <w:rFonts w:ascii="Times New Roman" w:hAnsi="Times New Roman" w:eastAsia="宋体" w:cs="Times New Roman"/>
        </w:rPr>
      </w:pPr>
    </w:p>
    <w:p>
      <w:pPr>
        <w:rPr>
          <w:rFonts w:ascii="Times New Roman" w:hAnsi="Times New Roman" w:eastAsia="宋体" w:cs="Times New Roman"/>
        </w:rPr>
      </w:pPr>
      <w:r>
        <w:rPr>
          <w:rFonts w:hint="eastAsia" w:ascii="Times New Roman" w:hAnsi="Times New Roman" w:eastAsia="宋体" w:cs="Times New Roman"/>
        </w:rPr>
        <w:t>填表人：        填报日期：            联系电话：      单位负责人签字：</w:t>
      </w:r>
    </w:p>
    <w:p>
      <w:pPr>
        <w:rPr>
          <w:rFonts w:ascii="Times New Roman" w:hAnsi="Times New Roman" w:eastAsia="宋体" w:cs="Times New Roman"/>
          <w:sz w:val="22"/>
          <w:szCs w:val="22"/>
        </w:rPr>
      </w:pPr>
      <w:r>
        <w:rPr>
          <w:rFonts w:ascii="Times New Roman" w:hAnsi="Times New Roman" w:eastAsia="宋体" w:cs="Times New Roman"/>
          <w:sz w:val="22"/>
          <w:szCs w:val="22"/>
        </w:rPr>
        <w:br w:type="page"/>
      </w:r>
    </w:p>
    <w:p>
      <w:pPr>
        <w:sectPr>
          <w:footerReference r:id="rId5" w:type="default"/>
          <w:pgSz w:w="11905" w:h="16838"/>
          <w:pgMar w:top="1984" w:right="1701" w:bottom="1984" w:left="1701" w:header="850" w:footer="1587" w:gutter="0"/>
          <w:pgNumType w:fmt="numberInDash"/>
          <w:cols w:space="0" w:num="1"/>
          <w:docGrid w:type="lines" w:linePitch="314" w:charSpace="0"/>
        </w:sectPr>
      </w:pPr>
    </w:p>
    <w:p>
      <w:pPr>
        <w:spacing w:before="181" w:line="171" w:lineRule="auto"/>
        <w:rPr>
          <w:rFonts w:ascii="仿宋_GB2312" w:hAnsi="仿宋_GB2312" w:eastAsia="仿宋_GB2312" w:cs="仿宋_GB2312"/>
          <w:sz w:val="32"/>
          <w:szCs w:val="32"/>
        </w:rPr>
      </w:pPr>
      <w:r>
        <w:rPr>
          <w:rFonts w:hint="eastAsia" w:ascii="仿宋_GB2312" w:hAnsi="仿宋_GB2312" w:eastAsia="仿宋_GB2312" w:cs="仿宋_GB2312"/>
          <w:sz w:val="32"/>
          <w:szCs w:val="32"/>
        </w:rPr>
        <w:t>附表7</w:t>
      </w:r>
    </w:p>
    <w:p>
      <w:pPr>
        <w:spacing w:line="560" w:lineRule="exact"/>
        <w:jc w:val="center"/>
        <w:rPr>
          <w:rFonts w:ascii="Times New Roman" w:hAnsi="Times New Roman" w:eastAsia="方正小标宋_GBK" w:cs="Times New Roman"/>
          <w:sz w:val="36"/>
          <w:szCs w:val="36"/>
        </w:rPr>
      </w:pPr>
      <w:r>
        <w:rPr>
          <w:rFonts w:ascii="Times New Roman" w:hAnsi="Times New Roman" w:eastAsia="方正小标宋_GBK" w:cs="Times New Roman"/>
          <w:sz w:val="36"/>
          <w:szCs w:val="36"/>
        </w:rPr>
        <w:t>绩效评价结果征求意见的反馈函</w:t>
      </w:r>
    </w:p>
    <w:p>
      <w:pPr>
        <w:spacing w:line="560" w:lineRule="exact"/>
        <w:jc w:val="center"/>
        <w:rPr>
          <w:rFonts w:ascii="楷体" w:hAnsi="楷体" w:eastAsia="楷体" w:cs="楷体"/>
          <w:sz w:val="24"/>
        </w:rPr>
      </w:pPr>
      <w:r>
        <w:rPr>
          <w:rFonts w:hint="eastAsia" w:ascii="楷体" w:hAnsi="楷体" w:eastAsia="楷体" w:cs="楷体"/>
          <w:sz w:val="24"/>
        </w:rPr>
        <w:t>（重点绩效评价项目用）</w:t>
      </w:r>
    </w:p>
    <w:p>
      <w:pPr>
        <w:spacing w:line="560" w:lineRule="exact"/>
        <w:rPr>
          <w:rFonts w:ascii="Times New Roman" w:hAnsi="Times New Roman" w:eastAsia="仿宋_GB2312" w:cs="Times New Roman"/>
          <w:sz w:val="28"/>
          <w:szCs w:val="28"/>
        </w:rPr>
      </w:pPr>
      <w:r>
        <w:rPr>
          <w:rFonts w:ascii="Times New Roman" w:hAnsi="Times New Roman" w:eastAsia="仿宋_GB2312" w:cs="Times New Roman"/>
          <w:sz w:val="28"/>
          <w:szCs w:val="28"/>
          <w:u w:val="single"/>
        </w:rPr>
        <w:t xml:space="preserve">    </w:t>
      </w:r>
      <w:r>
        <w:rPr>
          <w:rFonts w:hint="eastAsia" w:ascii="Times New Roman" w:hAnsi="Times New Roman" w:eastAsia="仿宋_GB2312" w:cs="Times New Roman"/>
          <w:sz w:val="28"/>
          <w:szCs w:val="28"/>
          <w:u w:val="single"/>
        </w:rPr>
        <w:t xml:space="preserve">    </w:t>
      </w:r>
      <w:r>
        <w:rPr>
          <w:rFonts w:ascii="Times New Roman" w:hAnsi="Times New Roman" w:eastAsia="仿宋_GB2312" w:cs="Times New Roman"/>
          <w:sz w:val="28"/>
          <w:szCs w:val="28"/>
          <w:u w:val="single"/>
        </w:rPr>
        <w:t xml:space="preserve">    </w:t>
      </w:r>
      <w:r>
        <w:rPr>
          <w:rFonts w:hint="eastAsia" w:ascii="Times New Roman" w:hAnsi="Times New Roman" w:eastAsia="仿宋_GB2312" w:cs="Times New Roman"/>
          <w:sz w:val="28"/>
          <w:szCs w:val="28"/>
          <w:u w:val="single"/>
        </w:rPr>
        <w:t xml:space="preserve">   </w:t>
      </w:r>
      <w:r>
        <w:rPr>
          <w:rFonts w:ascii="Times New Roman" w:hAnsi="Times New Roman" w:eastAsia="仿宋_GB2312" w:cs="Times New Roman"/>
          <w:sz w:val="28"/>
          <w:szCs w:val="28"/>
          <w:u w:val="single"/>
        </w:rPr>
        <w:t xml:space="preserve">   </w:t>
      </w:r>
      <w:r>
        <w:rPr>
          <w:rFonts w:ascii="Times New Roman" w:hAnsi="Times New Roman" w:eastAsia="仿宋_GB2312" w:cs="Times New Roman"/>
          <w:sz w:val="28"/>
          <w:szCs w:val="28"/>
        </w:rPr>
        <w:t>：</w:t>
      </w:r>
    </w:p>
    <w:p>
      <w:pPr>
        <w:spacing w:line="560" w:lineRule="exact"/>
        <w:ind w:firstLine="640" w:firstLineChars="200"/>
        <w:rPr>
          <w:rFonts w:ascii="Times New Roman" w:hAnsi="Times New Roman" w:eastAsia="仿宋_GB2312" w:cs="Times New Roman"/>
          <w:sz w:val="32"/>
          <w:szCs w:val="32"/>
        </w:rPr>
      </w:pPr>
      <w:r>
        <w:rPr>
          <w:rFonts w:ascii="Times New Roman" w:hAnsi="Times New Roman" w:eastAsia="仿宋_GB2312" w:cs="Times New Roman"/>
          <w:sz w:val="32"/>
          <w:szCs w:val="32"/>
        </w:rPr>
        <w:t>按照相关规定和绩效评价要求，根据贵单位的绩效自评报告和绩效评价工作组的现场评价情况，形成绩效评价报告。现将《×××绩效评价报告》反馈贵单位，请于    年     月   日前提出书面意见或说明，逾期未复，视为无异议。</w:t>
      </w:r>
    </w:p>
    <w:tbl>
      <w:tblPr>
        <w:tblStyle w:val="12"/>
        <w:tblW w:w="89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jc w:val="center"/>
        </w:trPr>
        <w:tc>
          <w:tcPr>
            <w:tcW w:w="8920" w:type="dxa"/>
            <w:vAlign w:val="center"/>
          </w:tcPr>
          <w:p>
            <w:pPr>
              <w:keepNext w:val="0"/>
              <w:keepLines w:val="0"/>
              <w:suppressLineNumbers w:val="0"/>
              <w:spacing w:before="0" w:beforeAutospacing="0" w:after="0" w:afterAutospacing="0" w:line="560" w:lineRule="exact"/>
              <w:ind w:left="0" w:right="0" w:firstLine="560"/>
              <w:jc w:val="center"/>
              <w:rPr>
                <w:rFonts w:hint="default" w:ascii="Times New Roman" w:hAnsi="Times New Roman" w:eastAsia="黑体" w:cs="Times New Roman"/>
                <w:sz w:val="28"/>
                <w:szCs w:val="28"/>
              </w:rPr>
            </w:pPr>
            <w:r>
              <w:rPr>
                <w:rFonts w:hint="default" w:ascii="Times New Roman" w:hAnsi="Times New Roman" w:eastAsia="楷体_GB2312" w:cs="Times New Roman"/>
                <w:sz w:val="28"/>
                <w:szCs w:val="28"/>
              </w:rPr>
              <w:t>项目实施单位意见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3" w:hRule="atLeast"/>
          <w:jc w:val="center"/>
        </w:trPr>
        <w:tc>
          <w:tcPr>
            <w:tcW w:w="8920" w:type="dxa"/>
          </w:tcPr>
          <w:p>
            <w:pPr>
              <w:keepNext w:val="0"/>
              <w:keepLines w:val="0"/>
              <w:suppressLineNumbers w:val="0"/>
              <w:spacing w:before="0" w:beforeAutospacing="0" w:after="0" w:afterAutospacing="0" w:line="560" w:lineRule="exact"/>
              <w:ind w:left="0" w:right="0" w:firstLine="140" w:firstLineChars="50"/>
              <w:rPr>
                <w:rFonts w:hint="default" w:ascii="Times New Roman" w:hAnsi="Times New Roman" w:eastAsia="黑体" w:cs="Times New Roman"/>
                <w:sz w:val="28"/>
                <w:szCs w:val="28"/>
              </w:rPr>
            </w:pPr>
            <w:r>
              <w:rPr>
                <w:rFonts w:hint="default" w:ascii="Times New Roman" w:hAnsi="Times New Roman" w:eastAsia="黑体" w:cs="Times New Roman"/>
                <w:sz w:val="28"/>
                <w:szCs w:val="28"/>
              </w:rPr>
              <w:t>一、对报告中“评价结论”的意见</w:t>
            </w:r>
          </w:p>
          <w:p>
            <w:pPr>
              <w:keepNext w:val="0"/>
              <w:keepLines w:val="0"/>
              <w:suppressLineNumbers w:val="0"/>
              <w:spacing w:before="0" w:beforeAutospacing="0" w:after="0" w:afterAutospacing="0" w:line="560" w:lineRule="exact"/>
              <w:ind w:left="0" w:right="0" w:firstLine="560"/>
              <w:rPr>
                <w:rFonts w:hint="default" w:ascii="Times New Roman" w:hAnsi="Times New Roman" w:eastAsia="宋体" w:cs="Times New Roman"/>
                <w:sz w:val="28"/>
                <w:szCs w:val="28"/>
              </w:rPr>
            </w:pPr>
          </w:p>
          <w:p>
            <w:pPr>
              <w:keepNext w:val="0"/>
              <w:keepLines w:val="0"/>
              <w:suppressLineNumbers w:val="0"/>
              <w:spacing w:before="0" w:beforeAutospacing="0" w:after="0" w:afterAutospacing="0" w:line="560" w:lineRule="exact"/>
              <w:ind w:left="0" w:right="0" w:firstLine="560"/>
              <w:rPr>
                <w:rFonts w:hint="default" w:ascii="Times New Roman" w:hAnsi="Times New Roman" w:eastAsia="宋体" w:cs="Times New Roman"/>
                <w:sz w:val="28"/>
                <w:szCs w:val="28"/>
              </w:rPr>
            </w:pPr>
          </w:p>
          <w:p>
            <w:pPr>
              <w:keepNext w:val="0"/>
              <w:keepLines w:val="0"/>
              <w:suppressLineNumbers w:val="0"/>
              <w:spacing w:before="0" w:beforeAutospacing="0" w:after="0" w:afterAutospacing="0" w:line="560" w:lineRule="exact"/>
              <w:ind w:left="0" w:right="0" w:firstLine="140" w:firstLineChars="50"/>
              <w:rPr>
                <w:rFonts w:hint="default" w:ascii="Times New Roman" w:hAnsi="Times New Roman" w:eastAsia="黑体" w:cs="Times New Roman"/>
                <w:sz w:val="28"/>
                <w:szCs w:val="28"/>
              </w:rPr>
            </w:pPr>
            <w:r>
              <w:rPr>
                <w:rFonts w:hint="default" w:ascii="Times New Roman" w:hAnsi="Times New Roman" w:eastAsia="黑体" w:cs="Times New Roman"/>
                <w:sz w:val="28"/>
                <w:szCs w:val="28"/>
              </w:rPr>
              <w:t>二、对报告中“问题”和“建议”的意见</w:t>
            </w:r>
          </w:p>
          <w:p>
            <w:pPr>
              <w:keepNext w:val="0"/>
              <w:keepLines w:val="0"/>
              <w:suppressLineNumbers w:val="0"/>
              <w:spacing w:before="0" w:beforeAutospacing="0" w:after="0" w:afterAutospacing="0" w:line="560" w:lineRule="exact"/>
              <w:ind w:left="0" w:right="0" w:firstLine="560"/>
              <w:rPr>
                <w:rFonts w:hint="default" w:ascii="Times New Roman" w:hAnsi="Times New Roman" w:eastAsia="宋体" w:cs="Times New Roman"/>
                <w:sz w:val="28"/>
                <w:szCs w:val="28"/>
              </w:rPr>
            </w:pPr>
          </w:p>
          <w:p>
            <w:pPr>
              <w:keepNext w:val="0"/>
              <w:keepLines w:val="0"/>
              <w:suppressLineNumbers w:val="0"/>
              <w:spacing w:before="0" w:beforeAutospacing="0" w:after="0" w:afterAutospacing="0" w:line="560" w:lineRule="exact"/>
              <w:ind w:left="0" w:right="0" w:firstLine="560"/>
              <w:rPr>
                <w:rFonts w:hint="default" w:ascii="Times New Roman" w:hAnsi="Times New Roman" w:eastAsia="宋体" w:cs="Times New Roman"/>
                <w:sz w:val="28"/>
                <w:szCs w:val="28"/>
              </w:rPr>
            </w:pPr>
          </w:p>
          <w:p>
            <w:pPr>
              <w:keepNext w:val="0"/>
              <w:keepLines w:val="0"/>
              <w:suppressLineNumbers w:val="0"/>
              <w:spacing w:before="0" w:beforeAutospacing="0" w:after="0" w:afterAutospacing="0" w:line="560" w:lineRule="exact"/>
              <w:ind w:left="0" w:right="0" w:firstLine="560"/>
              <w:rPr>
                <w:rFonts w:hint="default" w:ascii="Times New Roman" w:hAnsi="Times New Roman" w:eastAsia="宋体" w:cs="Times New Roman"/>
                <w:sz w:val="28"/>
                <w:szCs w:val="28"/>
              </w:rPr>
            </w:pPr>
          </w:p>
          <w:p>
            <w:pPr>
              <w:keepNext w:val="0"/>
              <w:keepLines w:val="0"/>
              <w:suppressLineNumbers w:val="0"/>
              <w:spacing w:before="0" w:beforeAutospacing="0" w:after="0" w:afterAutospacing="0" w:line="560" w:lineRule="exact"/>
              <w:ind w:left="0" w:right="0" w:firstLine="140" w:firstLineChars="50"/>
              <w:rPr>
                <w:rFonts w:hint="default" w:ascii="Times New Roman" w:hAnsi="Times New Roman" w:eastAsia="黑体" w:cs="Times New Roman"/>
                <w:sz w:val="28"/>
                <w:szCs w:val="28"/>
              </w:rPr>
            </w:pPr>
            <w:r>
              <w:rPr>
                <w:rFonts w:hint="default" w:ascii="Times New Roman" w:hAnsi="Times New Roman" w:eastAsia="黑体" w:cs="Times New Roman"/>
                <w:sz w:val="28"/>
                <w:szCs w:val="28"/>
              </w:rPr>
              <w:t>三、</w:t>
            </w:r>
            <w:r>
              <w:rPr>
                <w:rFonts w:hint="eastAsia" w:ascii="Times New Roman" w:hAnsi="Times New Roman" w:eastAsia="黑体" w:cs="Times New Roman"/>
                <w:sz w:val="28"/>
                <w:szCs w:val="28"/>
              </w:rPr>
              <w:t>其他意见</w:t>
            </w:r>
            <w:r>
              <w:rPr>
                <w:rFonts w:hint="default" w:ascii="Times New Roman" w:hAnsi="Times New Roman" w:eastAsia="黑体" w:cs="Times New Roman"/>
                <w:sz w:val="28"/>
                <w:szCs w:val="28"/>
              </w:rPr>
              <w:t>或建议</w:t>
            </w:r>
          </w:p>
          <w:p>
            <w:pPr>
              <w:keepNext w:val="0"/>
              <w:keepLines w:val="0"/>
              <w:suppressLineNumbers w:val="0"/>
              <w:wordWrap w:val="0"/>
              <w:spacing w:before="0" w:beforeAutospacing="0" w:after="0" w:afterAutospacing="0" w:line="560" w:lineRule="exact"/>
              <w:ind w:left="0" w:right="1280"/>
              <w:jc w:val="right"/>
              <w:rPr>
                <w:rFonts w:hint="default" w:ascii="Times New Roman" w:hAnsi="Times New Roman" w:eastAsia="仿宋_GB2312" w:cs="Times New Roman"/>
                <w:sz w:val="28"/>
                <w:szCs w:val="28"/>
              </w:rPr>
            </w:pPr>
          </w:p>
          <w:p>
            <w:pPr>
              <w:keepNext w:val="0"/>
              <w:keepLines w:val="0"/>
              <w:widowControl w:val="0"/>
              <w:suppressLineNumbers w:val="0"/>
              <w:snapToGrid w:val="0"/>
              <w:spacing w:before="0" w:beforeAutospacing="0" w:after="0" w:afterAutospacing="0"/>
              <w:ind w:left="0" w:right="0"/>
              <w:jc w:val="left"/>
              <w:rPr>
                <w:rFonts w:hint="default" w:ascii="Times New Roman" w:hAnsi="Times New Roman" w:eastAsia="仿宋_GB2312" w:cs="Times New Roman"/>
                <w:kern w:val="2"/>
                <w:sz w:val="28"/>
                <w:szCs w:val="28"/>
                <w:lang w:val="en-US" w:eastAsia="zh-CN" w:bidi="ar-SA"/>
              </w:rPr>
            </w:pPr>
          </w:p>
          <w:p>
            <w:pPr>
              <w:keepNext w:val="0"/>
              <w:keepLines w:val="0"/>
              <w:suppressLineNumbers w:val="0"/>
              <w:spacing w:before="0" w:beforeAutospacing="0" w:after="0" w:afterAutospacing="0"/>
              <w:ind w:left="0" w:right="0"/>
              <w:rPr>
                <w:rFonts w:hint="default" w:ascii="Times New Roman" w:hAnsi="Times New Roman" w:eastAsia="仿宋_GB2312" w:cs="Times New Roman"/>
                <w:sz w:val="28"/>
                <w:szCs w:val="28"/>
              </w:rPr>
            </w:pPr>
          </w:p>
          <w:p>
            <w:pPr>
              <w:keepNext w:val="0"/>
              <w:keepLines w:val="0"/>
              <w:widowControl w:val="0"/>
              <w:suppressLineNumbers w:val="0"/>
              <w:snapToGrid w:val="0"/>
              <w:spacing w:before="0" w:beforeAutospacing="0" w:after="0" w:afterAutospacing="0"/>
              <w:ind w:left="0" w:right="0"/>
              <w:jc w:val="left"/>
              <w:rPr>
                <w:rFonts w:hint="default" w:ascii="Times New Roman" w:hAnsi="Times New Roman" w:eastAsia="宋体" w:cs="Times New Roman"/>
                <w:kern w:val="2"/>
                <w:sz w:val="18"/>
                <w:szCs w:val="18"/>
                <w:lang w:val="en-US" w:eastAsia="zh-CN" w:bidi="ar-SA"/>
              </w:rPr>
            </w:pPr>
          </w:p>
          <w:p>
            <w:pPr>
              <w:keepNext w:val="0"/>
              <w:keepLines w:val="0"/>
              <w:suppressLineNumbers w:val="0"/>
              <w:wordWrap w:val="0"/>
              <w:spacing w:before="0" w:beforeAutospacing="0" w:after="0" w:afterAutospacing="0" w:line="560" w:lineRule="exact"/>
              <w:ind w:left="0" w:right="1280"/>
              <w:jc w:val="right"/>
              <w:rPr>
                <w:rFonts w:hint="default" w:ascii="Times New Roman" w:hAnsi="Times New Roman" w:eastAsia="仿宋_GB2312" w:cs="Times New Roman"/>
                <w:sz w:val="28"/>
                <w:szCs w:val="28"/>
              </w:rPr>
            </w:pPr>
            <w:r>
              <w:rPr>
                <w:rFonts w:hint="eastAsia" w:ascii="Times New Roman" w:hAnsi="Times New Roman" w:eastAsia="仿宋_GB2312" w:cs="Times New Roman"/>
                <w:sz w:val="28"/>
                <w:szCs w:val="28"/>
              </w:rPr>
              <w:t>单</w:t>
            </w:r>
            <w:r>
              <w:rPr>
                <w:rFonts w:hint="default" w:ascii="Times New Roman" w:hAnsi="Times New Roman" w:eastAsia="仿宋_GB2312" w:cs="Times New Roman"/>
                <w:sz w:val="28"/>
                <w:szCs w:val="28"/>
              </w:rPr>
              <w:t>位（盖章）</w:t>
            </w:r>
          </w:p>
          <w:p>
            <w:pPr>
              <w:keepNext w:val="0"/>
              <w:keepLines w:val="0"/>
              <w:suppressLineNumbers w:val="0"/>
              <w:wordWrap w:val="0"/>
              <w:spacing w:before="0" w:beforeAutospacing="0" w:after="0" w:afterAutospacing="0" w:line="560" w:lineRule="exact"/>
              <w:ind w:left="0" w:right="1280"/>
              <w:jc w:val="right"/>
              <w:rPr>
                <w:rFonts w:hint="default" w:ascii="Times New Roman" w:hAnsi="Times New Roman" w:eastAsia="宋体" w:cs="Times New Roman"/>
                <w:sz w:val="28"/>
                <w:szCs w:val="28"/>
              </w:rPr>
            </w:pPr>
            <w:r>
              <w:rPr>
                <w:rFonts w:hint="default" w:ascii="Times New Roman" w:hAnsi="Times New Roman" w:eastAsia="仿宋_GB2312" w:cs="Times New Roman"/>
                <w:sz w:val="28"/>
                <w:szCs w:val="28"/>
              </w:rPr>
              <w:t>年   月   日</w:t>
            </w:r>
          </w:p>
        </w:tc>
      </w:tr>
    </w:tbl>
    <w:p>
      <w:pPr>
        <w:spacing w:line="20" w:lineRule="exact"/>
        <w:rPr>
          <w:rFonts w:ascii="黑体" w:hAnsi="宋体" w:eastAsia="黑体" w:cs="黑体"/>
          <w:color w:val="000000"/>
          <w:kern w:val="0"/>
          <w:sz w:val="32"/>
          <w:szCs w:val="32"/>
        </w:rPr>
      </w:pPr>
      <w:r>
        <w:rPr>
          <w:rFonts w:hint="eastAsia" w:ascii="黑体" w:hAnsi="宋体" w:eastAsia="黑体" w:cs="黑体"/>
          <w:color w:val="000000"/>
          <w:kern w:val="0"/>
          <w:sz w:val="32"/>
          <w:szCs w:val="32"/>
        </w:rPr>
        <w:br w:type="page"/>
      </w:r>
    </w:p>
    <w:p>
      <w:pPr>
        <w:spacing w:before="181" w:line="171" w:lineRule="auto"/>
        <w:rPr>
          <w:rFonts w:ascii="仿宋_GB2312" w:hAnsi="仿宋_GB2312" w:eastAsia="仿宋_GB2312" w:cs="仿宋_GB2312"/>
          <w:sz w:val="32"/>
          <w:szCs w:val="32"/>
        </w:rPr>
      </w:pPr>
      <w:r>
        <w:rPr>
          <w:rFonts w:hint="eastAsia" w:ascii="仿宋_GB2312" w:hAnsi="仿宋_GB2312" w:eastAsia="仿宋_GB2312" w:cs="仿宋_GB2312"/>
          <w:sz w:val="32"/>
          <w:szCs w:val="32"/>
        </w:rPr>
        <w:t>附表8</w:t>
      </w:r>
    </w:p>
    <w:p>
      <w:pPr>
        <w:spacing w:line="560" w:lineRule="exact"/>
        <w:jc w:val="center"/>
        <w:rPr>
          <w:rFonts w:ascii="Times New Roman" w:hAnsi="Times New Roman" w:eastAsia="方正小标宋_GBK" w:cs="Times New Roman"/>
          <w:sz w:val="36"/>
          <w:szCs w:val="36"/>
        </w:rPr>
      </w:pPr>
      <w:r>
        <w:rPr>
          <w:rFonts w:ascii="Times New Roman" w:hAnsi="Times New Roman" w:eastAsia="方正小标宋_GBK" w:cs="Times New Roman"/>
          <w:sz w:val="36"/>
          <w:szCs w:val="36"/>
        </w:rPr>
        <w:t>绩效评价结果整改报告书</w:t>
      </w:r>
    </w:p>
    <w:p>
      <w:pPr>
        <w:spacing w:line="560" w:lineRule="exact"/>
        <w:jc w:val="center"/>
        <w:rPr>
          <w:rFonts w:ascii="Times New Roman" w:hAnsi="Times New Roman" w:eastAsia="宋体" w:cs="Times New Roman"/>
          <w:sz w:val="28"/>
          <w:szCs w:val="28"/>
        </w:rPr>
      </w:pPr>
      <w:r>
        <w:rPr>
          <w:rFonts w:ascii="Times New Roman" w:hAnsi="Times New Roman" w:eastAsia="楷体_GB2312" w:cs="Times New Roman"/>
          <w:sz w:val="32"/>
          <w:szCs w:val="32"/>
        </w:rPr>
        <w:t>（参考格式）</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27"/>
        <w:gridCol w:w="67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1827" w:type="dxa"/>
            <w:vAlign w:val="center"/>
          </w:tcPr>
          <w:p>
            <w:pPr>
              <w:keepNext w:val="0"/>
              <w:keepLines w:val="0"/>
              <w:suppressLineNumbers w:val="0"/>
              <w:spacing w:before="0" w:beforeAutospacing="0" w:after="0" w:afterAutospacing="0" w:line="560" w:lineRule="exact"/>
              <w:ind w:left="0" w:right="0"/>
              <w:jc w:val="center"/>
              <w:rPr>
                <w:rFonts w:hint="default" w:ascii="黑体" w:hAnsi="黑体" w:eastAsia="黑体" w:cs="Times New Roman"/>
                <w:sz w:val="24"/>
              </w:rPr>
            </w:pPr>
            <w:r>
              <w:rPr>
                <w:rFonts w:hint="default" w:ascii="黑体" w:hAnsi="黑体" w:eastAsia="黑体" w:cs="Times New Roman"/>
                <w:sz w:val="24"/>
              </w:rPr>
              <w:t>预算支出名称</w:t>
            </w:r>
          </w:p>
        </w:tc>
        <w:tc>
          <w:tcPr>
            <w:tcW w:w="6773" w:type="dxa"/>
          </w:tcPr>
          <w:p>
            <w:pPr>
              <w:keepNext w:val="0"/>
              <w:keepLines w:val="0"/>
              <w:suppressLineNumbers w:val="0"/>
              <w:spacing w:before="0" w:beforeAutospacing="0" w:after="0" w:afterAutospacing="0" w:line="560" w:lineRule="exact"/>
              <w:ind w:left="0" w:right="0" w:firstLine="560"/>
              <w:rPr>
                <w:rFonts w:hint="default" w:ascii="Times New Roman" w:hAnsi="Times New Roman" w:eastAsia="宋体" w:cs="Times New Roman"/>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1827" w:type="dxa"/>
            <w:vAlign w:val="center"/>
          </w:tcPr>
          <w:p>
            <w:pPr>
              <w:keepNext w:val="0"/>
              <w:keepLines w:val="0"/>
              <w:suppressLineNumbers w:val="0"/>
              <w:spacing w:before="0" w:beforeAutospacing="0" w:after="0" w:afterAutospacing="0" w:line="560" w:lineRule="exact"/>
              <w:ind w:left="0" w:right="0"/>
              <w:jc w:val="center"/>
              <w:rPr>
                <w:rFonts w:hint="default" w:ascii="黑体" w:hAnsi="黑体" w:eastAsia="黑体" w:cs="Times New Roman"/>
                <w:sz w:val="24"/>
              </w:rPr>
            </w:pPr>
            <w:r>
              <w:rPr>
                <w:rFonts w:hint="default" w:ascii="黑体" w:hAnsi="黑体" w:eastAsia="黑体" w:cs="Times New Roman"/>
                <w:sz w:val="24"/>
              </w:rPr>
              <w:t>评价内容</w:t>
            </w:r>
          </w:p>
        </w:tc>
        <w:tc>
          <w:tcPr>
            <w:tcW w:w="6773" w:type="dxa"/>
          </w:tcPr>
          <w:p>
            <w:pPr>
              <w:keepNext w:val="0"/>
              <w:keepLines w:val="0"/>
              <w:suppressLineNumbers w:val="0"/>
              <w:spacing w:before="0" w:beforeAutospacing="0" w:after="0" w:afterAutospacing="0" w:line="560" w:lineRule="exact"/>
              <w:ind w:left="0" w:right="0" w:firstLine="560"/>
              <w:rPr>
                <w:rFonts w:hint="default" w:ascii="Times New Roman" w:hAnsi="Times New Roman" w:eastAsia="宋体" w:cs="Times New Roman"/>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1827" w:type="dxa"/>
            <w:vAlign w:val="center"/>
          </w:tcPr>
          <w:p>
            <w:pPr>
              <w:keepNext w:val="0"/>
              <w:keepLines w:val="0"/>
              <w:suppressLineNumbers w:val="0"/>
              <w:spacing w:before="0" w:beforeAutospacing="0" w:after="0" w:afterAutospacing="0" w:line="560" w:lineRule="exact"/>
              <w:ind w:left="0" w:right="0"/>
              <w:jc w:val="center"/>
              <w:rPr>
                <w:rFonts w:hint="default" w:ascii="黑体" w:hAnsi="黑体" w:eastAsia="黑体" w:cs="Times New Roman"/>
                <w:sz w:val="24"/>
              </w:rPr>
            </w:pPr>
            <w:r>
              <w:rPr>
                <w:rFonts w:hint="default" w:ascii="黑体" w:hAnsi="黑体" w:eastAsia="黑体" w:cs="Times New Roman"/>
                <w:sz w:val="24"/>
              </w:rPr>
              <w:t>联系人及电话</w:t>
            </w:r>
          </w:p>
        </w:tc>
        <w:tc>
          <w:tcPr>
            <w:tcW w:w="6773" w:type="dxa"/>
          </w:tcPr>
          <w:p>
            <w:pPr>
              <w:keepNext w:val="0"/>
              <w:keepLines w:val="0"/>
              <w:suppressLineNumbers w:val="0"/>
              <w:spacing w:before="0" w:beforeAutospacing="0" w:after="0" w:afterAutospacing="0" w:line="560" w:lineRule="exact"/>
              <w:ind w:left="0" w:right="0" w:firstLine="560"/>
              <w:rPr>
                <w:rFonts w:hint="default" w:ascii="Times New Roman" w:hAnsi="Times New Roman" w:eastAsia="宋体" w:cs="Times New Roman"/>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9" w:hRule="atLeast"/>
          <w:jc w:val="center"/>
        </w:trPr>
        <w:tc>
          <w:tcPr>
            <w:tcW w:w="8600" w:type="dxa"/>
            <w:gridSpan w:val="2"/>
          </w:tcPr>
          <w:p>
            <w:pPr>
              <w:keepNext w:val="0"/>
              <w:keepLines w:val="0"/>
              <w:suppressLineNumbers w:val="0"/>
              <w:spacing w:before="0" w:beforeAutospacing="0" w:after="0" w:afterAutospacing="0" w:line="560" w:lineRule="exact"/>
              <w:ind w:left="0" w:right="-27" w:rightChars="-13"/>
              <w:jc w:val="center"/>
              <w:rPr>
                <w:rFonts w:hint="default" w:ascii="Times New Roman" w:hAnsi="Times New Roman" w:eastAsia="宋体" w:cs="Times New Roman"/>
                <w:sz w:val="24"/>
              </w:rPr>
            </w:pPr>
            <w:r>
              <w:rPr>
                <w:rFonts w:hint="default" w:ascii="Times New Roman" w:hAnsi="Times New Roman" w:eastAsia="宋体" w:cs="Times New Roman"/>
                <w:sz w:val="32"/>
                <w:szCs w:val="32"/>
              </w:rPr>
              <w:t>整改情况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0" w:hRule="atLeast"/>
          <w:jc w:val="center"/>
        </w:trPr>
        <w:tc>
          <w:tcPr>
            <w:tcW w:w="1827" w:type="dxa"/>
            <w:vAlign w:val="center"/>
          </w:tcPr>
          <w:p>
            <w:pPr>
              <w:keepNext w:val="0"/>
              <w:keepLines w:val="0"/>
              <w:suppressLineNumbers w:val="0"/>
              <w:spacing w:before="0" w:beforeAutospacing="0" w:after="0" w:afterAutospacing="0" w:line="560" w:lineRule="exact"/>
              <w:ind w:left="0" w:right="-27" w:rightChars="-13"/>
              <w:jc w:val="center"/>
              <w:rPr>
                <w:rFonts w:hint="default" w:ascii="Times New Roman" w:hAnsi="Times New Roman" w:eastAsia="宋体" w:cs="Times New Roman"/>
                <w:sz w:val="24"/>
              </w:rPr>
            </w:pPr>
            <w:r>
              <w:rPr>
                <w:rFonts w:hint="eastAsia" w:ascii="Times New Roman" w:hAnsi="Times New Roman" w:eastAsia="宋体" w:cs="Times New Roman"/>
                <w:sz w:val="24"/>
              </w:rPr>
              <w:t>单位意见</w:t>
            </w:r>
          </w:p>
        </w:tc>
        <w:tc>
          <w:tcPr>
            <w:tcW w:w="6773" w:type="dxa"/>
            <w:vAlign w:val="bottom"/>
          </w:tcPr>
          <w:p>
            <w:pPr>
              <w:keepNext w:val="0"/>
              <w:keepLines w:val="0"/>
              <w:suppressLineNumbers w:val="0"/>
              <w:spacing w:before="0" w:beforeAutospacing="0" w:after="0" w:afterAutospacing="0" w:line="560" w:lineRule="exact"/>
              <w:ind w:left="0" w:right="-27" w:rightChars="-13"/>
              <w:jc w:val="center"/>
              <w:rPr>
                <w:rFonts w:hint="default" w:ascii="Times New Roman" w:hAnsi="Times New Roman" w:eastAsia="宋体" w:cs="Times New Roman"/>
                <w:sz w:val="24"/>
              </w:rPr>
            </w:pPr>
          </w:p>
          <w:p>
            <w:pPr>
              <w:keepNext w:val="0"/>
              <w:keepLines w:val="0"/>
              <w:suppressLineNumbers w:val="0"/>
              <w:spacing w:before="0" w:beforeAutospacing="0" w:after="0" w:afterAutospacing="0" w:line="560" w:lineRule="exact"/>
              <w:ind w:left="0" w:right="-27" w:rightChars="-13"/>
              <w:rPr>
                <w:rFonts w:hint="default" w:ascii="Times New Roman" w:hAnsi="Times New Roman" w:eastAsia="宋体" w:cs="Times New Roman"/>
                <w:sz w:val="24"/>
              </w:rPr>
            </w:pPr>
            <w:r>
              <w:rPr>
                <w:rFonts w:hint="eastAsia" w:ascii="Times New Roman" w:hAnsi="Times New Roman" w:eastAsia="宋体" w:cs="Times New Roman"/>
                <w:sz w:val="24"/>
              </w:rPr>
              <w:t>单位负责人签名：     单位（盖章）：      年    月    日</w:t>
            </w:r>
          </w:p>
        </w:tc>
      </w:tr>
    </w:tbl>
    <w:p>
      <w:pPr>
        <w:widowControl/>
        <w:spacing w:line="400" w:lineRule="exact"/>
        <w:rPr>
          <w:rFonts w:ascii="黑体" w:hAnsi="黑体" w:eastAsia="黑体" w:cs="黑体"/>
          <w:szCs w:val="21"/>
        </w:rPr>
      </w:pPr>
      <w:r>
        <w:rPr>
          <w:rFonts w:hint="eastAsia" w:ascii="宋体" w:hAnsi="宋体" w:eastAsia="宋体" w:cs="宋体"/>
          <w:b/>
          <w:szCs w:val="21"/>
        </w:rPr>
        <w:t>注</w:t>
      </w:r>
      <w:r>
        <w:rPr>
          <w:rFonts w:hint="eastAsia" w:ascii="宋体" w:hAnsi="宋体" w:eastAsia="宋体" w:cs="宋体"/>
          <w:bCs/>
          <w:szCs w:val="21"/>
        </w:rPr>
        <w:t>：绩效评价结果整改报告书应在收到绩效评价结果反馈意见后30天内交县财政局绩效管理股。</w:t>
      </w:r>
    </w:p>
    <w:p>
      <w:pPr>
        <w:spacing w:line="580" w:lineRule="exact"/>
        <w:jc w:val="left"/>
        <w:rPr>
          <w:rFonts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附件5</w:t>
      </w:r>
    </w:p>
    <w:p>
      <w:pPr>
        <w:jc w:val="center"/>
        <w:rPr>
          <w:rFonts w:ascii="方正小标宋简体" w:hAnsi="方正小标宋简体" w:eastAsia="方正小标宋简体" w:cs="方正小标宋简体"/>
          <w:sz w:val="44"/>
          <w:szCs w:val="44"/>
        </w:rPr>
      </w:pPr>
    </w:p>
    <w:p>
      <w:pPr>
        <w:spacing w:line="700" w:lineRule="exact"/>
        <w:jc w:val="center"/>
        <w:rPr>
          <w:rFonts w:eastAsia="仿宋_GB2312"/>
          <w:sz w:val="32"/>
          <w:szCs w:val="32"/>
        </w:rPr>
      </w:pPr>
      <w:r>
        <w:rPr>
          <w:rFonts w:hint="eastAsia" w:ascii="方正小标宋简体" w:hAnsi="方正小标宋简体" w:eastAsia="方正小标宋简体" w:cs="方正小标宋简体"/>
          <w:sz w:val="44"/>
          <w:szCs w:val="44"/>
        </w:rPr>
        <w:t>2023年度农业农村局2022年渔业绿色循环发展试点项目支出绩效自评报告</w:t>
      </w:r>
    </w:p>
    <w:p>
      <w:pPr>
        <w:jc w:val="center"/>
        <w:rPr>
          <w:rFonts w:eastAsia="方正小标宋_GBK"/>
          <w:b/>
          <w:sz w:val="52"/>
          <w:szCs w:val="52"/>
        </w:rPr>
      </w:pPr>
    </w:p>
    <w:p>
      <w:pPr>
        <w:jc w:val="center"/>
        <w:rPr>
          <w:rFonts w:eastAsia="黑体"/>
          <w:sz w:val="32"/>
          <w:szCs w:val="32"/>
        </w:rPr>
      </w:pPr>
    </w:p>
    <w:p>
      <w:pPr>
        <w:pStyle w:val="9"/>
      </w:pPr>
    </w:p>
    <w:p>
      <w:pPr>
        <w:jc w:val="center"/>
        <w:rPr>
          <w:rFonts w:eastAsia="黑体"/>
          <w:sz w:val="32"/>
          <w:szCs w:val="32"/>
        </w:rPr>
      </w:pPr>
    </w:p>
    <w:p>
      <w:pPr>
        <w:jc w:val="center"/>
        <w:rPr>
          <w:rFonts w:eastAsia="黑体"/>
          <w:sz w:val="32"/>
          <w:szCs w:val="32"/>
        </w:rPr>
      </w:pPr>
    </w:p>
    <w:p>
      <w:pPr>
        <w:jc w:val="center"/>
        <w:rPr>
          <w:rFonts w:eastAsia="黑体"/>
          <w:sz w:val="32"/>
          <w:szCs w:val="32"/>
        </w:rPr>
      </w:pPr>
    </w:p>
    <w:p>
      <w:pPr>
        <w:jc w:val="center"/>
        <w:rPr>
          <w:rFonts w:eastAsia="黑体"/>
          <w:sz w:val="32"/>
          <w:szCs w:val="32"/>
        </w:rPr>
      </w:pPr>
    </w:p>
    <w:p>
      <w:pPr>
        <w:rPr>
          <w:rFonts w:eastAsia="黑体"/>
          <w:sz w:val="32"/>
          <w:szCs w:val="32"/>
        </w:rPr>
      </w:pPr>
    </w:p>
    <w:p>
      <w:pPr>
        <w:pStyle w:val="5"/>
        <w:spacing w:before="100" w:line="221" w:lineRule="auto"/>
        <w:ind w:firstLine="600" w:firstLineChars="200"/>
        <w:rPr>
          <w:rFonts w:ascii="仿宋_GB2312" w:hAnsi="仿宋_GB2312" w:eastAsia="仿宋_GB2312" w:cs="仿宋_GB2312"/>
          <w:sz w:val="32"/>
          <w:szCs w:val="32"/>
        </w:rPr>
      </w:pPr>
      <w:r>
        <w:rPr>
          <w:rFonts w:hint="eastAsia" w:ascii="仿宋_GB2312" w:hAnsi="仿宋_GB2312" w:eastAsia="仿宋_GB2312" w:cs="仿宋_GB2312"/>
          <w:spacing w:val="-10"/>
          <w:sz w:val="32"/>
          <w:szCs w:val="32"/>
        </w:rPr>
        <w:t>部门（单位）名称</w:t>
      </w:r>
      <w:r>
        <w:rPr>
          <w:rFonts w:hint="eastAsia" w:ascii="仿宋_GB2312" w:hAnsi="仿宋_GB2312" w:eastAsia="仿宋_GB2312" w:cs="仿宋_GB2312"/>
          <w:spacing w:val="4"/>
          <w:sz w:val="32"/>
          <w:szCs w:val="32"/>
        </w:rPr>
        <w:t>：</w:t>
      </w:r>
      <w:r>
        <w:rPr>
          <w:rFonts w:hint="eastAsia" w:ascii="仿宋_GB2312" w:hAnsi="仿宋_GB2312" w:eastAsia="仿宋_GB2312" w:cs="仿宋_GB2312"/>
          <w:spacing w:val="4"/>
          <w:sz w:val="32"/>
          <w:szCs w:val="32"/>
          <w:u w:val="single"/>
          <w:lang w:eastAsia="zh-CN"/>
        </w:rPr>
        <w:t>(</w:t>
      </w:r>
      <w:r>
        <w:rPr>
          <w:rFonts w:hint="eastAsia" w:ascii="仿宋_GB2312" w:hAnsi="仿宋_GB2312" w:eastAsia="仿宋_GB2312" w:cs="仿宋_GB2312"/>
          <w:spacing w:val="-118"/>
          <w:sz w:val="32"/>
          <w:szCs w:val="32"/>
          <w:u w:val="single"/>
        </w:rPr>
        <w:t xml:space="preserve"> </w:t>
      </w:r>
      <w:r>
        <w:rPr>
          <w:rFonts w:hint="eastAsia" w:ascii="仿宋_GB2312" w:hAnsi="仿宋_GB2312" w:eastAsia="仿宋_GB2312" w:cs="仿宋_GB2312"/>
          <w:spacing w:val="-75"/>
          <w:sz w:val="32"/>
          <w:szCs w:val="32"/>
          <w:u w:val="single"/>
        </w:rPr>
        <w:t xml:space="preserve"> </w:t>
      </w:r>
      <w:r>
        <w:rPr>
          <w:rFonts w:hint="eastAsia" w:ascii="仿宋_GB2312" w:hAnsi="仿宋_GB2312" w:eastAsia="仿宋_GB2312" w:cs="仿宋_GB2312"/>
          <w:spacing w:val="-10"/>
          <w:sz w:val="32"/>
          <w:szCs w:val="32"/>
          <w:u w:val="single"/>
        </w:rPr>
        <w:t>盖章）</w:t>
      </w:r>
      <w:r>
        <w:rPr>
          <w:rFonts w:hint="eastAsia" w:ascii="仿宋_GB2312" w:hAnsi="仿宋_GB2312" w:eastAsia="仿宋_GB2312" w:cs="仿宋_GB2312"/>
          <w:sz w:val="32"/>
          <w:szCs w:val="32"/>
          <w:u w:val="single"/>
        </w:rPr>
        <w:t xml:space="preserve">       </w:t>
      </w:r>
      <w:r>
        <w:rPr>
          <w:rFonts w:hint="eastAsia" w:ascii="仿宋_GB2312" w:hAnsi="仿宋_GB2312" w:eastAsia="仿宋_GB2312" w:cs="仿宋_GB2312"/>
          <w:sz w:val="32"/>
          <w:szCs w:val="32"/>
          <w:u w:val="single"/>
          <w:lang w:eastAsia="zh-CN"/>
        </w:rPr>
        <w:t xml:space="preserve">     </w:t>
      </w:r>
      <w:r>
        <w:rPr>
          <w:rFonts w:hint="eastAsia" w:ascii="仿宋_GB2312" w:hAnsi="仿宋_GB2312" w:eastAsia="仿宋_GB2312" w:cs="仿宋_GB2312"/>
          <w:sz w:val="32"/>
          <w:szCs w:val="32"/>
          <w:u w:val="single"/>
        </w:rPr>
        <w:t xml:space="preserve">  </w:t>
      </w:r>
    </w:p>
    <w:p>
      <w:pPr>
        <w:spacing w:before="228" w:line="222" w:lineRule="auto"/>
        <w:ind w:firstLine="4560" w:firstLineChars="1500"/>
        <w:rPr>
          <w:rFonts w:ascii="仿宋_GB2312" w:hAnsi="仿宋_GB2312" w:eastAsia="仿宋_GB2312" w:cs="仿宋_GB2312"/>
          <w:sz w:val="32"/>
          <w:szCs w:val="32"/>
        </w:rPr>
      </w:pPr>
      <w:r>
        <w:rPr>
          <w:rFonts w:hint="eastAsia" w:ascii="仿宋_GB2312" w:hAnsi="仿宋_GB2312" w:eastAsia="仿宋_GB2312" w:cs="仿宋_GB2312"/>
          <w:spacing w:val="-8"/>
          <w:sz w:val="32"/>
          <w:szCs w:val="32"/>
        </w:rPr>
        <w:t>2024年</w:t>
      </w:r>
      <w:r>
        <w:rPr>
          <w:rFonts w:hint="eastAsia" w:ascii="仿宋_GB2312" w:hAnsi="仿宋_GB2312" w:eastAsia="仿宋_GB2312" w:cs="仿宋_GB2312"/>
          <w:spacing w:val="21"/>
          <w:sz w:val="32"/>
          <w:szCs w:val="32"/>
        </w:rPr>
        <w:t xml:space="preserve">  5</w:t>
      </w:r>
      <w:r>
        <w:rPr>
          <w:rFonts w:hint="eastAsia" w:ascii="仿宋_GB2312" w:hAnsi="仿宋_GB2312" w:eastAsia="仿宋_GB2312" w:cs="仿宋_GB2312"/>
          <w:spacing w:val="-8"/>
          <w:sz w:val="32"/>
          <w:szCs w:val="32"/>
        </w:rPr>
        <w:t>月</w:t>
      </w:r>
      <w:r>
        <w:rPr>
          <w:rFonts w:hint="eastAsia" w:ascii="仿宋_GB2312" w:hAnsi="仿宋_GB2312" w:eastAsia="仿宋_GB2312" w:cs="仿宋_GB2312"/>
          <w:spacing w:val="43"/>
          <w:sz w:val="32"/>
          <w:szCs w:val="32"/>
        </w:rPr>
        <w:t xml:space="preserve"> 28 </w:t>
      </w:r>
      <w:r>
        <w:rPr>
          <w:rFonts w:hint="eastAsia" w:ascii="仿宋_GB2312" w:hAnsi="仿宋_GB2312" w:eastAsia="仿宋_GB2312" w:cs="仿宋_GB2312"/>
          <w:spacing w:val="-8"/>
          <w:sz w:val="32"/>
          <w:szCs w:val="32"/>
        </w:rPr>
        <w:t>日</w:t>
      </w:r>
    </w:p>
    <w:p>
      <w:pPr>
        <w:spacing w:line="335" w:lineRule="auto"/>
        <w:rPr>
          <w:rFonts w:ascii="仿宋_GB2312" w:hAnsi="仿宋_GB2312" w:eastAsia="仿宋_GB2312" w:cs="仿宋_GB2312"/>
          <w:sz w:val="32"/>
          <w:szCs w:val="32"/>
        </w:rPr>
      </w:pPr>
    </w:p>
    <w:p>
      <w:pPr>
        <w:pStyle w:val="5"/>
        <w:spacing w:before="102" w:line="224" w:lineRule="auto"/>
        <w:ind w:left="3216"/>
        <w:rPr>
          <w:rFonts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（此页为封面）</w:t>
      </w:r>
    </w:p>
    <w:p>
      <w:pPr>
        <w:rPr>
          <w:rFonts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br w:type="page"/>
      </w:r>
    </w:p>
    <w:p>
      <w:pPr>
        <w:spacing w:line="610" w:lineRule="exact"/>
        <w:jc w:val="center"/>
        <w:rPr>
          <w:rFonts w:eastAsia="仿宋_GB2312"/>
          <w:sz w:val="32"/>
          <w:szCs w:val="32"/>
        </w:rPr>
      </w:pPr>
      <w:r>
        <w:rPr>
          <w:rFonts w:hint="eastAsia" w:ascii="方正小标宋简体" w:hAnsi="方正小标宋简体" w:eastAsia="方正小标宋简体" w:cs="方正小标宋简体"/>
          <w:sz w:val="44"/>
          <w:szCs w:val="44"/>
        </w:rPr>
        <w:t>2023年度农业农村局2022年渔业绿色循环发展试点项目支出绩效自评报告</w:t>
      </w:r>
    </w:p>
    <w:p>
      <w:pPr>
        <w:jc w:val="center"/>
        <w:rPr>
          <w:rFonts w:ascii="黑体" w:hAnsi="黑体" w:eastAsia="黑体" w:cs="黑体"/>
          <w:b/>
          <w:bCs/>
          <w:sz w:val="36"/>
          <w:szCs w:val="36"/>
        </w:rPr>
      </w:pPr>
    </w:p>
    <w:p>
      <w:pPr>
        <w:spacing w:line="580" w:lineRule="exact"/>
        <w:ind w:firstLine="640" w:firstLineChars="200"/>
        <w:jc w:val="left"/>
        <w:rPr>
          <w:rFonts w:ascii="黑体" w:hAnsi="黑体" w:eastAsia="黑体" w:cs="黑体"/>
          <w:sz w:val="32"/>
          <w:szCs w:val="32"/>
        </w:rPr>
      </w:pPr>
      <w:r>
        <w:rPr>
          <w:rFonts w:hint="eastAsia" w:ascii="黑体" w:hAnsi="黑体" w:eastAsia="黑体" w:cs="黑体"/>
          <w:sz w:val="32"/>
          <w:szCs w:val="32"/>
        </w:rPr>
        <w:t>一、项目概况</w:t>
      </w:r>
    </w:p>
    <w:p>
      <w:pPr>
        <w:spacing w:line="580" w:lineRule="exact"/>
        <w:ind w:firstLine="640" w:firstLineChars="200"/>
        <w:jc w:val="left"/>
        <w:rPr>
          <w:rFonts w:ascii="仿宋_GB2312" w:hAnsi="仿宋_GB2312" w:eastAsia="仿宋_GB2312" w:cs="仿宋_GB2312"/>
          <w:sz w:val="32"/>
          <w:szCs w:val="32"/>
        </w:rPr>
      </w:pPr>
      <w:r>
        <w:rPr>
          <w:rFonts w:hint="eastAsia" w:ascii="仿宋_GB2312" w:hAnsi="仿宋_GB2312" w:eastAsia="仿宋_GB2312" w:cs="仿宋_GB2312"/>
          <w:sz w:val="32"/>
          <w:szCs w:val="32"/>
        </w:rPr>
        <w:t>（一）项目基本情况简介</w:t>
      </w:r>
    </w:p>
    <w:p>
      <w:pPr>
        <w:spacing w:line="580" w:lineRule="exact"/>
        <w:ind w:firstLine="640" w:firstLineChars="200"/>
        <w:jc w:val="left"/>
        <w:rPr>
          <w:rFonts w:ascii="仿宋_GB2312" w:hAnsi="仿宋_GB2312" w:eastAsia="仿宋_GB2312" w:cs="仿宋_GB2312"/>
          <w:sz w:val="32"/>
          <w:szCs w:val="32"/>
        </w:rPr>
      </w:pPr>
      <w:r>
        <w:rPr>
          <w:rFonts w:hint="eastAsia" w:ascii="仿宋_GB2312" w:hAnsi="仿宋_GB2312" w:eastAsia="仿宋_GB2312" w:cs="仿宋_GB2312"/>
          <w:sz w:val="32"/>
          <w:szCs w:val="32"/>
        </w:rPr>
        <w:t>根据湖南省农业农村厅、财政厅《湖南省渔业绿色循环发展试点工作方案》（湘农联[2022]15号）文件精神，我县严格对照省厅批复的《关于2022年渔业绿色循环发展试点项目实施方案的批复》中关于华容县2022年渔业绿色循环发展试点项目建设规模及内容，在东湖渔场、隆庆莲场、治河渡月亮湖和张家湖渔场共8400亩集中连片养殖池塘进行标准化改造和尾水治理建设。项目主体建设工程于2023年9月30日全面竣工，10月18日已通过县级初步验收。现将项目建设工作开展情况总结如下。</w:t>
      </w:r>
    </w:p>
    <w:p>
      <w:pPr>
        <w:spacing w:line="580" w:lineRule="exact"/>
        <w:ind w:firstLine="640" w:firstLineChars="200"/>
        <w:jc w:val="left"/>
        <w:rPr>
          <w:rFonts w:ascii="黑体" w:hAnsi="黑体" w:eastAsia="黑体" w:cs="黑体"/>
          <w:sz w:val="32"/>
          <w:szCs w:val="32"/>
        </w:rPr>
      </w:pPr>
      <w:r>
        <w:rPr>
          <w:rFonts w:hint="eastAsia" w:ascii="黑体" w:hAnsi="黑体" w:eastAsia="黑体" w:cs="黑体"/>
          <w:sz w:val="32"/>
          <w:szCs w:val="32"/>
        </w:rPr>
        <w:t>二、项目资金使用及管理情况</w:t>
      </w:r>
    </w:p>
    <w:p>
      <w:pPr>
        <w:spacing w:line="580" w:lineRule="exact"/>
        <w:ind w:firstLine="640" w:firstLineChars="200"/>
        <w:jc w:val="left"/>
        <w:rPr>
          <w:rFonts w:ascii="仿宋_GB2312" w:hAnsi="仿宋_GB2312" w:eastAsia="仿宋_GB2312" w:cs="仿宋_GB2312"/>
          <w:b/>
          <w:bCs/>
          <w:sz w:val="32"/>
          <w:szCs w:val="32"/>
        </w:rPr>
      </w:pPr>
      <w:r>
        <w:rPr>
          <w:rFonts w:hint="eastAsia" w:ascii="仿宋_GB2312" w:hAnsi="仿宋_GB2312" w:eastAsia="仿宋_GB2312" w:cs="仿宋_GB2312"/>
          <w:sz w:val="32"/>
          <w:szCs w:val="32"/>
        </w:rPr>
        <w:t>（一）</w:t>
      </w:r>
      <w:r>
        <w:rPr>
          <w:rFonts w:hint="eastAsia" w:ascii="仿宋_GB2312" w:hAnsi="仿宋_GB2312" w:eastAsia="仿宋_GB2312" w:cs="仿宋_GB2312"/>
          <w:b/>
          <w:bCs/>
          <w:sz w:val="32"/>
          <w:szCs w:val="32"/>
        </w:rPr>
        <w:t>项目资金使用情况</w:t>
      </w:r>
    </w:p>
    <w:p>
      <w:pPr>
        <w:spacing w:line="580" w:lineRule="exact"/>
        <w:ind w:firstLine="640" w:firstLineChars="200"/>
        <w:jc w:val="left"/>
        <w:rPr>
          <w:rFonts w:ascii="仿宋_GB2312" w:hAnsi="仿宋_GB2312" w:eastAsia="仿宋_GB2312" w:cs="仿宋_GB2312"/>
          <w:sz w:val="32"/>
          <w:szCs w:val="32"/>
        </w:rPr>
      </w:pPr>
      <w:r>
        <w:rPr>
          <w:rFonts w:hint="eastAsia" w:ascii="仿宋_GB2312" w:hAnsi="仿宋_GB2312" w:eastAsia="仿宋_GB2312" w:cs="仿宋_GB2312"/>
          <w:sz w:val="32"/>
          <w:szCs w:val="32"/>
        </w:rPr>
        <w:t>华容县2022年渔业绿色循环发展试点项目总投资8400万元，其中省级以上财政资金2500万元，项目实施主体农户自筹5900万元。项目分别在四个建设点实施，其中东湖渔场池塘生态化改造和尾水治理面积2500亩，财政支持资金524.65万元；隆庆莲场池塘生态化改造和尾水治理面积3100亩，财政支持资金684.37万元；治河渡镇月亮湖渔场池塘生态化改造和尾水治理面积1900亩，财政支持资金431.06万元；治河渡镇张家湖渔场池塘生态化改造和尾水治理面积900亩，财政支持资金277.73万元；项目其它费用582.21。</w:t>
      </w:r>
    </w:p>
    <w:p>
      <w:pPr>
        <w:spacing w:line="580" w:lineRule="exact"/>
        <w:ind w:firstLine="640" w:firstLineChars="200"/>
        <w:jc w:val="left"/>
        <w:rPr>
          <w:rFonts w:ascii="仿宋_GB2312" w:hAnsi="仿宋_GB2312" w:eastAsia="仿宋_GB2312" w:cs="仿宋_GB2312"/>
          <w:b/>
          <w:bCs/>
          <w:sz w:val="32"/>
          <w:szCs w:val="32"/>
        </w:rPr>
      </w:pPr>
      <w:r>
        <w:rPr>
          <w:rFonts w:hint="eastAsia" w:ascii="仿宋_GB2312" w:hAnsi="仿宋_GB2312" w:eastAsia="仿宋_GB2312" w:cs="仿宋_GB2312"/>
          <w:sz w:val="32"/>
          <w:szCs w:val="32"/>
        </w:rPr>
        <w:t>（二）</w:t>
      </w:r>
      <w:r>
        <w:rPr>
          <w:rFonts w:hint="eastAsia" w:ascii="仿宋_GB2312" w:hAnsi="仿宋_GB2312" w:eastAsia="仿宋_GB2312" w:cs="仿宋_GB2312"/>
          <w:b/>
          <w:bCs/>
          <w:sz w:val="32"/>
          <w:szCs w:val="32"/>
        </w:rPr>
        <w:t>项目建设实施情况</w:t>
      </w:r>
    </w:p>
    <w:p>
      <w:pPr>
        <w:spacing w:line="580" w:lineRule="exact"/>
        <w:ind w:firstLine="640" w:firstLineChars="200"/>
        <w:jc w:val="left"/>
        <w:rPr>
          <w:rFonts w:ascii="仿宋_GB2312" w:hAnsi="仿宋_GB2312" w:eastAsia="仿宋_GB2312" w:cs="仿宋_GB2312"/>
          <w:sz w:val="32"/>
          <w:szCs w:val="32"/>
        </w:rPr>
      </w:pPr>
      <w:r>
        <w:rPr>
          <w:rFonts w:hint="eastAsia" w:ascii="仿宋_GB2312" w:hAnsi="仿宋_GB2312" w:eastAsia="仿宋_GB2312" w:cs="仿宋_GB2312"/>
          <w:sz w:val="32"/>
          <w:szCs w:val="32"/>
        </w:rPr>
        <w:t>华容渔业绿色循环发展试点项目采用“三池两坝”+生态沟渠尾水处理工艺，即“沉淀池+过滤坝+曝气池+过滤坝+生态净化池”+生态沟渠流程，对养殖池塘尾水进行收集处理，做到循环利用和达标排放。项目建设内容包括池塘清淤护坡、进排水分离、生产道路硬化及尾水治理系统建设和尾水监测设备安装。</w:t>
      </w:r>
    </w:p>
    <w:p>
      <w:pPr>
        <w:spacing w:line="580" w:lineRule="exact"/>
        <w:ind w:firstLine="640" w:firstLineChars="200"/>
        <w:jc w:val="left"/>
        <w:rPr>
          <w:rFonts w:ascii="仿宋_GB2312" w:hAnsi="仿宋_GB2312" w:eastAsia="仿宋_GB2312" w:cs="仿宋_GB2312"/>
          <w:sz w:val="32"/>
          <w:szCs w:val="32"/>
        </w:rPr>
      </w:pPr>
      <w:r>
        <w:rPr>
          <w:rFonts w:hint="eastAsia" w:ascii="仿宋_GB2312" w:hAnsi="仿宋_GB2312" w:eastAsia="仿宋_GB2312" w:cs="仿宋_GB2312"/>
          <w:sz w:val="32"/>
          <w:szCs w:val="32"/>
        </w:rPr>
        <w:t>1、加强了组织领导。成立了华容县渔业绿色循环发展试点项目工作领导小组，由分管农业的副县长为组长，县农业农村局、财政局主要负责人为成员，负责指挥协调、考核验收、日常监管等工作。领导小组下设办公室，由农业农村局分管副局长任办公室主任，负责项目监管、实施。</w:t>
      </w:r>
    </w:p>
    <w:p>
      <w:pPr>
        <w:spacing w:line="580" w:lineRule="exact"/>
        <w:ind w:firstLine="640" w:firstLineChars="200"/>
        <w:jc w:val="left"/>
        <w:rPr>
          <w:rFonts w:ascii="仿宋_GB2312" w:hAnsi="仿宋_GB2312" w:eastAsia="仿宋_GB2312" w:cs="仿宋_GB2312"/>
          <w:sz w:val="32"/>
          <w:szCs w:val="32"/>
        </w:rPr>
      </w:pPr>
      <w:r>
        <w:rPr>
          <w:rFonts w:hint="eastAsia" w:ascii="仿宋_GB2312" w:hAnsi="仿宋_GB2312" w:eastAsia="仿宋_GB2312" w:cs="仿宋_GB2312"/>
          <w:sz w:val="32"/>
          <w:szCs w:val="32"/>
        </w:rPr>
        <w:t>2、规范了项目流程。华容2022渔业绿色循环发展试点项目，县政府批准由县农业农村局组织实施。项目实施方案经省农业农村厅批复后，县农业农村局和县财政局联合印发发《华容县渔业绿色循环发展试点工作方案》，方案对项目建设内容、工程管理、资金使用等进行了明确。县农业农村局按规定流程到发改部门进行立项批复、概算评审，到县财政评审中心进行财评，再经县发改部门进行招投标核准，市农业农村局进行招投标文件备案审查等程序后，公开招投标进行项目建设。</w:t>
      </w:r>
    </w:p>
    <w:p>
      <w:pPr>
        <w:spacing w:line="580" w:lineRule="exact"/>
        <w:ind w:firstLine="640" w:firstLineChars="200"/>
        <w:jc w:val="left"/>
        <w:rPr>
          <w:rFonts w:ascii="仿宋_GB2312" w:hAnsi="仿宋_GB2312" w:eastAsia="仿宋_GB2312" w:cs="仿宋_GB2312"/>
          <w:sz w:val="32"/>
          <w:szCs w:val="32"/>
        </w:rPr>
      </w:pPr>
      <w:r>
        <w:rPr>
          <w:rFonts w:hint="eastAsia" w:ascii="仿宋_GB2312" w:hAnsi="仿宋_GB2312" w:eastAsia="仿宋_GB2312" w:cs="仿宋_GB2312"/>
          <w:sz w:val="32"/>
          <w:szCs w:val="32"/>
        </w:rPr>
        <w:t>3、完成了建设内容。项目完成了道路硬化4258米，改造碎石道路2750 米，路面修补和加宽3144米，鱼塘护坡改造20700米，鱼塘清淤115万立方米；建设“三池两坝”尾水处理系统11处，曝气池12座；沉淀池12座；布置过滤坝24座；净化池共9座；生态沟清淤整形14945米；布置毛刷共121套，生态浮床170处，沉水植物面积73926平方米。新建泵房2处，水闸10处。绿化2820平方米，种植树木134株。足量完成了省厅批复的建设内容。</w:t>
      </w:r>
    </w:p>
    <w:p>
      <w:pPr>
        <w:spacing w:line="580" w:lineRule="exact"/>
        <w:ind w:firstLine="640" w:firstLineChars="200"/>
        <w:jc w:val="left"/>
        <w:rPr>
          <w:rFonts w:ascii="仿宋_GB2312" w:hAnsi="仿宋_GB2312" w:eastAsia="仿宋_GB2312" w:cs="仿宋_GB2312"/>
          <w:sz w:val="32"/>
          <w:szCs w:val="32"/>
        </w:rPr>
      </w:pPr>
      <w:r>
        <w:rPr>
          <w:rFonts w:hint="eastAsia" w:ascii="仿宋_GB2312" w:hAnsi="仿宋_GB2312" w:eastAsia="仿宋_GB2312" w:cs="仿宋_GB2312"/>
          <w:sz w:val="32"/>
          <w:szCs w:val="32"/>
        </w:rPr>
        <w:t>项目目前尾水检测设备在比对采购中，资料收集整理同步进行，正在准备申请财政结算审计评审，预计到2024年3月前可完成市级验收。</w:t>
      </w:r>
    </w:p>
    <w:p>
      <w:pPr>
        <w:spacing w:line="580" w:lineRule="exact"/>
        <w:ind w:firstLine="640" w:firstLineChars="200"/>
        <w:jc w:val="left"/>
        <w:rPr>
          <w:rFonts w:ascii="黑体" w:hAnsi="黑体" w:eastAsia="黑体" w:cs="黑体"/>
          <w:sz w:val="32"/>
          <w:szCs w:val="32"/>
        </w:rPr>
      </w:pPr>
      <w:r>
        <w:rPr>
          <w:rFonts w:hint="eastAsia" w:ascii="黑体" w:hAnsi="黑体" w:eastAsia="黑体" w:cs="黑体"/>
          <w:sz w:val="32"/>
          <w:szCs w:val="32"/>
        </w:rPr>
        <w:t>三、项目取得的成效和经验</w:t>
      </w:r>
    </w:p>
    <w:p>
      <w:pPr>
        <w:spacing w:line="58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控制和削减了总磷排放。项目立足绿色循环发展理念，通过对养殖池塘清淤护坡等生态化改造和对养殖尾水进行设施化处理，养殖池塘尾水按《湖南省水产养殖尾水污染物排放标准》一级标准达标排放或循环利用，有效降低了水产养殖尾水排出的氮、磷等物质的污染，削减了洞庭湖域区总磷污染，对洞庭湖水环境综合治理贡献了力量。根据我县养殖户二年排干清塘养殖习惯，结合水质检测结果估算，年约可削减总磷1.955吨。</w:t>
      </w:r>
    </w:p>
    <w:p>
      <w:pPr>
        <w:spacing w:line="58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2、促进了渔业循环发展。项目的建成，有效提高了池塘养殖水质，减少了水质恶化带来的水产养殖病害，减少了药剂的使用，提升了水产品产量及品质，节约了能源成本，增加了养殖收入，改善了渔业生产条件，为渔业绿色循环发展提供了保障，为渔业健康养殖树立了样板，有效促进了乡村振兴。项目建成后，彻底消除了养殖尾水直排现象，尾水经治理后循环利用，对该地区水域生态系统有很好的恢复作用，对洞庭湖区水质和生态环境起到了很好的保护作用，符合现代渔业高质量发展要求。</w:t>
      </w:r>
    </w:p>
    <w:p>
      <w:pPr>
        <w:spacing w:line="580" w:lineRule="exact"/>
        <w:ind w:firstLine="640" w:firstLineChars="200"/>
        <w:rPr>
          <w:rFonts w:ascii="仿宋_GB2312" w:hAnsi="仿宋_GB2312" w:eastAsia="仿宋_GB2312" w:cs="仿宋_GB2312"/>
          <w:sz w:val="32"/>
          <w:szCs w:val="32"/>
        </w:rPr>
      </w:pPr>
    </w:p>
    <w:p>
      <w:pPr>
        <w:spacing w:line="610" w:lineRule="exact"/>
        <w:ind w:firstLine="600" w:firstLineChars="200"/>
        <w:rPr>
          <w:rFonts w:ascii="黑体" w:hAnsi="黑体" w:eastAsia="黑体" w:cs="黑体"/>
          <w:sz w:val="30"/>
          <w:szCs w:val="30"/>
        </w:rPr>
      </w:pPr>
    </w:p>
    <w:p>
      <w:pPr>
        <w:spacing w:line="610" w:lineRule="exact"/>
        <w:ind w:firstLine="600" w:firstLineChars="200"/>
        <w:rPr>
          <w:rFonts w:ascii="黑体" w:hAnsi="黑体" w:eastAsia="黑体" w:cs="黑体"/>
          <w:sz w:val="30"/>
          <w:szCs w:val="30"/>
        </w:rPr>
      </w:pPr>
    </w:p>
    <w:p>
      <w:pPr>
        <w:spacing w:line="610" w:lineRule="exact"/>
        <w:ind w:firstLine="600" w:firstLineChars="200"/>
        <w:rPr>
          <w:rFonts w:ascii="黑体" w:hAnsi="黑体" w:eastAsia="黑体" w:cs="黑体"/>
          <w:sz w:val="30"/>
          <w:szCs w:val="30"/>
        </w:rPr>
      </w:pPr>
    </w:p>
    <w:p>
      <w:pPr>
        <w:spacing w:line="610" w:lineRule="exact"/>
        <w:ind w:firstLine="600" w:firstLineChars="200"/>
        <w:rPr>
          <w:rFonts w:ascii="黑体" w:hAnsi="黑体" w:eastAsia="黑体" w:cs="黑体"/>
          <w:sz w:val="30"/>
          <w:szCs w:val="30"/>
        </w:rPr>
      </w:pPr>
    </w:p>
    <w:p>
      <w:pPr>
        <w:spacing w:line="610" w:lineRule="exact"/>
        <w:ind w:firstLine="600" w:firstLineChars="200"/>
        <w:rPr>
          <w:rFonts w:ascii="黑体" w:hAnsi="黑体" w:eastAsia="黑体" w:cs="黑体"/>
          <w:sz w:val="30"/>
          <w:szCs w:val="30"/>
        </w:rPr>
      </w:pPr>
    </w:p>
    <w:p>
      <w:pPr>
        <w:spacing w:line="610" w:lineRule="exact"/>
        <w:ind w:firstLine="600" w:firstLineChars="200"/>
        <w:rPr>
          <w:rFonts w:ascii="黑体" w:hAnsi="黑体" w:eastAsia="黑体" w:cs="黑体"/>
          <w:sz w:val="30"/>
          <w:szCs w:val="30"/>
        </w:rPr>
      </w:pPr>
    </w:p>
    <w:p>
      <w:pPr>
        <w:spacing w:line="610" w:lineRule="exact"/>
        <w:ind w:firstLine="600" w:firstLineChars="200"/>
        <w:rPr>
          <w:rFonts w:ascii="黑体" w:hAnsi="黑体" w:eastAsia="黑体" w:cs="黑体"/>
          <w:sz w:val="30"/>
          <w:szCs w:val="30"/>
        </w:rPr>
      </w:pPr>
    </w:p>
    <w:p>
      <w:pPr>
        <w:spacing w:line="610" w:lineRule="exact"/>
        <w:ind w:firstLine="600" w:firstLineChars="200"/>
        <w:rPr>
          <w:rFonts w:ascii="黑体" w:hAnsi="黑体" w:eastAsia="黑体" w:cs="黑体"/>
          <w:sz w:val="30"/>
          <w:szCs w:val="30"/>
        </w:rPr>
      </w:pPr>
    </w:p>
    <w:p>
      <w:pPr>
        <w:spacing w:line="610" w:lineRule="exact"/>
        <w:ind w:firstLine="600" w:firstLineChars="200"/>
        <w:rPr>
          <w:rFonts w:ascii="黑体" w:hAnsi="黑体" w:eastAsia="黑体" w:cs="黑体"/>
          <w:sz w:val="30"/>
          <w:szCs w:val="30"/>
        </w:rPr>
      </w:pPr>
    </w:p>
    <w:p>
      <w:pPr>
        <w:spacing w:line="610" w:lineRule="exact"/>
        <w:ind w:firstLine="600" w:firstLineChars="200"/>
        <w:rPr>
          <w:rFonts w:ascii="黑体" w:hAnsi="黑体" w:eastAsia="黑体" w:cs="黑体"/>
          <w:sz w:val="30"/>
          <w:szCs w:val="30"/>
        </w:rPr>
      </w:pPr>
    </w:p>
    <w:p>
      <w:pPr>
        <w:spacing w:line="610" w:lineRule="exact"/>
        <w:ind w:firstLine="600" w:firstLineChars="200"/>
        <w:rPr>
          <w:rFonts w:ascii="黑体" w:hAnsi="黑体" w:eastAsia="黑体" w:cs="黑体"/>
          <w:sz w:val="30"/>
          <w:szCs w:val="30"/>
        </w:rPr>
      </w:pPr>
    </w:p>
    <w:p>
      <w:pPr>
        <w:spacing w:line="610" w:lineRule="exact"/>
        <w:ind w:firstLine="600" w:firstLineChars="200"/>
        <w:rPr>
          <w:rFonts w:ascii="黑体" w:hAnsi="黑体" w:eastAsia="黑体" w:cs="黑体"/>
          <w:sz w:val="30"/>
          <w:szCs w:val="30"/>
        </w:rPr>
      </w:pPr>
    </w:p>
    <w:p>
      <w:pPr>
        <w:spacing w:before="181" w:line="171" w:lineRule="auto"/>
        <w:rPr>
          <w:rFonts w:ascii="仿宋_GB2312" w:hAnsi="仿宋_GB2312" w:eastAsia="仿宋_GB2312" w:cs="仿宋_GB2312"/>
          <w:sz w:val="32"/>
          <w:szCs w:val="32"/>
        </w:rPr>
      </w:pPr>
      <w:r>
        <w:rPr>
          <w:rFonts w:hint="eastAsia" w:ascii="仿宋_GB2312" w:hAnsi="仿宋_GB2312" w:eastAsia="仿宋_GB2312" w:cs="仿宋_GB2312"/>
          <w:sz w:val="32"/>
          <w:szCs w:val="32"/>
        </w:rPr>
        <w:t>附件6</w:t>
      </w:r>
    </w:p>
    <w:p>
      <w:pPr>
        <w:spacing w:afterLines="50" w:line="580" w:lineRule="exact"/>
        <w:jc w:val="center"/>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pacing w:val="7"/>
          <w:sz w:val="44"/>
          <w:szCs w:val="44"/>
        </w:rPr>
        <w:t>2023年度项目支出绩效自评表</w:t>
      </w:r>
    </w:p>
    <w:tbl>
      <w:tblPr>
        <w:tblStyle w:val="19"/>
        <w:tblW w:w="5041"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898"/>
        <w:gridCol w:w="897"/>
        <w:gridCol w:w="1114"/>
        <w:gridCol w:w="939"/>
        <w:gridCol w:w="987"/>
        <w:gridCol w:w="1124"/>
        <w:gridCol w:w="594"/>
        <w:gridCol w:w="700"/>
        <w:gridCol w:w="1326"/>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1696" w:type="pct"/>
            <w:gridSpan w:val="3"/>
            <w:vAlign w:val="center"/>
          </w:tcPr>
          <w:p>
            <w:pPr>
              <w:jc w:val="center"/>
              <w:rPr>
                <w:rFonts w:ascii="黑体" w:hAnsi="黑体" w:eastAsia="黑体" w:cs="黑体"/>
                <w:szCs w:val="21"/>
              </w:rPr>
            </w:pPr>
            <w:r>
              <w:rPr>
                <w:rFonts w:hint="eastAsia" w:ascii="黑体" w:hAnsi="黑体" w:eastAsia="黑体" w:cs="黑体"/>
                <w:szCs w:val="21"/>
              </w:rPr>
              <w:t>项目支出名称</w:t>
            </w:r>
          </w:p>
        </w:tc>
        <w:tc>
          <w:tcPr>
            <w:tcW w:w="3303" w:type="pct"/>
            <w:gridSpan w:val="6"/>
            <w:vAlign w:val="center"/>
          </w:tcPr>
          <w:p>
            <w:pPr>
              <w:jc w:val="center"/>
              <w:rPr>
                <w:rFonts w:hint="eastAsia" w:ascii="黑体" w:hAnsi="黑体" w:eastAsia="黑体" w:cs="黑体"/>
                <w:szCs w:val="21"/>
              </w:rPr>
            </w:pPr>
            <w:r>
              <w:rPr>
                <w:rFonts w:hint="eastAsia" w:ascii="黑体" w:hAnsi="黑体" w:eastAsia="黑体" w:cs="黑体"/>
                <w:szCs w:val="21"/>
              </w:rPr>
              <w:t>渔业绿色循环发展项目</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4" w:type="pct"/>
            <w:vAlign w:val="center"/>
          </w:tcPr>
          <w:p>
            <w:pPr>
              <w:jc w:val="center"/>
              <w:rPr>
                <w:rFonts w:ascii="黑体" w:hAnsi="黑体" w:eastAsia="黑体" w:cs="黑体"/>
                <w:szCs w:val="21"/>
              </w:rPr>
            </w:pPr>
            <w:r>
              <w:rPr>
                <w:rFonts w:hint="eastAsia" w:ascii="黑体" w:hAnsi="黑体" w:eastAsia="黑体" w:cs="黑体"/>
                <w:szCs w:val="21"/>
              </w:rPr>
              <w:t>主管</w:t>
            </w:r>
          </w:p>
          <w:p>
            <w:pPr>
              <w:jc w:val="center"/>
              <w:rPr>
                <w:rFonts w:ascii="黑体" w:hAnsi="黑体" w:eastAsia="黑体" w:cs="黑体"/>
                <w:szCs w:val="21"/>
              </w:rPr>
            </w:pPr>
            <w:r>
              <w:rPr>
                <w:rFonts w:hint="eastAsia" w:ascii="黑体" w:hAnsi="黑体" w:eastAsia="黑体" w:cs="黑体"/>
                <w:szCs w:val="21"/>
              </w:rPr>
              <w:t>部门</w:t>
            </w:r>
          </w:p>
        </w:tc>
        <w:tc>
          <w:tcPr>
            <w:tcW w:w="2294" w:type="pct"/>
            <w:gridSpan w:val="4"/>
            <w:vAlign w:val="center"/>
          </w:tcPr>
          <w:p>
            <w:pPr>
              <w:jc w:val="center"/>
              <w:rPr>
                <w:rFonts w:hint="default" w:ascii="黑体" w:hAnsi="黑体" w:eastAsia="黑体" w:cs="黑体"/>
                <w:szCs w:val="21"/>
                <w:lang w:val="en-US" w:eastAsia="zh-CN"/>
              </w:rPr>
            </w:pPr>
            <w:r>
              <w:rPr>
                <w:rFonts w:hint="eastAsia" w:ascii="黑体" w:hAnsi="黑体" w:eastAsia="黑体" w:cs="黑体"/>
                <w:szCs w:val="21"/>
                <w:lang w:val="en-US" w:eastAsia="zh-CN"/>
              </w:rPr>
              <w:t>华容县农业农村局</w:t>
            </w:r>
          </w:p>
        </w:tc>
        <w:tc>
          <w:tcPr>
            <w:tcW w:w="653" w:type="pct"/>
            <w:vAlign w:val="center"/>
          </w:tcPr>
          <w:p>
            <w:pPr>
              <w:jc w:val="center"/>
              <w:rPr>
                <w:rFonts w:ascii="黑体" w:hAnsi="黑体" w:eastAsia="黑体" w:cs="黑体"/>
                <w:szCs w:val="21"/>
              </w:rPr>
            </w:pPr>
            <w:r>
              <w:rPr>
                <w:rFonts w:hint="eastAsia" w:ascii="黑体" w:hAnsi="黑体" w:eastAsia="黑体" w:cs="黑体"/>
                <w:szCs w:val="21"/>
              </w:rPr>
              <w:t>实施单位</w:t>
            </w:r>
          </w:p>
        </w:tc>
        <w:tc>
          <w:tcPr>
            <w:tcW w:w="1527" w:type="pct"/>
            <w:gridSpan w:val="3"/>
            <w:vAlign w:val="center"/>
          </w:tcPr>
          <w:p>
            <w:pPr>
              <w:jc w:val="center"/>
              <w:rPr>
                <w:rFonts w:ascii="黑体" w:hAnsi="黑体" w:eastAsia="黑体" w:cs="黑体"/>
                <w:szCs w:val="21"/>
              </w:rPr>
            </w:pPr>
            <w:r>
              <w:rPr>
                <w:rFonts w:hint="eastAsia" w:ascii="黑体" w:hAnsi="黑体" w:eastAsia="黑体" w:cs="黑体"/>
                <w:szCs w:val="21"/>
                <w:lang w:val="en-US" w:eastAsia="zh-CN"/>
              </w:rPr>
              <w:t>华容县农业农村局</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4" w:type="pct"/>
            <w:vMerge w:val="restart"/>
            <w:tcBorders>
              <w:bottom w:val="nil"/>
            </w:tcBorders>
            <w:vAlign w:val="center"/>
          </w:tcPr>
          <w:p>
            <w:pPr>
              <w:jc w:val="center"/>
              <w:rPr>
                <w:rFonts w:ascii="黑体" w:hAnsi="黑体" w:eastAsia="黑体" w:cs="黑体"/>
                <w:szCs w:val="21"/>
              </w:rPr>
            </w:pPr>
            <w:r>
              <w:rPr>
                <w:rFonts w:hint="eastAsia" w:ascii="黑体" w:hAnsi="黑体" w:eastAsia="黑体" w:cs="黑体"/>
                <w:szCs w:val="21"/>
              </w:rPr>
              <w:t>项目资金（万元）</w:t>
            </w:r>
          </w:p>
        </w:tc>
        <w:tc>
          <w:tcPr>
            <w:tcW w:w="1172" w:type="pct"/>
            <w:gridSpan w:val="2"/>
            <w:vAlign w:val="center"/>
          </w:tcPr>
          <w:p>
            <w:pPr>
              <w:jc w:val="center"/>
              <w:rPr>
                <w:rFonts w:ascii="黑体" w:hAnsi="黑体" w:eastAsia="黑体" w:cs="黑体"/>
                <w:szCs w:val="21"/>
              </w:rPr>
            </w:pPr>
          </w:p>
        </w:tc>
        <w:tc>
          <w:tcPr>
            <w:tcW w:w="547" w:type="pct"/>
            <w:vAlign w:val="center"/>
          </w:tcPr>
          <w:p>
            <w:pPr>
              <w:jc w:val="center"/>
              <w:rPr>
                <w:rFonts w:ascii="黑体" w:hAnsi="黑体" w:eastAsia="黑体" w:cs="黑体"/>
                <w:szCs w:val="21"/>
              </w:rPr>
            </w:pPr>
            <w:r>
              <w:rPr>
                <w:rFonts w:hint="eastAsia" w:ascii="黑体" w:hAnsi="黑体" w:eastAsia="黑体" w:cs="黑体"/>
                <w:szCs w:val="21"/>
              </w:rPr>
              <w:t>年初</w:t>
            </w:r>
          </w:p>
          <w:p>
            <w:pPr>
              <w:jc w:val="center"/>
              <w:rPr>
                <w:rFonts w:ascii="黑体" w:hAnsi="黑体" w:eastAsia="黑体" w:cs="黑体"/>
                <w:szCs w:val="21"/>
              </w:rPr>
            </w:pPr>
            <w:r>
              <w:rPr>
                <w:rFonts w:hint="eastAsia" w:ascii="黑体" w:hAnsi="黑体" w:eastAsia="黑体" w:cs="黑体"/>
                <w:szCs w:val="21"/>
              </w:rPr>
              <w:t>预算数</w:t>
            </w:r>
          </w:p>
        </w:tc>
        <w:tc>
          <w:tcPr>
            <w:tcW w:w="574" w:type="pct"/>
            <w:vAlign w:val="center"/>
          </w:tcPr>
          <w:p>
            <w:pPr>
              <w:jc w:val="center"/>
              <w:rPr>
                <w:rFonts w:ascii="黑体" w:hAnsi="黑体" w:eastAsia="黑体" w:cs="黑体"/>
                <w:szCs w:val="21"/>
              </w:rPr>
            </w:pPr>
            <w:r>
              <w:rPr>
                <w:rFonts w:hint="eastAsia" w:ascii="黑体" w:hAnsi="黑体" w:eastAsia="黑体" w:cs="黑体"/>
                <w:szCs w:val="21"/>
              </w:rPr>
              <w:t>全年</w:t>
            </w:r>
          </w:p>
          <w:p>
            <w:pPr>
              <w:jc w:val="center"/>
              <w:rPr>
                <w:rFonts w:ascii="黑体" w:hAnsi="黑体" w:eastAsia="黑体" w:cs="黑体"/>
                <w:szCs w:val="21"/>
              </w:rPr>
            </w:pPr>
            <w:r>
              <w:rPr>
                <w:rFonts w:hint="eastAsia" w:ascii="黑体" w:hAnsi="黑体" w:eastAsia="黑体" w:cs="黑体"/>
                <w:szCs w:val="21"/>
              </w:rPr>
              <w:t>预算数</w:t>
            </w:r>
          </w:p>
        </w:tc>
        <w:tc>
          <w:tcPr>
            <w:tcW w:w="653" w:type="pct"/>
            <w:vAlign w:val="center"/>
          </w:tcPr>
          <w:p>
            <w:pPr>
              <w:jc w:val="center"/>
              <w:rPr>
                <w:rFonts w:ascii="黑体" w:hAnsi="黑体" w:eastAsia="黑体" w:cs="黑体"/>
                <w:szCs w:val="21"/>
              </w:rPr>
            </w:pPr>
            <w:r>
              <w:rPr>
                <w:rFonts w:hint="eastAsia" w:ascii="黑体" w:hAnsi="黑体" w:eastAsia="黑体" w:cs="黑体"/>
                <w:szCs w:val="21"/>
              </w:rPr>
              <w:t>全年</w:t>
            </w:r>
          </w:p>
          <w:p>
            <w:pPr>
              <w:jc w:val="center"/>
              <w:rPr>
                <w:rFonts w:ascii="黑体" w:hAnsi="黑体" w:eastAsia="黑体" w:cs="黑体"/>
                <w:szCs w:val="21"/>
              </w:rPr>
            </w:pPr>
            <w:r>
              <w:rPr>
                <w:rFonts w:hint="eastAsia" w:ascii="黑体" w:hAnsi="黑体" w:eastAsia="黑体" w:cs="黑体"/>
                <w:szCs w:val="21"/>
              </w:rPr>
              <w:t>执行数</w:t>
            </w:r>
          </w:p>
        </w:tc>
        <w:tc>
          <w:tcPr>
            <w:tcW w:w="346" w:type="pct"/>
            <w:vAlign w:val="center"/>
          </w:tcPr>
          <w:p>
            <w:pPr>
              <w:jc w:val="center"/>
              <w:rPr>
                <w:rFonts w:ascii="黑体" w:hAnsi="黑体" w:eastAsia="黑体" w:cs="黑体"/>
                <w:szCs w:val="21"/>
              </w:rPr>
            </w:pPr>
            <w:r>
              <w:rPr>
                <w:rFonts w:hint="eastAsia" w:ascii="黑体" w:hAnsi="黑体" w:eastAsia="黑体" w:cs="黑体"/>
                <w:szCs w:val="21"/>
              </w:rPr>
              <w:t>分值</w:t>
            </w:r>
          </w:p>
        </w:tc>
        <w:tc>
          <w:tcPr>
            <w:tcW w:w="408" w:type="pct"/>
            <w:vAlign w:val="center"/>
          </w:tcPr>
          <w:p>
            <w:pPr>
              <w:jc w:val="center"/>
              <w:rPr>
                <w:rFonts w:ascii="黑体" w:hAnsi="黑体" w:eastAsia="黑体" w:cs="黑体"/>
                <w:szCs w:val="21"/>
              </w:rPr>
            </w:pPr>
            <w:r>
              <w:rPr>
                <w:rFonts w:hint="eastAsia" w:ascii="黑体" w:hAnsi="黑体" w:eastAsia="黑体" w:cs="黑体"/>
                <w:szCs w:val="21"/>
              </w:rPr>
              <w:t>执行率</w:t>
            </w:r>
          </w:p>
        </w:tc>
        <w:tc>
          <w:tcPr>
            <w:tcW w:w="772" w:type="pct"/>
            <w:vAlign w:val="center"/>
          </w:tcPr>
          <w:p>
            <w:pPr>
              <w:jc w:val="center"/>
              <w:rPr>
                <w:rFonts w:ascii="黑体" w:hAnsi="黑体" w:eastAsia="黑体" w:cs="黑体"/>
                <w:szCs w:val="21"/>
              </w:rPr>
            </w:pPr>
            <w:r>
              <w:rPr>
                <w:rFonts w:hint="eastAsia" w:ascii="黑体" w:hAnsi="黑体" w:eastAsia="黑体" w:cs="黑体"/>
                <w:szCs w:val="21"/>
              </w:rPr>
              <w:t>自评得分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4" w:type="pct"/>
            <w:vMerge w:val="continue"/>
            <w:tcBorders>
              <w:top w:val="nil"/>
              <w:bottom w:val="nil"/>
            </w:tcBorders>
            <w:vAlign w:val="center"/>
          </w:tcPr>
          <w:p>
            <w:pPr>
              <w:jc w:val="center"/>
              <w:rPr>
                <w:rFonts w:asciiTheme="minorEastAsia" w:hAnsiTheme="minorEastAsia" w:eastAsiaTheme="minorEastAsia" w:cstheme="minorEastAsia"/>
                <w:szCs w:val="21"/>
              </w:rPr>
            </w:pPr>
          </w:p>
        </w:tc>
        <w:tc>
          <w:tcPr>
            <w:tcW w:w="1172" w:type="pct"/>
            <w:gridSpan w:val="2"/>
            <w:vAlign w:val="center"/>
          </w:tcPr>
          <w:p>
            <w:pP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年度资金总额</w:t>
            </w:r>
          </w:p>
        </w:tc>
        <w:tc>
          <w:tcPr>
            <w:tcW w:w="547"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8400</w:t>
            </w:r>
          </w:p>
        </w:tc>
        <w:tc>
          <w:tcPr>
            <w:tcW w:w="574"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8400</w:t>
            </w:r>
          </w:p>
        </w:tc>
        <w:tc>
          <w:tcPr>
            <w:tcW w:w="653"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8400</w:t>
            </w:r>
          </w:p>
        </w:tc>
        <w:tc>
          <w:tcPr>
            <w:tcW w:w="346"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10</w:t>
            </w:r>
          </w:p>
        </w:tc>
        <w:tc>
          <w:tcPr>
            <w:tcW w:w="408" w:type="pct"/>
            <w:vAlign w:val="center"/>
          </w:tcPr>
          <w:p>
            <w:pPr>
              <w:jc w:val="center"/>
              <w:rPr>
                <w:rFonts w:asciiTheme="minorEastAsia" w:hAnsiTheme="minorEastAsia" w:eastAsiaTheme="minorEastAsia" w:cstheme="minorEastAsia"/>
                <w:szCs w:val="21"/>
              </w:rPr>
            </w:pPr>
          </w:p>
        </w:tc>
        <w:tc>
          <w:tcPr>
            <w:tcW w:w="772"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4" w:type="pct"/>
            <w:vMerge w:val="continue"/>
            <w:tcBorders>
              <w:top w:val="nil"/>
              <w:bottom w:val="nil"/>
            </w:tcBorders>
            <w:vAlign w:val="center"/>
          </w:tcPr>
          <w:p>
            <w:pPr>
              <w:jc w:val="center"/>
              <w:rPr>
                <w:rFonts w:asciiTheme="minorEastAsia" w:hAnsiTheme="minorEastAsia" w:eastAsiaTheme="minorEastAsia" w:cstheme="minorEastAsia"/>
                <w:szCs w:val="21"/>
              </w:rPr>
            </w:pPr>
          </w:p>
        </w:tc>
        <w:tc>
          <w:tcPr>
            <w:tcW w:w="1172" w:type="pct"/>
            <w:gridSpan w:val="2"/>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其中：当年财政拨款</w:t>
            </w:r>
          </w:p>
        </w:tc>
        <w:tc>
          <w:tcPr>
            <w:tcW w:w="547"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8400</w:t>
            </w:r>
          </w:p>
        </w:tc>
        <w:tc>
          <w:tcPr>
            <w:tcW w:w="574"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8400</w:t>
            </w:r>
          </w:p>
        </w:tc>
        <w:tc>
          <w:tcPr>
            <w:tcW w:w="653"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8400</w:t>
            </w:r>
          </w:p>
        </w:tc>
        <w:tc>
          <w:tcPr>
            <w:tcW w:w="346" w:type="pct"/>
            <w:vAlign w:val="center"/>
          </w:tcPr>
          <w:p>
            <w:pPr>
              <w:jc w:val="center"/>
              <w:rPr>
                <w:rFonts w:asciiTheme="minorEastAsia" w:hAnsiTheme="minorEastAsia" w:eastAsiaTheme="minorEastAsia" w:cstheme="minorEastAsia"/>
                <w:szCs w:val="21"/>
              </w:rPr>
            </w:pPr>
          </w:p>
        </w:tc>
        <w:tc>
          <w:tcPr>
            <w:tcW w:w="408" w:type="pct"/>
            <w:vAlign w:val="center"/>
          </w:tcPr>
          <w:p>
            <w:pPr>
              <w:jc w:val="center"/>
              <w:rPr>
                <w:rFonts w:asciiTheme="minorEastAsia" w:hAnsiTheme="minorEastAsia" w:eastAsiaTheme="minorEastAsia" w:cstheme="minorEastAsia"/>
                <w:szCs w:val="21"/>
              </w:rPr>
            </w:pPr>
          </w:p>
        </w:tc>
        <w:tc>
          <w:tcPr>
            <w:tcW w:w="772"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4" w:type="pct"/>
            <w:vMerge w:val="continue"/>
            <w:tcBorders>
              <w:top w:val="nil"/>
              <w:bottom w:val="nil"/>
            </w:tcBorders>
            <w:vAlign w:val="center"/>
          </w:tcPr>
          <w:p>
            <w:pPr>
              <w:jc w:val="center"/>
              <w:rPr>
                <w:rFonts w:asciiTheme="minorEastAsia" w:hAnsiTheme="minorEastAsia" w:eastAsiaTheme="minorEastAsia" w:cstheme="minorEastAsia"/>
                <w:szCs w:val="21"/>
              </w:rPr>
            </w:pPr>
          </w:p>
        </w:tc>
        <w:tc>
          <w:tcPr>
            <w:tcW w:w="1172" w:type="pct"/>
            <w:gridSpan w:val="2"/>
            <w:vAlign w:val="center"/>
          </w:tcPr>
          <w:p>
            <w:pPr>
              <w:ind w:firstLine="619" w:firstLineChars="295"/>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上年结转资金</w:t>
            </w:r>
          </w:p>
        </w:tc>
        <w:tc>
          <w:tcPr>
            <w:tcW w:w="547" w:type="pct"/>
            <w:vAlign w:val="center"/>
          </w:tcPr>
          <w:p>
            <w:pPr>
              <w:jc w:val="center"/>
              <w:rPr>
                <w:rFonts w:asciiTheme="minorEastAsia" w:hAnsiTheme="minorEastAsia" w:eastAsiaTheme="minorEastAsia" w:cstheme="minorEastAsia"/>
                <w:szCs w:val="21"/>
              </w:rPr>
            </w:pPr>
          </w:p>
        </w:tc>
        <w:tc>
          <w:tcPr>
            <w:tcW w:w="574" w:type="pct"/>
            <w:vAlign w:val="center"/>
          </w:tcPr>
          <w:p>
            <w:pPr>
              <w:jc w:val="center"/>
              <w:rPr>
                <w:rFonts w:asciiTheme="minorEastAsia" w:hAnsiTheme="minorEastAsia" w:eastAsiaTheme="minorEastAsia" w:cstheme="minorEastAsia"/>
                <w:szCs w:val="21"/>
              </w:rPr>
            </w:pPr>
          </w:p>
        </w:tc>
        <w:tc>
          <w:tcPr>
            <w:tcW w:w="653" w:type="pct"/>
            <w:vAlign w:val="center"/>
          </w:tcPr>
          <w:p>
            <w:pPr>
              <w:jc w:val="center"/>
              <w:rPr>
                <w:rFonts w:asciiTheme="minorEastAsia" w:hAnsiTheme="minorEastAsia" w:eastAsiaTheme="minorEastAsia" w:cstheme="minorEastAsia"/>
                <w:szCs w:val="21"/>
              </w:rPr>
            </w:pPr>
          </w:p>
        </w:tc>
        <w:tc>
          <w:tcPr>
            <w:tcW w:w="346" w:type="pct"/>
            <w:vAlign w:val="center"/>
          </w:tcPr>
          <w:p>
            <w:pPr>
              <w:jc w:val="center"/>
              <w:rPr>
                <w:rFonts w:asciiTheme="minorEastAsia" w:hAnsiTheme="minorEastAsia" w:eastAsiaTheme="minorEastAsia" w:cstheme="minorEastAsia"/>
                <w:szCs w:val="21"/>
              </w:rPr>
            </w:pPr>
          </w:p>
        </w:tc>
        <w:tc>
          <w:tcPr>
            <w:tcW w:w="408" w:type="pct"/>
            <w:vAlign w:val="center"/>
          </w:tcPr>
          <w:p>
            <w:pPr>
              <w:jc w:val="center"/>
              <w:rPr>
                <w:rFonts w:asciiTheme="minorEastAsia" w:hAnsiTheme="minorEastAsia" w:eastAsiaTheme="minorEastAsia" w:cstheme="minorEastAsia"/>
                <w:szCs w:val="21"/>
              </w:rPr>
            </w:pPr>
          </w:p>
        </w:tc>
        <w:tc>
          <w:tcPr>
            <w:tcW w:w="772"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4" w:type="pct"/>
            <w:vMerge w:val="continue"/>
            <w:tcBorders>
              <w:top w:val="nil"/>
            </w:tcBorders>
            <w:vAlign w:val="center"/>
          </w:tcPr>
          <w:p>
            <w:pPr>
              <w:jc w:val="center"/>
              <w:rPr>
                <w:rFonts w:asciiTheme="minorEastAsia" w:hAnsiTheme="minorEastAsia" w:eastAsiaTheme="minorEastAsia" w:cstheme="minorEastAsia"/>
                <w:szCs w:val="21"/>
              </w:rPr>
            </w:pPr>
          </w:p>
        </w:tc>
        <w:tc>
          <w:tcPr>
            <w:tcW w:w="1172" w:type="pct"/>
            <w:gridSpan w:val="2"/>
            <w:vAlign w:val="center"/>
          </w:tcPr>
          <w:p>
            <w:pPr>
              <w:ind w:firstLine="619" w:firstLineChars="295"/>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其他资金</w:t>
            </w:r>
          </w:p>
        </w:tc>
        <w:tc>
          <w:tcPr>
            <w:tcW w:w="547" w:type="pct"/>
            <w:vAlign w:val="center"/>
          </w:tcPr>
          <w:p>
            <w:pPr>
              <w:jc w:val="center"/>
              <w:rPr>
                <w:rFonts w:asciiTheme="minorEastAsia" w:hAnsiTheme="minorEastAsia" w:eastAsiaTheme="minorEastAsia" w:cstheme="minorEastAsia"/>
                <w:szCs w:val="21"/>
              </w:rPr>
            </w:pPr>
          </w:p>
        </w:tc>
        <w:tc>
          <w:tcPr>
            <w:tcW w:w="574" w:type="pct"/>
            <w:vAlign w:val="center"/>
          </w:tcPr>
          <w:p>
            <w:pPr>
              <w:jc w:val="center"/>
              <w:rPr>
                <w:rFonts w:asciiTheme="minorEastAsia" w:hAnsiTheme="minorEastAsia" w:eastAsiaTheme="minorEastAsia" w:cstheme="minorEastAsia"/>
                <w:szCs w:val="21"/>
              </w:rPr>
            </w:pPr>
          </w:p>
        </w:tc>
        <w:tc>
          <w:tcPr>
            <w:tcW w:w="653" w:type="pct"/>
            <w:vAlign w:val="center"/>
          </w:tcPr>
          <w:p>
            <w:pPr>
              <w:jc w:val="center"/>
              <w:rPr>
                <w:rFonts w:asciiTheme="minorEastAsia" w:hAnsiTheme="minorEastAsia" w:eastAsiaTheme="minorEastAsia" w:cstheme="minorEastAsia"/>
                <w:szCs w:val="21"/>
              </w:rPr>
            </w:pPr>
          </w:p>
        </w:tc>
        <w:tc>
          <w:tcPr>
            <w:tcW w:w="346" w:type="pct"/>
            <w:vAlign w:val="center"/>
          </w:tcPr>
          <w:p>
            <w:pPr>
              <w:jc w:val="center"/>
              <w:rPr>
                <w:rFonts w:asciiTheme="minorEastAsia" w:hAnsiTheme="minorEastAsia" w:eastAsiaTheme="minorEastAsia" w:cstheme="minorEastAsia"/>
                <w:szCs w:val="21"/>
              </w:rPr>
            </w:pPr>
          </w:p>
        </w:tc>
        <w:tc>
          <w:tcPr>
            <w:tcW w:w="408" w:type="pct"/>
            <w:vAlign w:val="center"/>
          </w:tcPr>
          <w:p>
            <w:pPr>
              <w:jc w:val="center"/>
              <w:rPr>
                <w:rFonts w:asciiTheme="minorEastAsia" w:hAnsiTheme="minorEastAsia" w:eastAsiaTheme="minorEastAsia" w:cstheme="minorEastAsia"/>
                <w:szCs w:val="21"/>
              </w:rPr>
            </w:pPr>
          </w:p>
        </w:tc>
        <w:tc>
          <w:tcPr>
            <w:tcW w:w="772"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4" w:type="pct"/>
            <w:vMerge w:val="restart"/>
            <w:tcBorders>
              <w:bottom w:val="nil"/>
            </w:tcBorders>
            <w:vAlign w:val="center"/>
          </w:tcPr>
          <w:p>
            <w:pPr>
              <w:jc w:val="center"/>
              <w:rPr>
                <w:rFonts w:ascii="黑体" w:hAnsi="黑体" w:eastAsia="黑体" w:cs="黑体"/>
                <w:szCs w:val="21"/>
              </w:rPr>
            </w:pPr>
            <w:r>
              <w:rPr>
                <w:rFonts w:hint="eastAsia" w:ascii="黑体" w:hAnsi="黑体" w:eastAsia="黑体" w:cs="黑体"/>
                <w:szCs w:val="21"/>
              </w:rPr>
              <w:t>年度总</w:t>
            </w:r>
          </w:p>
          <w:p>
            <w:pPr>
              <w:jc w:val="center"/>
              <w:rPr>
                <w:rFonts w:ascii="黑体" w:hAnsi="黑体" w:eastAsia="黑体" w:cs="黑体"/>
                <w:szCs w:val="21"/>
              </w:rPr>
            </w:pPr>
            <w:r>
              <w:rPr>
                <w:rFonts w:hint="eastAsia" w:ascii="黑体" w:hAnsi="黑体" w:eastAsia="黑体" w:cs="黑体"/>
                <w:szCs w:val="21"/>
              </w:rPr>
              <w:t>体目标</w:t>
            </w:r>
          </w:p>
        </w:tc>
        <w:tc>
          <w:tcPr>
            <w:tcW w:w="2294" w:type="pct"/>
            <w:gridSpan w:val="4"/>
            <w:vAlign w:val="center"/>
          </w:tcPr>
          <w:p>
            <w:pPr>
              <w:jc w:val="center"/>
              <w:rPr>
                <w:rFonts w:ascii="黑体" w:hAnsi="黑体" w:eastAsia="黑体" w:cs="黑体"/>
                <w:szCs w:val="21"/>
              </w:rPr>
            </w:pPr>
            <w:r>
              <w:rPr>
                <w:rFonts w:hint="eastAsia" w:ascii="黑体" w:hAnsi="黑体" w:eastAsia="黑体" w:cs="黑体"/>
                <w:szCs w:val="21"/>
              </w:rPr>
              <w:t>预期目标</w:t>
            </w:r>
          </w:p>
        </w:tc>
        <w:tc>
          <w:tcPr>
            <w:tcW w:w="2181" w:type="pct"/>
            <w:gridSpan w:val="4"/>
            <w:vAlign w:val="center"/>
          </w:tcPr>
          <w:p>
            <w:pPr>
              <w:jc w:val="center"/>
              <w:rPr>
                <w:rFonts w:ascii="黑体" w:hAnsi="黑体" w:eastAsia="黑体" w:cs="黑体"/>
                <w:szCs w:val="21"/>
              </w:rPr>
            </w:pPr>
            <w:r>
              <w:rPr>
                <w:rFonts w:hint="eastAsia" w:ascii="黑体" w:hAnsi="黑体" w:eastAsia="黑体" w:cs="黑体"/>
                <w:szCs w:val="21"/>
              </w:rPr>
              <w:t>实际完成情况</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4" w:type="pct"/>
            <w:vMerge w:val="continue"/>
            <w:tcBorders>
              <w:top w:val="nil"/>
            </w:tcBorders>
            <w:vAlign w:val="center"/>
          </w:tcPr>
          <w:p>
            <w:pPr>
              <w:jc w:val="center"/>
              <w:rPr>
                <w:rFonts w:asciiTheme="minorEastAsia" w:hAnsiTheme="minorEastAsia" w:eastAsiaTheme="minorEastAsia" w:cstheme="minorEastAsia"/>
                <w:szCs w:val="21"/>
              </w:rPr>
            </w:pPr>
          </w:p>
        </w:tc>
        <w:tc>
          <w:tcPr>
            <w:tcW w:w="2294" w:type="pct"/>
            <w:gridSpan w:val="4"/>
            <w:vAlign w:val="center"/>
          </w:tcPr>
          <w:p>
            <w:pPr>
              <w:jc w:val="center"/>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减少了药剂的使用，提升了水产品产量及品质，促进渔业循环发展。</w:t>
            </w:r>
          </w:p>
        </w:tc>
        <w:tc>
          <w:tcPr>
            <w:tcW w:w="2181" w:type="pct"/>
            <w:gridSpan w:val="4"/>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减少了药剂的使用，提升了水产品产量及品质，促进渔业循环发展。</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524" w:type="pct"/>
            <w:vMerge w:val="restart"/>
            <w:vAlign w:val="center"/>
          </w:tcPr>
          <w:p>
            <w:pPr>
              <w:jc w:val="center"/>
              <w:rPr>
                <w:rFonts w:ascii="黑体" w:hAnsi="黑体" w:eastAsia="黑体" w:cs="黑体"/>
                <w:szCs w:val="21"/>
              </w:rPr>
            </w:pPr>
            <w:r>
              <w:rPr>
                <w:rFonts w:hint="eastAsia" w:ascii="黑体" w:hAnsi="黑体" w:eastAsia="黑体" w:cs="黑体"/>
                <w:szCs w:val="21"/>
              </w:rPr>
              <w:t>绩</w:t>
            </w:r>
          </w:p>
          <w:p>
            <w:pPr>
              <w:jc w:val="center"/>
              <w:rPr>
                <w:rFonts w:ascii="黑体" w:hAnsi="黑体" w:eastAsia="黑体" w:cs="黑体"/>
                <w:szCs w:val="21"/>
              </w:rPr>
            </w:pPr>
            <w:r>
              <w:rPr>
                <w:rFonts w:hint="eastAsia" w:ascii="黑体" w:hAnsi="黑体" w:eastAsia="黑体" w:cs="黑体"/>
                <w:szCs w:val="21"/>
              </w:rPr>
              <w:t>效</w:t>
            </w:r>
          </w:p>
          <w:p>
            <w:pPr>
              <w:jc w:val="center"/>
              <w:rPr>
                <w:rFonts w:ascii="黑体" w:hAnsi="黑体" w:eastAsia="黑体" w:cs="黑体"/>
                <w:szCs w:val="21"/>
              </w:rPr>
            </w:pPr>
            <w:r>
              <w:rPr>
                <w:rFonts w:hint="eastAsia" w:ascii="黑体" w:hAnsi="黑体" w:eastAsia="黑体" w:cs="黑体"/>
                <w:szCs w:val="21"/>
              </w:rPr>
              <w:t>指</w:t>
            </w:r>
          </w:p>
          <w:p>
            <w:pPr>
              <w:jc w:val="center"/>
              <w:rPr>
                <w:rFonts w:ascii="黑体" w:hAnsi="黑体" w:eastAsia="黑体" w:cs="黑体"/>
                <w:szCs w:val="21"/>
              </w:rPr>
            </w:pPr>
            <w:r>
              <w:rPr>
                <w:rFonts w:hint="eastAsia" w:ascii="黑体" w:hAnsi="黑体" w:eastAsia="黑体" w:cs="黑体"/>
                <w:szCs w:val="21"/>
              </w:rPr>
              <w:t>标</w:t>
            </w:r>
          </w:p>
        </w:tc>
        <w:tc>
          <w:tcPr>
            <w:tcW w:w="523" w:type="pct"/>
            <w:vAlign w:val="center"/>
          </w:tcPr>
          <w:p>
            <w:pPr>
              <w:jc w:val="center"/>
              <w:rPr>
                <w:rFonts w:ascii="黑体" w:hAnsi="黑体" w:eastAsia="黑体" w:cs="黑体"/>
                <w:szCs w:val="21"/>
              </w:rPr>
            </w:pPr>
            <w:r>
              <w:rPr>
                <w:rFonts w:hint="eastAsia" w:ascii="黑体" w:hAnsi="黑体" w:eastAsia="黑体" w:cs="黑体"/>
                <w:szCs w:val="21"/>
              </w:rPr>
              <w:t>一级指标</w:t>
            </w:r>
          </w:p>
        </w:tc>
        <w:tc>
          <w:tcPr>
            <w:tcW w:w="649" w:type="pct"/>
            <w:vAlign w:val="center"/>
          </w:tcPr>
          <w:p>
            <w:pPr>
              <w:jc w:val="center"/>
              <w:rPr>
                <w:rFonts w:ascii="黑体" w:hAnsi="黑体" w:eastAsia="黑体" w:cs="黑体"/>
                <w:szCs w:val="21"/>
              </w:rPr>
            </w:pPr>
            <w:r>
              <w:rPr>
                <w:rFonts w:hint="eastAsia" w:ascii="黑体" w:hAnsi="黑体" w:eastAsia="黑体" w:cs="黑体"/>
                <w:szCs w:val="21"/>
              </w:rPr>
              <w:t>二级指标</w:t>
            </w:r>
          </w:p>
        </w:tc>
        <w:tc>
          <w:tcPr>
            <w:tcW w:w="547" w:type="pct"/>
            <w:vAlign w:val="center"/>
          </w:tcPr>
          <w:p>
            <w:pPr>
              <w:jc w:val="center"/>
              <w:rPr>
                <w:rFonts w:ascii="黑体" w:hAnsi="黑体" w:eastAsia="黑体" w:cs="黑体"/>
                <w:szCs w:val="21"/>
              </w:rPr>
            </w:pPr>
            <w:r>
              <w:rPr>
                <w:rFonts w:hint="eastAsia" w:ascii="黑体" w:hAnsi="黑体" w:eastAsia="黑体" w:cs="黑体"/>
                <w:szCs w:val="21"/>
              </w:rPr>
              <w:t>三级指标</w:t>
            </w:r>
          </w:p>
        </w:tc>
        <w:tc>
          <w:tcPr>
            <w:tcW w:w="574" w:type="pct"/>
            <w:vAlign w:val="center"/>
          </w:tcPr>
          <w:p>
            <w:pPr>
              <w:jc w:val="center"/>
              <w:rPr>
                <w:rFonts w:ascii="黑体" w:hAnsi="黑体" w:eastAsia="黑体" w:cs="黑体"/>
                <w:szCs w:val="21"/>
              </w:rPr>
            </w:pPr>
            <w:r>
              <w:rPr>
                <w:rFonts w:hint="eastAsia" w:ascii="黑体" w:hAnsi="黑体" w:eastAsia="黑体" w:cs="黑体"/>
                <w:szCs w:val="21"/>
              </w:rPr>
              <w:t>年度</w:t>
            </w:r>
          </w:p>
          <w:p>
            <w:pPr>
              <w:jc w:val="center"/>
              <w:rPr>
                <w:rFonts w:ascii="黑体" w:hAnsi="黑体" w:eastAsia="黑体" w:cs="黑体"/>
                <w:szCs w:val="21"/>
              </w:rPr>
            </w:pPr>
            <w:r>
              <w:rPr>
                <w:rFonts w:hint="eastAsia" w:ascii="黑体" w:hAnsi="黑体" w:eastAsia="黑体" w:cs="黑体"/>
                <w:szCs w:val="21"/>
              </w:rPr>
              <w:t>指标值</w:t>
            </w:r>
          </w:p>
        </w:tc>
        <w:tc>
          <w:tcPr>
            <w:tcW w:w="653" w:type="pct"/>
            <w:vAlign w:val="center"/>
          </w:tcPr>
          <w:p>
            <w:pPr>
              <w:jc w:val="center"/>
              <w:rPr>
                <w:rFonts w:ascii="黑体" w:hAnsi="黑体" w:eastAsia="黑体" w:cs="黑体"/>
                <w:szCs w:val="21"/>
              </w:rPr>
            </w:pPr>
            <w:r>
              <w:rPr>
                <w:rFonts w:hint="eastAsia" w:ascii="黑体" w:hAnsi="黑体" w:eastAsia="黑体" w:cs="黑体"/>
                <w:szCs w:val="21"/>
              </w:rPr>
              <w:t>实际</w:t>
            </w:r>
          </w:p>
          <w:p>
            <w:pPr>
              <w:jc w:val="center"/>
              <w:rPr>
                <w:rFonts w:ascii="黑体" w:hAnsi="黑体" w:eastAsia="黑体" w:cs="黑体"/>
                <w:szCs w:val="21"/>
              </w:rPr>
            </w:pPr>
            <w:r>
              <w:rPr>
                <w:rFonts w:hint="eastAsia" w:ascii="黑体" w:hAnsi="黑体" w:eastAsia="黑体" w:cs="黑体"/>
                <w:szCs w:val="21"/>
              </w:rPr>
              <w:t>完成值</w:t>
            </w:r>
          </w:p>
        </w:tc>
        <w:tc>
          <w:tcPr>
            <w:tcW w:w="346" w:type="pct"/>
            <w:vAlign w:val="center"/>
          </w:tcPr>
          <w:p>
            <w:pPr>
              <w:jc w:val="center"/>
              <w:rPr>
                <w:rFonts w:ascii="黑体" w:hAnsi="黑体" w:eastAsia="黑体" w:cs="黑体"/>
                <w:szCs w:val="21"/>
              </w:rPr>
            </w:pPr>
            <w:r>
              <w:rPr>
                <w:rFonts w:hint="eastAsia" w:ascii="黑体" w:hAnsi="黑体" w:eastAsia="黑体" w:cs="黑体"/>
                <w:szCs w:val="21"/>
              </w:rPr>
              <w:t>分值</w:t>
            </w:r>
          </w:p>
        </w:tc>
        <w:tc>
          <w:tcPr>
            <w:tcW w:w="408" w:type="pct"/>
            <w:vAlign w:val="center"/>
          </w:tcPr>
          <w:p>
            <w:pPr>
              <w:jc w:val="center"/>
              <w:rPr>
                <w:rFonts w:ascii="黑体" w:hAnsi="黑体" w:eastAsia="黑体" w:cs="黑体"/>
                <w:szCs w:val="21"/>
              </w:rPr>
            </w:pPr>
            <w:r>
              <w:rPr>
                <w:rFonts w:hint="eastAsia" w:ascii="黑体" w:hAnsi="黑体" w:eastAsia="黑体" w:cs="黑体"/>
                <w:szCs w:val="21"/>
              </w:rPr>
              <w:t>自评</w:t>
            </w:r>
          </w:p>
          <w:p>
            <w:pPr>
              <w:jc w:val="center"/>
              <w:rPr>
                <w:rFonts w:ascii="黑体" w:hAnsi="黑体" w:eastAsia="黑体" w:cs="黑体"/>
                <w:szCs w:val="21"/>
              </w:rPr>
            </w:pPr>
            <w:r>
              <w:rPr>
                <w:rFonts w:hint="eastAsia" w:ascii="黑体" w:hAnsi="黑体" w:eastAsia="黑体" w:cs="黑体"/>
                <w:szCs w:val="21"/>
              </w:rPr>
              <w:t>得分</w:t>
            </w:r>
          </w:p>
        </w:tc>
        <w:tc>
          <w:tcPr>
            <w:tcW w:w="772" w:type="pct"/>
            <w:vAlign w:val="center"/>
          </w:tcPr>
          <w:p>
            <w:pPr>
              <w:jc w:val="center"/>
              <w:rPr>
                <w:rFonts w:ascii="黑体" w:hAnsi="黑体" w:eastAsia="黑体" w:cs="黑体"/>
                <w:szCs w:val="21"/>
              </w:rPr>
            </w:pPr>
            <w:r>
              <w:rPr>
                <w:rFonts w:hint="eastAsia" w:ascii="黑体" w:hAnsi="黑体" w:eastAsia="黑体" w:cs="黑体"/>
                <w:szCs w:val="21"/>
              </w:rPr>
              <w:t>偏差原因分析及改进措施</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1" w:hRule="atLeast"/>
        </w:trPr>
        <w:tc>
          <w:tcPr>
            <w:tcW w:w="524" w:type="pct"/>
            <w:vMerge w:val="continue"/>
            <w:textDirection w:val="tbRlV"/>
            <w:vAlign w:val="center"/>
          </w:tcPr>
          <w:p>
            <w:pPr>
              <w:jc w:val="center"/>
              <w:rPr>
                <w:rFonts w:ascii="黑体" w:hAnsi="黑体" w:eastAsia="黑体" w:cs="黑体"/>
                <w:szCs w:val="21"/>
              </w:rPr>
            </w:pPr>
          </w:p>
        </w:tc>
        <w:tc>
          <w:tcPr>
            <w:tcW w:w="523" w:type="pct"/>
            <w:vMerge w:val="restart"/>
            <w:tcBorders>
              <w:bottom w:val="nil"/>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产</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出</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标</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(30分）</w:t>
            </w:r>
          </w:p>
        </w:tc>
        <w:tc>
          <w:tcPr>
            <w:tcW w:w="649" w:type="pct"/>
            <w:vMerge w:val="restart"/>
            <w:tcBorders>
              <w:bottom w:val="nil"/>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数</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量</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标</w:t>
            </w:r>
          </w:p>
        </w:tc>
        <w:tc>
          <w:tcPr>
            <w:tcW w:w="547"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绿色养殖技术推广面积</w:t>
            </w:r>
          </w:p>
        </w:tc>
        <w:tc>
          <w:tcPr>
            <w:tcW w:w="574"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1万亩</w:t>
            </w:r>
          </w:p>
        </w:tc>
        <w:tc>
          <w:tcPr>
            <w:tcW w:w="653"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100%</w:t>
            </w:r>
          </w:p>
        </w:tc>
        <w:tc>
          <w:tcPr>
            <w:tcW w:w="346"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10</w:t>
            </w:r>
          </w:p>
        </w:tc>
        <w:tc>
          <w:tcPr>
            <w:tcW w:w="408"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10</w:t>
            </w:r>
          </w:p>
        </w:tc>
        <w:tc>
          <w:tcPr>
            <w:tcW w:w="772"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1" w:hRule="atLeast"/>
        </w:trPr>
        <w:tc>
          <w:tcPr>
            <w:tcW w:w="524" w:type="pct"/>
            <w:vMerge w:val="continue"/>
            <w:textDirection w:val="tbRlV"/>
            <w:vAlign w:val="center"/>
          </w:tcPr>
          <w:p>
            <w:pPr>
              <w:jc w:val="center"/>
              <w:rPr>
                <w:rFonts w:ascii="黑体" w:hAnsi="黑体" w:eastAsia="黑体" w:cs="黑体"/>
                <w:szCs w:val="21"/>
              </w:rPr>
            </w:pPr>
          </w:p>
        </w:tc>
        <w:tc>
          <w:tcPr>
            <w:tcW w:w="523" w:type="pct"/>
            <w:vMerge w:val="continue"/>
            <w:tcBorders>
              <w:top w:val="nil"/>
              <w:bottom w:val="nil"/>
            </w:tcBorders>
            <w:vAlign w:val="center"/>
          </w:tcPr>
          <w:p>
            <w:pPr>
              <w:jc w:val="center"/>
              <w:rPr>
                <w:rFonts w:asciiTheme="minorEastAsia" w:hAnsiTheme="minorEastAsia" w:eastAsiaTheme="minorEastAsia" w:cstheme="minorEastAsia"/>
                <w:szCs w:val="21"/>
              </w:rPr>
            </w:pPr>
          </w:p>
        </w:tc>
        <w:tc>
          <w:tcPr>
            <w:tcW w:w="649" w:type="pct"/>
            <w:vMerge w:val="continue"/>
            <w:tcBorders>
              <w:top w:val="nil"/>
              <w:bottom w:val="nil"/>
            </w:tcBorders>
            <w:vAlign w:val="center"/>
          </w:tcPr>
          <w:p>
            <w:pPr>
              <w:jc w:val="center"/>
              <w:rPr>
                <w:rFonts w:asciiTheme="minorEastAsia" w:hAnsiTheme="minorEastAsia" w:eastAsiaTheme="minorEastAsia" w:cstheme="minorEastAsia"/>
                <w:szCs w:val="21"/>
              </w:rPr>
            </w:pPr>
          </w:p>
        </w:tc>
        <w:tc>
          <w:tcPr>
            <w:tcW w:w="547"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渔业资源增殖放流数量</w:t>
            </w:r>
          </w:p>
        </w:tc>
        <w:tc>
          <w:tcPr>
            <w:tcW w:w="574"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1千万尾</w:t>
            </w:r>
          </w:p>
        </w:tc>
        <w:tc>
          <w:tcPr>
            <w:tcW w:w="653"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100%</w:t>
            </w:r>
          </w:p>
        </w:tc>
        <w:tc>
          <w:tcPr>
            <w:tcW w:w="346"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10</w:t>
            </w:r>
          </w:p>
        </w:tc>
        <w:tc>
          <w:tcPr>
            <w:tcW w:w="408"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10</w:t>
            </w:r>
          </w:p>
        </w:tc>
        <w:tc>
          <w:tcPr>
            <w:tcW w:w="772"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1" w:hRule="atLeast"/>
        </w:trPr>
        <w:tc>
          <w:tcPr>
            <w:tcW w:w="524" w:type="pct"/>
            <w:vMerge w:val="continue"/>
            <w:textDirection w:val="tbRlV"/>
            <w:vAlign w:val="center"/>
          </w:tcPr>
          <w:p>
            <w:pPr>
              <w:jc w:val="center"/>
              <w:rPr>
                <w:rFonts w:ascii="黑体" w:hAnsi="黑体" w:eastAsia="黑体" w:cs="黑体"/>
                <w:szCs w:val="21"/>
              </w:rPr>
            </w:pPr>
          </w:p>
        </w:tc>
        <w:tc>
          <w:tcPr>
            <w:tcW w:w="523" w:type="pct"/>
            <w:vMerge w:val="continue"/>
            <w:tcBorders>
              <w:top w:val="nil"/>
              <w:bottom w:val="nil"/>
            </w:tcBorders>
            <w:vAlign w:val="center"/>
          </w:tcPr>
          <w:p>
            <w:pPr>
              <w:jc w:val="center"/>
              <w:rPr>
                <w:rFonts w:asciiTheme="minorEastAsia" w:hAnsiTheme="minorEastAsia" w:eastAsiaTheme="minorEastAsia" w:cstheme="minorEastAsia"/>
                <w:szCs w:val="21"/>
              </w:rPr>
            </w:pPr>
          </w:p>
        </w:tc>
        <w:tc>
          <w:tcPr>
            <w:tcW w:w="649" w:type="pct"/>
            <w:tcBorders>
              <w:bottom w:val="nil"/>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质</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量</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标</w:t>
            </w:r>
          </w:p>
        </w:tc>
        <w:tc>
          <w:tcPr>
            <w:tcW w:w="547"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养殖设施升级改造</w:t>
            </w:r>
          </w:p>
        </w:tc>
        <w:tc>
          <w:tcPr>
            <w:tcW w:w="574"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1千户</w:t>
            </w:r>
          </w:p>
        </w:tc>
        <w:tc>
          <w:tcPr>
            <w:tcW w:w="653"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98%</w:t>
            </w:r>
          </w:p>
        </w:tc>
        <w:tc>
          <w:tcPr>
            <w:tcW w:w="346"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p>
        </w:tc>
        <w:tc>
          <w:tcPr>
            <w:tcW w:w="408" w:type="pct"/>
            <w:vAlign w:val="center"/>
          </w:tcPr>
          <w:p>
            <w:pPr>
              <w:jc w:val="center"/>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rPr>
              <w:t>4</w:t>
            </w:r>
            <w:r>
              <w:rPr>
                <w:rFonts w:hint="eastAsia" w:asciiTheme="minorEastAsia" w:hAnsiTheme="minorEastAsia" w:eastAsiaTheme="minorEastAsia" w:cstheme="minorEastAsia"/>
                <w:szCs w:val="21"/>
                <w:lang w:val="en-US" w:eastAsia="zh-CN"/>
              </w:rPr>
              <w:t>.9</w:t>
            </w:r>
          </w:p>
        </w:tc>
        <w:tc>
          <w:tcPr>
            <w:tcW w:w="772"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1" w:hRule="atLeast"/>
        </w:trPr>
        <w:tc>
          <w:tcPr>
            <w:tcW w:w="524" w:type="pct"/>
            <w:vMerge w:val="continue"/>
            <w:textDirection w:val="tbRlV"/>
            <w:vAlign w:val="center"/>
          </w:tcPr>
          <w:p>
            <w:pPr>
              <w:jc w:val="center"/>
              <w:rPr>
                <w:rFonts w:ascii="黑体" w:hAnsi="黑体" w:eastAsia="黑体" w:cs="黑体"/>
                <w:szCs w:val="21"/>
              </w:rPr>
            </w:pPr>
          </w:p>
        </w:tc>
        <w:tc>
          <w:tcPr>
            <w:tcW w:w="523" w:type="pct"/>
            <w:vMerge w:val="continue"/>
            <w:tcBorders>
              <w:top w:val="nil"/>
              <w:bottom w:val="nil"/>
            </w:tcBorders>
            <w:vAlign w:val="center"/>
          </w:tcPr>
          <w:p>
            <w:pPr>
              <w:jc w:val="center"/>
              <w:rPr>
                <w:rFonts w:asciiTheme="minorEastAsia" w:hAnsiTheme="minorEastAsia" w:eastAsiaTheme="minorEastAsia" w:cstheme="minorEastAsia"/>
                <w:szCs w:val="21"/>
              </w:rPr>
            </w:pPr>
          </w:p>
        </w:tc>
        <w:tc>
          <w:tcPr>
            <w:tcW w:w="649" w:type="pct"/>
            <w:tcBorders>
              <w:bottom w:val="nil"/>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时</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效</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标</w:t>
            </w:r>
          </w:p>
        </w:tc>
        <w:tc>
          <w:tcPr>
            <w:tcW w:w="547"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养殖水体质量达标率</w:t>
            </w:r>
          </w:p>
        </w:tc>
        <w:tc>
          <w:tcPr>
            <w:tcW w:w="574"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100%</w:t>
            </w:r>
          </w:p>
        </w:tc>
        <w:tc>
          <w:tcPr>
            <w:tcW w:w="653"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100%</w:t>
            </w:r>
          </w:p>
        </w:tc>
        <w:tc>
          <w:tcPr>
            <w:tcW w:w="346"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p>
        </w:tc>
        <w:tc>
          <w:tcPr>
            <w:tcW w:w="408"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p>
        </w:tc>
        <w:tc>
          <w:tcPr>
            <w:tcW w:w="772"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4" w:type="pct"/>
            <w:vMerge w:val="restart"/>
            <w:vAlign w:val="center"/>
          </w:tcPr>
          <w:p>
            <w:pPr>
              <w:jc w:val="center"/>
              <w:rPr>
                <w:rFonts w:ascii="黑体" w:hAnsi="黑体" w:eastAsia="黑体" w:cs="黑体"/>
                <w:szCs w:val="21"/>
              </w:rPr>
            </w:pPr>
            <w:r>
              <w:rPr>
                <w:rFonts w:hint="eastAsia" w:ascii="黑体" w:hAnsi="黑体" w:eastAsia="黑体" w:cs="黑体"/>
                <w:szCs w:val="21"/>
              </w:rPr>
              <w:t>绩</w:t>
            </w:r>
          </w:p>
          <w:p>
            <w:pPr>
              <w:jc w:val="center"/>
              <w:rPr>
                <w:rFonts w:ascii="黑体" w:hAnsi="黑体" w:eastAsia="黑体" w:cs="黑体"/>
                <w:szCs w:val="21"/>
              </w:rPr>
            </w:pPr>
            <w:r>
              <w:rPr>
                <w:rFonts w:hint="eastAsia" w:ascii="黑体" w:hAnsi="黑体" w:eastAsia="黑体" w:cs="黑体"/>
                <w:szCs w:val="21"/>
              </w:rPr>
              <w:t>效</w:t>
            </w:r>
          </w:p>
          <w:p>
            <w:pPr>
              <w:jc w:val="center"/>
              <w:rPr>
                <w:rFonts w:ascii="黑体" w:hAnsi="黑体" w:eastAsia="黑体" w:cs="黑体"/>
                <w:szCs w:val="21"/>
              </w:rPr>
            </w:pPr>
            <w:r>
              <w:rPr>
                <w:rFonts w:hint="eastAsia" w:ascii="黑体" w:hAnsi="黑体" w:eastAsia="黑体" w:cs="黑体"/>
                <w:szCs w:val="21"/>
              </w:rPr>
              <w:t>指</w:t>
            </w:r>
          </w:p>
          <w:p>
            <w:pPr>
              <w:jc w:val="center"/>
              <w:rPr>
                <w:rFonts w:ascii="黑体" w:hAnsi="黑体" w:eastAsia="黑体" w:cs="黑体"/>
                <w:szCs w:val="21"/>
              </w:rPr>
            </w:pPr>
            <w:r>
              <w:rPr>
                <w:rFonts w:hint="eastAsia" w:ascii="黑体" w:hAnsi="黑体" w:eastAsia="黑体" w:cs="黑体"/>
                <w:szCs w:val="21"/>
              </w:rPr>
              <w:t>标</w:t>
            </w:r>
          </w:p>
        </w:tc>
        <w:tc>
          <w:tcPr>
            <w:tcW w:w="523" w:type="pct"/>
            <w:vMerge w:val="restart"/>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效</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益</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标</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（30分）</w:t>
            </w:r>
          </w:p>
        </w:tc>
        <w:tc>
          <w:tcPr>
            <w:tcW w:w="649" w:type="pct"/>
            <w:tcBorders>
              <w:left w:val="single" w:color="auto" w:sz="4" w:space="0"/>
              <w:bottom w:val="nil"/>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经济</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效益</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tc>
        <w:tc>
          <w:tcPr>
            <w:tcW w:w="547"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渔业经济效益提升率</w:t>
            </w:r>
          </w:p>
        </w:tc>
        <w:tc>
          <w:tcPr>
            <w:tcW w:w="574"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90%</w:t>
            </w:r>
          </w:p>
        </w:tc>
        <w:tc>
          <w:tcPr>
            <w:tcW w:w="653"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80%</w:t>
            </w:r>
          </w:p>
        </w:tc>
        <w:tc>
          <w:tcPr>
            <w:tcW w:w="346"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10</w:t>
            </w:r>
          </w:p>
        </w:tc>
        <w:tc>
          <w:tcPr>
            <w:tcW w:w="408" w:type="pct"/>
            <w:vAlign w:val="center"/>
          </w:tcPr>
          <w:p>
            <w:pPr>
              <w:jc w:val="center"/>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8.8</w:t>
            </w:r>
          </w:p>
        </w:tc>
        <w:tc>
          <w:tcPr>
            <w:tcW w:w="772"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4" w:type="pct"/>
            <w:vMerge w:val="continue"/>
            <w:textDirection w:val="tbRlV"/>
            <w:vAlign w:val="center"/>
          </w:tcPr>
          <w:p>
            <w:pPr>
              <w:jc w:val="center"/>
              <w:rPr>
                <w:rFonts w:asciiTheme="minorEastAsia" w:hAnsiTheme="minorEastAsia" w:eastAsiaTheme="minorEastAsia" w:cstheme="minorEastAsia"/>
                <w:szCs w:val="21"/>
              </w:rPr>
            </w:pPr>
          </w:p>
        </w:tc>
        <w:tc>
          <w:tcPr>
            <w:tcW w:w="523" w:type="pct"/>
            <w:vMerge w:val="continue"/>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p>
        </w:tc>
        <w:tc>
          <w:tcPr>
            <w:tcW w:w="649" w:type="pct"/>
            <w:tcBorders>
              <w:left w:val="single" w:color="auto" w:sz="4" w:space="0"/>
              <w:bottom w:val="nil"/>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社会</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效益</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tc>
        <w:tc>
          <w:tcPr>
            <w:tcW w:w="547"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就业岗位增加率</w:t>
            </w:r>
          </w:p>
        </w:tc>
        <w:tc>
          <w:tcPr>
            <w:tcW w:w="574"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20%</w:t>
            </w:r>
          </w:p>
        </w:tc>
        <w:tc>
          <w:tcPr>
            <w:tcW w:w="653"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20%</w:t>
            </w:r>
          </w:p>
        </w:tc>
        <w:tc>
          <w:tcPr>
            <w:tcW w:w="346"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10</w:t>
            </w:r>
          </w:p>
        </w:tc>
        <w:tc>
          <w:tcPr>
            <w:tcW w:w="408"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10</w:t>
            </w:r>
          </w:p>
        </w:tc>
        <w:tc>
          <w:tcPr>
            <w:tcW w:w="772"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4" w:type="pct"/>
            <w:vMerge w:val="continue"/>
            <w:textDirection w:val="tbRlV"/>
            <w:vAlign w:val="center"/>
          </w:tcPr>
          <w:p>
            <w:pPr>
              <w:jc w:val="center"/>
              <w:rPr>
                <w:rFonts w:asciiTheme="minorEastAsia" w:hAnsiTheme="minorEastAsia" w:eastAsiaTheme="minorEastAsia" w:cstheme="minorEastAsia"/>
                <w:szCs w:val="21"/>
              </w:rPr>
            </w:pPr>
          </w:p>
        </w:tc>
        <w:tc>
          <w:tcPr>
            <w:tcW w:w="523" w:type="pct"/>
            <w:vMerge w:val="continue"/>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p>
        </w:tc>
        <w:tc>
          <w:tcPr>
            <w:tcW w:w="649" w:type="pct"/>
            <w:tcBorders>
              <w:left w:val="single" w:color="auto" w:sz="4" w:space="0"/>
              <w:bottom w:val="nil"/>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生态</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效益</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tc>
        <w:tc>
          <w:tcPr>
            <w:tcW w:w="547"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 xml:space="preserve"> 生物多样性增加率</w:t>
            </w:r>
          </w:p>
        </w:tc>
        <w:tc>
          <w:tcPr>
            <w:tcW w:w="574"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50%</w:t>
            </w:r>
          </w:p>
        </w:tc>
        <w:tc>
          <w:tcPr>
            <w:tcW w:w="653"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4</w:t>
            </w:r>
            <w:r>
              <w:rPr>
                <w:rFonts w:hint="eastAsia" w:asciiTheme="minorEastAsia" w:hAnsiTheme="minorEastAsia" w:eastAsiaTheme="minorEastAsia" w:cstheme="minorEastAsia"/>
                <w:szCs w:val="21"/>
                <w:lang w:val="en-US" w:eastAsia="zh-CN"/>
              </w:rPr>
              <w:t>0</w:t>
            </w:r>
            <w:r>
              <w:rPr>
                <w:rFonts w:hint="eastAsia" w:asciiTheme="minorEastAsia" w:hAnsiTheme="minorEastAsia" w:eastAsiaTheme="minorEastAsia" w:cstheme="minorEastAsia"/>
                <w:szCs w:val="21"/>
              </w:rPr>
              <w:t>%</w:t>
            </w:r>
          </w:p>
        </w:tc>
        <w:tc>
          <w:tcPr>
            <w:tcW w:w="346"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p>
        </w:tc>
        <w:tc>
          <w:tcPr>
            <w:tcW w:w="408"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4</w:t>
            </w:r>
          </w:p>
        </w:tc>
        <w:tc>
          <w:tcPr>
            <w:tcW w:w="772"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4" w:type="pct"/>
            <w:vMerge w:val="continue"/>
            <w:textDirection w:val="tbRlV"/>
            <w:vAlign w:val="center"/>
          </w:tcPr>
          <w:p>
            <w:pPr>
              <w:jc w:val="center"/>
              <w:rPr>
                <w:rFonts w:asciiTheme="minorEastAsia" w:hAnsiTheme="minorEastAsia" w:eastAsiaTheme="minorEastAsia" w:cstheme="minorEastAsia"/>
                <w:szCs w:val="21"/>
              </w:rPr>
            </w:pPr>
          </w:p>
        </w:tc>
        <w:tc>
          <w:tcPr>
            <w:tcW w:w="523" w:type="pct"/>
            <w:vMerge w:val="continue"/>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p>
        </w:tc>
        <w:tc>
          <w:tcPr>
            <w:tcW w:w="649" w:type="pct"/>
            <w:tcBorders>
              <w:left w:val="single" w:color="auto" w:sz="4" w:space="0"/>
              <w:bottom w:val="nil"/>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可持续</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影响</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tc>
        <w:tc>
          <w:tcPr>
            <w:tcW w:w="547"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可持续发展能力影响率</w:t>
            </w:r>
          </w:p>
          <w:p>
            <w:pPr>
              <w:jc w:val="center"/>
              <w:rPr>
                <w:rFonts w:asciiTheme="minorEastAsia" w:hAnsiTheme="minorEastAsia" w:eastAsiaTheme="minorEastAsia" w:cstheme="minorEastAsia"/>
                <w:szCs w:val="21"/>
              </w:rPr>
            </w:pPr>
          </w:p>
        </w:tc>
        <w:tc>
          <w:tcPr>
            <w:tcW w:w="574"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已提升</w:t>
            </w:r>
          </w:p>
        </w:tc>
        <w:tc>
          <w:tcPr>
            <w:tcW w:w="653"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已提升</w:t>
            </w:r>
          </w:p>
        </w:tc>
        <w:tc>
          <w:tcPr>
            <w:tcW w:w="346"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p>
        </w:tc>
        <w:tc>
          <w:tcPr>
            <w:tcW w:w="408" w:type="pct"/>
            <w:vAlign w:val="center"/>
          </w:tcPr>
          <w:p>
            <w:pPr>
              <w:jc w:val="center"/>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4.2</w:t>
            </w:r>
          </w:p>
        </w:tc>
        <w:tc>
          <w:tcPr>
            <w:tcW w:w="772"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4" w:type="pct"/>
            <w:vMerge w:val="continue"/>
            <w:textDirection w:val="tbRlV"/>
            <w:vAlign w:val="center"/>
          </w:tcPr>
          <w:p>
            <w:pPr>
              <w:jc w:val="center"/>
              <w:rPr>
                <w:rFonts w:asciiTheme="minorEastAsia" w:hAnsiTheme="minorEastAsia" w:eastAsiaTheme="minorEastAsia" w:cstheme="minorEastAsia"/>
                <w:szCs w:val="21"/>
              </w:rPr>
            </w:pPr>
          </w:p>
        </w:tc>
        <w:tc>
          <w:tcPr>
            <w:tcW w:w="523" w:type="pct"/>
            <w:vMerge w:val="restart"/>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满意度</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（10分）</w:t>
            </w:r>
          </w:p>
        </w:tc>
        <w:tc>
          <w:tcPr>
            <w:tcW w:w="649" w:type="pct"/>
            <w:vMerge w:val="restart"/>
            <w:tcBorders>
              <w:left w:val="single" w:color="auto" w:sz="4" w:space="0"/>
              <w:bottom w:val="nil"/>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服务对象</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满意度</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tc>
        <w:tc>
          <w:tcPr>
            <w:tcW w:w="547"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群众满意度</w:t>
            </w:r>
          </w:p>
        </w:tc>
        <w:tc>
          <w:tcPr>
            <w:tcW w:w="574"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≥95%</w:t>
            </w:r>
          </w:p>
        </w:tc>
        <w:tc>
          <w:tcPr>
            <w:tcW w:w="653"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9</w:t>
            </w:r>
            <w:r>
              <w:rPr>
                <w:rFonts w:hint="eastAsia" w:asciiTheme="minorEastAsia" w:hAnsiTheme="minorEastAsia" w:eastAsiaTheme="minorEastAsia" w:cstheme="minorEastAsia"/>
                <w:szCs w:val="21"/>
                <w:lang w:val="en-US" w:eastAsia="zh-CN"/>
              </w:rPr>
              <w:t>5</w:t>
            </w:r>
            <w:r>
              <w:rPr>
                <w:rFonts w:hint="eastAsia" w:asciiTheme="minorEastAsia" w:hAnsiTheme="minorEastAsia" w:eastAsiaTheme="minorEastAsia" w:cstheme="minorEastAsia"/>
                <w:szCs w:val="21"/>
              </w:rPr>
              <w:t>%</w:t>
            </w:r>
          </w:p>
        </w:tc>
        <w:tc>
          <w:tcPr>
            <w:tcW w:w="346"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10</w:t>
            </w:r>
          </w:p>
        </w:tc>
        <w:tc>
          <w:tcPr>
            <w:tcW w:w="408" w:type="pct"/>
            <w:vAlign w:val="center"/>
          </w:tcPr>
          <w:p>
            <w:pPr>
              <w:jc w:val="center"/>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10</w:t>
            </w:r>
          </w:p>
        </w:tc>
        <w:tc>
          <w:tcPr>
            <w:tcW w:w="772"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4" w:type="pct"/>
            <w:vMerge w:val="continue"/>
            <w:textDirection w:val="tbRlV"/>
            <w:vAlign w:val="center"/>
          </w:tcPr>
          <w:p>
            <w:pPr>
              <w:jc w:val="center"/>
              <w:rPr>
                <w:rFonts w:asciiTheme="minorEastAsia" w:hAnsiTheme="minorEastAsia" w:eastAsiaTheme="minorEastAsia" w:cstheme="minorEastAsia"/>
                <w:szCs w:val="21"/>
              </w:rPr>
            </w:pPr>
          </w:p>
        </w:tc>
        <w:tc>
          <w:tcPr>
            <w:tcW w:w="523" w:type="pct"/>
            <w:vMerge w:val="continue"/>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p>
        </w:tc>
        <w:tc>
          <w:tcPr>
            <w:tcW w:w="649" w:type="pct"/>
            <w:vMerge w:val="continue"/>
            <w:tcBorders>
              <w:top w:val="nil"/>
              <w:left w:val="single" w:color="auto" w:sz="4" w:space="0"/>
              <w:bottom w:val="nil"/>
            </w:tcBorders>
            <w:vAlign w:val="center"/>
          </w:tcPr>
          <w:p>
            <w:pPr>
              <w:jc w:val="center"/>
              <w:rPr>
                <w:rFonts w:asciiTheme="minorEastAsia" w:hAnsiTheme="minorEastAsia" w:eastAsiaTheme="minorEastAsia" w:cstheme="minorEastAsia"/>
                <w:szCs w:val="21"/>
              </w:rPr>
            </w:pPr>
          </w:p>
        </w:tc>
        <w:tc>
          <w:tcPr>
            <w:tcW w:w="547" w:type="pct"/>
            <w:vAlign w:val="center"/>
          </w:tcPr>
          <w:p>
            <w:pPr>
              <w:jc w:val="center"/>
              <w:rPr>
                <w:rFonts w:asciiTheme="minorEastAsia" w:hAnsiTheme="minorEastAsia" w:eastAsiaTheme="minorEastAsia" w:cstheme="minorEastAsia"/>
                <w:szCs w:val="21"/>
              </w:rPr>
            </w:pPr>
          </w:p>
        </w:tc>
        <w:tc>
          <w:tcPr>
            <w:tcW w:w="574" w:type="pct"/>
            <w:vAlign w:val="center"/>
          </w:tcPr>
          <w:p>
            <w:pPr>
              <w:jc w:val="center"/>
              <w:rPr>
                <w:rFonts w:asciiTheme="minorEastAsia" w:hAnsiTheme="minorEastAsia" w:eastAsiaTheme="minorEastAsia" w:cstheme="minorEastAsia"/>
                <w:szCs w:val="21"/>
              </w:rPr>
            </w:pPr>
          </w:p>
        </w:tc>
        <w:tc>
          <w:tcPr>
            <w:tcW w:w="653" w:type="pct"/>
            <w:vAlign w:val="center"/>
          </w:tcPr>
          <w:p>
            <w:pPr>
              <w:jc w:val="center"/>
              <w:rPr>
                <w:rFonts w:asciiTheme="minorEastAsia" w:hAnsiTheme="minorEastAsia" w:eastAsiaTheme="minorEastAsia" w:cstheme="minorEastAsia"/>
                <w:szCs w:val="21"/>
              </w:rPr>
            </w:pPr>
          </w:p>
        </w:tc>
        <w:tc>
          <w:tcPr>
            <w:tcW w:w="346" w:type="pct"/>
            <w:vAlign w:val="center"/>
          </w:tcPr>
          <w:p>
            <w:pPr>
              <w:jc w:val="center"/>
              <w:rPr>
                <w:rFonts w:asciiTheme="minorEastAsia" w:hAnsiTheme="minorEastAsia" w:eastAsiaTheme="minorEastAsia" w:cstheme="minorEastAsia"/>
                <w:szCs w:val="21"/>
              </w:rPr>
            </w:pPr>
          </w:p>
        </w:tc>
        <w:tc>
          <w:tcPr>
            <w:tcW w:w="408" w:type="pct"/>
            <w:vAlign w:val="center"/>
          </w:tcPr>
          <w:p>
            <w:pPr>
              <w:jc w:val="center"/>
              <w:rPr>
                <w:rFonts w:asciiTheme="minorEastAsia" w:hAnsiTheme="minorEastAsia" w:eastAsiaTheme="minorEastAsia" w:cstheme="minorEastAsia"/>
                <w:szCs w:val="21"/>
              </w:rPr>
            </w:pPr>
          </w:p>
        </w:tc>
        <w:tc>
          <w:tcPr>
            <w:tcW w:w="772"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4" w:type="pct"/>
            <w:vMerge w:val="continue"/>
            <w:textDirection w:val="tbRlV"/>
            <w:vAlign w:val="center"/>
          </w:tcPr>
          <w:p>
            <w:pPr>
              <w:jc w:val="center"/>
              <w:rPr>
                <w:rFonts w:asciiTheme="minorEastAsia" w:hAnsiTheme="minorEastAsia" w:eastAsiaTheme="minorEastAsia" w:cstheme="minorEastAsia"/>
                <w:szCs w:val="21"/>
              </w:rPr>
            </w:pPr>
          </w:p>
        </w:tc>
        <w:tc>
          <w:tcPr>
            <w:tcW w:w="523" w:type="pct"/>
            <w:vMerge w:val="continue"/>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p>
        </w:tc>
        <w:tc>
          <w:tcPr>
            <w:tcW w:w="649" w:type="pct"/>
            <w:vMerge w:val="continue"/>
            <w:tcBorders>
              <w:top w:val="nil"/>
              <w:left w:val="single" w:color="auto" w:sz="4" w:space="0"/>
              <w:bottom w:val="single" w:color="auto" w:sz="4" w:space="0"/>
            </w:tcBorders>
            <w:vAlign w:val="center"/>
          </w:tcPr>
          <w:p>
            <w:pPr>
              <w:jc w:val="center"/>
              <w:rPr>
                <w:rFonts w:asciiTheme="minorEastAsia" w:hAnsiTheme="minorEastAsia" w:eastAsiaTheme="minorEastAsia" w:cstheme="minorEastAsia"/>
                <w:szCs w:val="21"/>
              </w:rPr>
            </w:pPr>
          </w:p>
        </w:tc>
        <w:tc>
          <w:tcPr>
            <w:tcW w:w="547" w:type="pct"/>
            <w:vAlign w:val="center"/>
          </w:tcPr>
          <w:p>
            <w:pPr>
              <w:jc w:val="center"/>
              <w:rPr>
                <w:rFonts w:asciiTheme="minorEastAsia" w:hAnsiTheme="minorEastAsia" w:eastAsiaTheme="minorEastAsia" w:cstheme="minorEastAsia"/>
                <w:szCs w:val="21"/>
              </w:rPr>
            </w:pPr>
          </w:p>
        </w:tc>
        <w:tc>
          <w:tcPr>
            <w:tcW w:w="574" w:type="pct"/>
            <w:vAlign w:val="center"/>
          </w:tcPr>
          <w:p>
            <w:pPr>
              <w:jc w:val="center"/>
              <w:rPr>
                <w:rFonts w:asciiTheme="minorEastAsia" w:hAnsiTheme="minorEastAsia" w:eastAsiaTheme="minorEastAsia" w:cstheme="minorEastAsia"/>
                <w:szCs w:val="21"/>
              </w:rPr>
            </w:pPr>
          </w:p>
        </w:tc>
        <w:tc>
          <w:tcPr>
            <w:tcW w:w="653" w:type="pct"/>
            <w:vAlign w:val="center"/>
          </w:tcPr>
          <w:p>
            <w:pPr>
              <w:jc w:val="center"/>
              <w:rPr>
                <w:rFonts w:asciiTheme="minorEastAsia" w:hAnsiTheme="minorEastAsia" w:eastAsiaTheme="minorEastAsia" w:cstheme="minorEastAsia"/>
                <w:szCs w:val="21"/>
              </w:rPr>
            </w:pPr>
          </w:p>
        </w:tc>
        <w:tc>
          <w:tcPr>
            <w:tcW w:w="346" w:type="pct"/>
            <w:vAlign w:val="center"/>
          </w:tcPr>
          <w:p>
            <w:pPr>
              <w:jc w:val="center"/>
              <w:rPr>
                <w:rFonts w:asciiTheme="minorEastAsia" w:hAnsiTheme="minorEastAsia" w:eastAsiaTheme="minorEastAsia" w:cstheme="minorEastAsia"/>
                <w:szCs w:val="21"/>
              </w:rPr>
            </w:pPr>
          </w:p>
        </w:tc>
        <w:tc>
          <w:tcPr>
            <w:tcW w:w="408" w:type="pct"/>
            <w:vAlign w:val="center"/>
          </w:tcPr>
          <w:p>
            <w:pPr>
              <w:jc w:val="center"/>
              <w:rPr>
                <w:rFonts w:asciiTheme="minorEastAsia" w:hAnsiTheme="minorEastAsia" w:eastAsiaTheme="minorEastAsia" w:cstheme="minorEastAsia"/>
                <w:szCs w:val="21"/>
              </w:rPr>
            </w:pPr>
          </w:p>
        </w:tc>
        <w:tc>
          <w:tcPr>
            <w:tcW w:w="772"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4" w:type="pct"/>
            <w:vMerge w:val="continue"/>
            <w:textDirection w:val="tbRlV"/>
            <w:vAlign w:val="center"/>
          </w:tcPr>
          <w:p>
            <w:pPr>
              <w:jc w:val="center"/>
              <w:rPr>
                <w:rFonts w:asciiTheme="minorEastAsia" w:hAnsiTheme="minorEastAsia" w:eastAsiaTheme="minorEastAsia" w:cstheme="minorEastAsia"/>
                <w:szCs w:val="21"/>
              </w:rPr>
            </w:pPr>
          </w:p>
        </w:tc>
        <w:tc>
          <w:tcPr>
            <w:tcW w:w="523" w:type="pct"/>
            <w:vMerge w:val="restart"/>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成</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本</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标</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（20分）</w:t>
            </w:r>
          </w:p>
        </w:tc>
        <w:tc>
          <w:tcPr>
            <w:tcW w:w="649" w:type="pct"/>
            <w:vMerge w:val="restart"/>
            <w:tcBorders>
              <w:top w:val="single" w:color="auto" w:sz="4" w:space="0"/>
              <w:left w:val="single" w:color="auto" w:sz="4" w:space="0"/>
              <w:right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经济</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成本</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tc>
        <w:tc>
          <w:tcPr>
            <w:tcW w:w="547" w:type="pct"/>
            <w:tcBorders>
              <w:left w:val="single" w:color="auto" w:sz="4" w:space="0"/>
            </w:tcBorders>
            <w:vAlign w:val="center"/>
          </w:tcPr>
          <w:p>
            <w:pPr>
              <w:jc w:val="center"/>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渔业绿色循环发展项目资金成本</w:t>
            </w:r>
          </w:p>
        </w:tc>
        <w:tc>
          <w:tcPr>
            <w:tcW w:w="574"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≤8400万</w:t>
            </w:r>
          </w:p>
        </w:tc>
        <w:tc>
          <w:tcPr>
            <w:tcW w:w="653"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≤8400万</w:t>
            </w:r>
          </w:p>
        </w:tc>
        <w:tc>
          <w:tcPr>
            <w:tcW w:w="346"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10</w:t>
            </w:r>
          </w:p>
        </w:tc>
        <w:tc>
          <w:tcPr>
            <w:tcW w:w="408"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10</w:t>
            </w:r>
          </w:p>
        </w:tc>
        <w:tc>
          <w:tcPr>
            <w:tcW w:w="772"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4" w:type="pct"/>
            <w:vMerge w:val="continue"/>
            <w:textDirection w:val="tbRlV"/>
            <w:vAlign w:val="center"/>
          </w:tcPr>
          <w:p>
            <w:pPr>
              <w:jc w:val="center"/>
              <w:rPr>
                <w:rFonts w:asciiTheme="minorEastAsia" w:hAnsiTheme="minorEastAsia" w:eastAsiaTheme="minorEastAsia" w:cstheme="minorEastAsia"/>
                <w:szCs w:val="21"/>
              </w:rPr>
            </w:pPr>
          </w:p>
        </w:tc>
        <w:tc>
          <w:tcPr>
            <w:tcW w:w="523" w:type="pct"/>
            <w:vMerge w:val="continue"/>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p>
        </w:tc>
        <w:tc>
          <w:tcPr>
            <w:tcW w:w="649" w:type="pct"/>
            <w:vMerge w:val="continue"/>
            <w:tcBorders>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p>
        </w:tc>
        <w:tc>
          <w:tcPr>
            <w:tcW w:w="547" w:type="pct"/>
            <w:tcBorders>
              <w:left w:val="single" w:color="auto" w:sz="4" w:space="0"/>
            </w:tcBorders>
            <w:vAlign w:val="center"/>
          </w:tcPr>
          <w:p>
            <w:pPr>
              <w:jc w:val="center"/>
              <w:rPr>
                <w:rFonts w:asciiTheme="minorEastAsia" w:hAnsiTheme="minorEastAsia" w:eastAsiaTheme="minorEastAsia" w:cstheme="minorEastAsia"/>
                <w:szCs w:val="21"/>
              </w:rPr>
            </w:pPr>
          </w:p>
        </w:tc>
        <w:tc>
          <w:tcPr>
            <w:tcW w:w="574" w:type="pct"/>
            <w:vAlign w:val="center"/>
          </w:tcPr>
          <w:p>
            <w:pPr>
              <w:jc w:val="center"/>
              <w:rPr>
                <w:rFonts w:asciiTheme="minorEastAsia" w:hAnsiTheme="minorEastAsia" w:eastAsiaTheme="minorEastAsia" w:cstheme="minorEastAsia"/>
                <w:szCs w:val="21"/>
              </w:rPr>
            </w:pPr>
          </w:p>
        </w:tc>
        <w:tc>
          <w:tcPr>
            <w:tcW w:w="653" w:type="pct"/>
            <w:vAlign w:val="center"/>
          </w:tcPr>
          <w:p>
            <w:pPr>
              <w:jc w:val="center"/>
              <w:rPr>
                <w:rFonts w:asciiTheme="minorEastAsia" w:hAnsiTheme="minorEastAsia" w:eastAsiaTheme="minorEastAsia" w:cstheme="minorEastAsia"/>
                <w:szCs w:val="21"/>
              </w:rPr>
            </w:pPr>
          </w:p>
        </w:tc>
        <w:tc>
          <w:tcPr>
            <w:tcW w:w="346" w:type="pct"/>
            <w:vAlign w:val="center"/>
          </w:tcPr>
          <w:p>
            <w:pPr>
              <w:jc w:val="center"/>
              <w:rPr>
                <w:rFonts w:asciiTheme="minorEastAsia" w:hAnsiTheme="minorEastAsia" w:eastAsiaTheme="minorEastAsia" w:cstheme="minorEastAsia"/>
                <w:szCs w:val="21"/>
              </w:rPr>
            </w:pPr>
          </w:p>
        </w:tc>
        <w:tc>
          <w:tcPr>
            <w:tcW w:w="408" w:type="pct"/>
            <w:vAlign w:val="center"/>
          </w:tcPr>
          <w:p>
            <w:pPr>
              <w:jc w:val="center"/>
              <w:rPr>
                <w:rFonts w:asciiTheme="minorEastAsia" w:hAnsiTheme="minorEastAsia" w:eastAsiaTheme="minorEastAsia" w:cstheme="minorEastAsia"/>
                <w:szCs w:val="21"/>
              </w:rPr>
            </w:pPr>
          </w:p>
        </w:tc>
        <w:tc>
          <w:tcPr>
            <w:tcW w:w="772"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4" w:type="pct"/>
            <w:vMerge w:val="continue"/>
            <w:textDirection w:val="tbRlV"/>
            <w:vAlign w:val="center"/>
          </w:tcPr>
          <w:p>
            <w:pPr>
              <w:jc w:val="center"/>
              <w:rPr>
                <w:rFonts w:asciiTheme="minorEastAsia" w:hAnsiTheme="minorEastAsia" w:eastAsiaTheme="minorEastAsia" w:cstheme="minorEastAsia"/>
                <w:szCs w:val="21"/>
              </w:rPr>
            </w:pPr>
          </w:p>
        </w:tc>
        <w:tc>
          <w:tcPr>
            <w:tcW w:w="523" w:type="pct"/>
            <w:vMerge w:val="continue"/>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p>
        </w:tc>
        <w:tc>
          <w:tcPr>
            <w:tcW w:w="649" w:type="pct"/>
            <w:vMerge w:val="restart"/>
            <w:tcBorders>
              <w:top w:val="single" w:color="auto" w:sz="4" w:space="0"/>
              <w:left w:val="single" w:color="auto" w:sz="4" w:space="0"/>
              <w:right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社会</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成本</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tc>
        <w:tc>
          <w:tcPr>
            <w:tcW w:w="547" w:type="pct"/>
            <w:tcBorders>
              <w:left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循环发展模式建设完成率</w:t>
            </w:r>
          </w:p>
        </w:tc>
        <w:tc>
          <w:tcPr>
            <w:tcW w:w="574"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100%</w:t>
            </w:r>
          </w:p>
        </w:tc>
        <w:tc>
          <w:tcPr>
            <w:tcW w:w="653"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90</w:t>
            </w:r>
            <w:r>
              <w:rPr>
                <w:rFonts w:hint="eastAsia" w:asciiTheme="minorEastAsia" w:hAnsiTheme="minorEastAsia" w:eastAsiaTheme="minorEastAsia" w:cstheme="minorEastAsia"/>
                <w:szCs w:val="21"/>
              </w:rPr>
              <w:t>%</w:t>
            </w:r>
          </w:p>
        </w:tc>
        <w:tc>
          <w:tcPr>
            <w:tcW w:w="346"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10</w:t>
            </w:r>
          </w:p>
        </w:tc>
        <w:tc>
          <w:tcPr>
            <w:tcW w:w="408" w:type="pct"/>
            <w:vAlign w:val="center"/>
          </w:tcPr>
          <w:p>
            <w:pPr>
              <w:jc w:val="center"/>
              <w:rPr>
                <w:rFonts w:hint="eastAsia" w:asciiTheme="minorEastAsia" w:hAnsiTheme="minorEastAsia" w:eastAsiaTheme="minorEastAsia" w:cstheme="minorEastAsia"/>
                <w:szCs w:val="21"/>
                <w:lang w:eastAsia="zh-CN"/>
              </w:rPr>
            </w:pPr>
            <w:r>
              <w:rPr>
                <w:rFonts w:hint="eastAsia" w:asciiTheme="minorEastAsia" w:hAnsiTheme="minorEastAsia" w:eastAsiaTheme="minorEastAsia" w:cstheme="minorEastAsia"/>
                <w:szCs w:val="21"/>
                <w:lang w:val="en-US" w:eastAsia="zh-CN"/>
              </w:rPr>
              <w:t>9</w:t>
            </w:r>
          </w:p>
        </w:tc>
        <w:tc>
          <w:tcPr>
            <w:tcW w:w="772"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4" w:type="pct"/>
            <w:vMerge w:val="continue"/>
            <w:textDirection w:val="tbRlV"/>
            <w:vAlign w:val="center"/>
          </w:tcPr>
          <w:p>
            <w:pPr>
              <w:jc w:val="center"/>
              <w:rPr>
                <w:rFonts w:asciiTheme="minorEastAsia" w:hAnsiTheme="minorEastAsia" w:eastAsiaTheme="minorEastAsia" w:cstheme="minorEastAsia"/>
                <w:szCs w:val="21"/>
              </w:rPr>
            </w:pPr>
          </w:p>
        </w:tc>
        <w:tc>
          <w:tcPr>
            <w:tcW w:w="523" w:type="pct"/>
            <w:vMerge w:val="continue"/>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p>
        </w:tc>
        <w:tc>
          <w:tcPr>
            <w:tcW w:w="649" w:type="pct"/>
            <w:vMerge w:val="continue"/>
            <w:tcBorders>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p>
        </w:tc>
        <w:tc>
          <w:tcPr>
            <w:tcW w:w="547" w:type="pct"/>
            <w:tcBorders>
              <w:left w:val="single" w:color="auto" w:sz="4" w:space="0"/>
            </w:tcBorders>
            <w:vAlign w:val="center"/>
          </w:tcPr>
          <w:p>
            <w:pPr>
              <w:jc w:val="center"/>
              <w:rPr>
                <w:rFonts w:asciiTheme="minorEastAsia" w:hAnsiTheme="minorEastAsia" w:eastAsiaTheme="minorEastAsia" w:cstheme="minorEastAsia"/>
                <w:szCs w:val="21"/>
              </w:rPr>
            </w:pPr>
          </w:p>
        </w:tc>
        <w:tc>
          <w:tcPr>
            <w:tcW w:w="574" w:type="pct"/>
            <w:vAlign w:val="center"/>
          </w:tcPr>
          <w:p>
            <w:pPr>
              <w:jc w:val="center"/>
              <w:rPr>
                <w:rFonts w:asciiTheme="minorEastAsia" w:hAnsiTheme="minorEastAsia" w:eastAsiaTheme="minorEastAsia" w:cstheme="minorEastAsia"/>
                <w:szCs w:val="21"/>
              </w:rPr>
            </w:pPr>
          </w:p>
        </w:tc>
        <w:tc>
          <w:tcPr>
            <w:tcW w:w="653" w:type="pct"/>
            <w:vAlign w:val="center"/>
          </w:tcPr>
          <w:p>
            <w:pPr>
              <w:jc w:val="center"/>
              <w:rPr>
                <w:rFonts w:asciiTheme="minorEastAsia" w:hAnsiTheme="minorEastAsia" w:eastAsiaTheme="minorEastAsia" w:cstheme="minorEastAsia"/>
                <w:szCs w:val="21"/>
              </w:rPr>
            </w:pPr>
          </w:p>
        </w:tc>
        <w:tc>
          <w:tcPr>
            <w:tcW w:w="346" w:type="pct"/>
            <w:vAlign w:val="center"/>
          </w:tcPr>
          <w:p>
            <w:pPr>
              <w:jc w:val="center"/>
              <w:rPr>
                <w:rFonts w:asciiTheme="minorEastAsia" w:hAnsiTheme="minorEastAsia" w:eastAsiaTheme="minorEastAsia" w:cstheme="minorEastAsia"/>
                <w:szCs w:val="21"/>
              </w:rPr>
            </w:pPr>
          </w:p>
        </w:tc>
        <w:tc>
          <w:tcPr>
            <w:tcW w:w="408" w:type="pct"/>
            <w:vAlign w:val="center"/>
          </w:tcPr>
          <w:p>
            <w:pPr>
              <w:jc w:val="center"/>
              <w:rPr>
                <w:rFonts w:asciiTheme="minorEastAsia" w:hAnsiTheme="minorEastAsia" w:eastAsiaTheme="minorEastAsia" w:cstheme="minorEastAsia"/>
                <w:szCs w:val="21"/>
              </w:rPr>
            </w:pPr>
          </w:p>
        </w:tc>
        <w:tc>
          <w:tcPr>
            <w:tcW w:w="772"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4" w:type="pct"/>
            <w:vMerge w:val="continue"/>
            <w:textDirection w:val="tbRlV"/>
            <w:vAlign w:val="center"/>
          </w:tcPr>
          <w:p>
            <w:pPr>
              <w:jc w:val="center"/>
              <w:rPr>
                <w:rFonts w:asciiTheme="minorEastAsia" w:hAnsiTheme="minorEastAsia" w:eastAsiaTheme="minorEastAsia" w:cstheme="minorEastAsia"/>
                <w:szCs w:val="21"/>
              </w:rPr>
            </w:pPr>
          </w:p>
        </w:tc>
        <w:tc>
          <w:tcPr>
            <w:tcW w:w="523" w:type="pct"/>
            <w:vMerge w:val="continue"/>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p>
        </w:tc>
        <w:tc>
          <w:tcPr>
            <w:tcW w:w="649" w:type="pct"/>
            <w:vMerge w:val="restart"/>
            <w:tcBorders>
              <w:top w:val="single" w:color="auto" w:sz="4" w:space="0"/>
              <w:left w:val="single" w:color="auto" w:sz="4" w:space="0"/>
              <w:right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生态</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环境</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成本</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tc>
        <w:tc>
          <w:tcPr>
            <w:tcW w:w="547" w:type="pct"/>
            <w:tcBorders>
              <w:left w:val="single" w:color="auto" w:sz="4" w:space="0"/>
            </w:tcBorders>
            <w:vAlign w:val="center"/>
          </w:tcPr>
          <w:p>
            <w:pPr>
              <w:jc w:val="center"/>
              <w:rPr>
                <w:rFonts w:asciiTheme="minorEastAsia" w:hAnsiTheme="minorEastAsia" w:eastAsiaTheme="minorEastAsia" w:cstheme="minorEastAsia"/>
                <w:szCs w:val="21"/>
              </w:rPr>
            </w:pPr>
          </w:p>
        </w:tc>
        <w:tc>
          <w:tcPr>
            <w:tcW w:w="574" w:type="pct"/>
            <w:vAlign w:val="center"/>
          </w:tcPr>
          <w:p>
            <w:pPr>
              <w:jc w:val="center"/>
              <w:rPr>
                <w:rFonts w:asciiTheme="minorEastAsia" w:hAnsiTheme="minorEastAsia" w:eastAsiaTheme="minorEastAsia" w:cstheme="minorEastAsia"/>
                <w:szCs w:val="21"/>
              </w:rPr>
            </w:pPr>
          </w:p>
        </w:tc>
        <w:tc>
          <w:tcPr>
            <w:tcW w:w="653" w:type="pct"/>
            <w:vAlign w:val="center"/>
          </w:tcPr>
          <w:p>
            <w:pPr>
              <w:jc w:val="center"/>
              <w:rPr>
                <w:rFonts w:asciiTheme="minorEastAsia" w:hAnsiTheme="minorEastAsia" w:eastAsiaTheme="minorEastAsia" w:cstheme="minorEastAsia"/>
                <w:szCs w:val="21"/>
              </w:rPr>
            </w:pPr>
          </w:p>
        </w:tc>
        <w:tc>
          <w:tcPr>
            <w:tcW w:w="346" w:type="pct"/>
            <w:vAlign w:val="center"/>
          </w:tcPr>
          <w:p>
            <w:pPr>
              <w:jc w:val="center"/>
              <w:rPr>
                <w:rFonts w:asciiTheme="minorEastAsia" w:hAnsiTheme="minorEastAsia" w:eastAsiaTheme="minorEastAsia" w:cstheme="minorEastAsia"/>
                <w:szCs w:val="21"/>
              </w:rPr>
            </w:pPr>
          </w:p>
        </w:tc>
        <w:tc>
          <w:tcPr>
            <w:tcW w:w="408" w:type="pct"/>
            <w:vAlign w:val="center"/>
          </w:tcPr>
          <w:p>
            <w:pPr>
              <w:jc w:val="center"/>
              <w:rPr>
                <w:rFonts w:asciiTheme="minorEastAsia" w:hAnsiTheme="minorEastAsia" w:eastAsiaTheme="minorEastAsia" w:cstheme="minorEastAsia"/>
                <w:szCs w:val="21"/>
              </w:rPr>
            </w:pPr>
          </w:p>
        </w:tc>
        <w:tc>
          <w:tcPr>
            <w:tcW w:w="772"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4" w:type="pct"/>
            <w:vMerge w:val="continue"/>
            <w:textDirection w:val="tbRlV"/>
            <w:vAlign w:val="center"/>
          </w:tcPr>
          <w:p>
            <w:pPr>
              <w:jc w:val="center"/>
              <w:rPr>
                <w:rFonts w:asciiTheme="minorEastAsia" w:hAnsiTheme="minorEastAsia" w:eastAsiaTheme="minorEastAsia" w:cstheme="minorEastAsia"/>
                <w:szCs w:val="21"/>
              </w:rPr>
            </w:pPr>
          </w:p>
        </w:tc>
        <w:tc>
          <w:tcPr>
            <w:tcW w:w="523" w:type="pct"/>
            <w:vMerge w:val="continue"/>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p>
        </w:tc>
        <w:tc>
          <w:tcPr>
            <w:tcW w:w="649" w:type="pct"/>
            <w:vMerge w:val="continue"/>
            <w:tcBorders>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p>
        </w:tc>
        <w:tc>
          <w:tcPr>
            <w:tcW w:w="547" w:type="pct"/>
            <w:tcBorders>
              <w:left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w:t>
            </w:r>
          </w:p>
        </w:tc>
        <w:tc>
          <w:tcPr>
            <w:tcW w:w="574" w:type="pct"/>
            <w:vAlign w:val="center"/>
          </w:tcPr>
          <w:p>
            <w:pPr>
              <w:jc w:val="center"/>
              <w:rPr>
                <w:rFonts w:asciiTheme="minorEastAsia" w:hAnsiTheme="minorEastAsia" w:eastAsiaTheme="minorEastAsia" w:cstheme="minorEastAsia"/>
                <w:szCs w:val="21"/>
              </w:rPr>
            </w:pPr>
          </w:p>
        </w:tc>
        <w:tc>
          <w:tcPr>
            <w:tcW w:w="653" w:type="pct"/>
            <w:vAlign w:val="center"/>
          </w:tcPr>
          <w:p>
            <w:pPr>
              <w:jc w:val="center"/>
              <w:rPr>
                <w:rFonts w:asciiTheme="minorEastAsia" w:hAnsiTheme="minorEastAsia" w:eastAsiaTheme="minorEastAsia" w:cstheme="minorEastAsia"/>
                <w:szCs w:val="21"/>
              </w:rPr>
            </w:pPr>
          </w:p>
        </w:tc>
        <w:tc>
          <w:tcPr>
            <w:tcW w:w="346" w:type="pct"/>
            <w:vAlign w:val="center"/>
          </w:tcPr>
          <w:p>
            <w:pPr>
              <w:jc w:val="center"/>
              <w:rPr>
                <w:rFonts w:asciiTheme="minorEastAsia" w:hAnsiTheme="minorEastAsia" w:eastAsiaTheme="minorEastAsia" w:cstheme="minorEastAsia"/>
                <w:szCs w:val="21"/>
              </w:rPr>
            </w:pPr>
          </w:p>
        </w:tc>
        <w:tc>
          <w:tcPr>
            <w:tcW w:w="408" w:type="pct"/>
            <w:vAlign w:val="center"/>
          </w:tcPr>
          <w:p>
            <w:pPr>
              <w:jc w:val="center"/>
              <w:rPr>
                <w:rFonts w:asciiTheme="minorEastAsia" w:hAnsiTheme="minorEastAsia" w:eastAsiaTheme="minorEastAsia" w:cstheme="minorEastAsia"/>
                <w:szCs w:val="21"/>
              </w:rPr>
            </w:pPr>
          </w:p>
        </w:tc>
        <w:tc>
          <w:tcPr>
            <w:tcW w:w="772"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3472" w:type="pct"/>
            <w:gridSpan w:val="6"/>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总分</w:t>
            </w:r>
          </w:p>
        </w:tc>
        <w:tc>
          <w:tcPr>
            <w:tcW w:w="346"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100</w:t>
            </w:r>
          </w:p>
        </w:tc>
        <w:tc>
          <w:tcPr>
            <w:tcW w:w="408" w:type="pct"/>
            <w:vAlign w:val="center"/>
          </w:tcPr>
          <w:p>
            <w:pPr>
              <w:jc w:val="center"/>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95.9</w:t>
            </w:r>
          </w:p>
        </w:tc>
        <w:tc>
          <w:tcPr>
            <w:tcW w:w="772" w:type="pct"/>
            <w:vAlign w:val="center"/>
          </w:tcPr>
          <w:p>
            <w:pPr>
              <w:jc w:val="center"/>
              <w:rPr>
                <w:rFonts w:asciiTheme="minorEastAsia" w:hAnsiTheme="minorEastAsia" w:eastAsiaTheme="minorEastAsia" w:cstheme="minorEastAsia"/>
                <w:szCs w:val="21"/>
              </w:rPr>
            </w:pPr>
          </w:p>
        </w:tc>
      </w:tr>
    </w:tbl>
    <w:p>
      <w:r>
        <w:rPr>
          <w:rFonts w:hint="eastAsia"/>
        </w:rPr>
        <w:t>备注：每个一级项目支出一张表。如，业务工作经费，运行维护经费，其他事业发展类资金各一张表。</w:t>
      </w:r>
    </w:p>
    <w:p/>
    <w:p>
      <w:r>
        <w:rPr>
          <w:rFonts w:hint="eastAsia"/>
        </w:rPr>
        <w:t>填表人：        填报日期：            联系电话：      单位负责人签字：</w:t>
      </w:r>
    </w:p>
    <w:p>
      <w:pPr>
        <w:rPr>
          <w:sz w:val="22"/>
          <w:szCs w:val="22"/>
        </w:rPr>
      </w:pPr>
      <w:r>
        <w:rPr>
          <w:sz w:val="22"/>
          <w:szCs w:val="22"/>
        </w:rPr>
        <w:br w:type="page"/>
      </w:r>
    </w:p>
    <w:p>
      <w:pPr>
        <w:pStyle w:val="9"/>
        <w:sectPr>
          <w:footerReference r:id="rId6" w:type="default"/>
          <w:pgSz w:w="11905" w:h="16838"/>
          <w:pgMar w:top="1984" w:right="1701" w:bottom="1984" w:left="1701" w:header="850" w:footer="1587" w:gutter="0"/>
          <w:pgNumType w:fmt="numberInDash"/>
          <w:cols w:space="0" w:num="1"/>
          <w:docGrid w:type="lines" w:linePitch="314" w:charSpace="0"/>
        </w:sectPr>
      </w:pPr>
    </w:p>
    <w:p>
      <w:pPr>
        <w:spacing w:before="181" w:line="171" w:lineRule="auto"/>
        <w:rPr>
          <w:rFonts w:ascii="仿宋_GB2312" w:hAnsi="仿宋_GB2312" w:eastAsia="仿宋_GB2312" w:cs="仿宋_GB2312"/>
          <w:sz w:val="32"/>
          <w:szCs w:val="32"/>
        </w:rPr>
      </w:pPr>
      <w:r>
        <w:rPr>
          <w:rFonts w:hint="eastAsia" w:ascii="仿宋_GB2312" w:hAnsi="仿宋_GB2312" w:eastAsia="仿宋_GB2312" w:cs="仿宋_GB2312"/>
          <w:sz w:val="32"/>
          <w:szCs w:val="32"/>
        </w:rPr>
        <w:t>附表7</w:t>
      </w:r>
    </w:p>
    <w:p>
      <w:pPr>
        <w:spacing w:line="560" w:lineRule="exact"/>
        <w:jc w:val="center"/>
        <w:rPr>
          <w:rFonts w:eastAsia="方正小标宋_GBK"/>
          <w:sz w:val="36"/>
          <w:szCs w:val="36"/>
        </w:rPr>
      </w:pPr>
      <w:r>
        <w:rPr>
          <w:rFonts w:eastAsia="方正小标宋_GBK"/>
          <w:sz w:val="36"/>
          <w:szCs w:val="36"/>
        </w:rPr>
        <w:t>绩效评价结果征求意见的反馈函</w:t>
      </w:r>
    </w:p>
    <w:p>
      <w:pPr>
        <w:spacing w:line="560" w:lineRule="exact"/>
        <w:jc w:val="center"/>
        <w:rPr>
          <w:rFonts w:ascii="楷体" w:hAnsi="楷体" w:eastAsia="楷体" w:cs="楷体"/>
          <w:sz w:val="24"/>
        </w:rPr>
      </w:pPr>
      <w:r>
        <w:rPr>
          <w:rFonts w:hint="eastAsia" w:ascii="楷体" w:hAnsi="楷体" w:eastAsia="楷体" w:cs="楷体"/>
          <w:sz w:val="24"/>
        </w:rPr>
        <w:t>（重点绩效评价项目用）</w:t>
      </w:r>
    </w:p>
    <w:p>
      <w:pPr>
        <w:spacing w:line="560" w:lineRule="exact"/>
        <w:rPr>
          <w:rFonts w:eastAsia="仿宋_GB2312"/>
          <w:sz w:val="28"/>
          <w:szCs w:val="28"/>
        </w:rPr>
      </w:pPr>
      <w:r>
        <w:rPr>
          <w:rFonts w:eastAsia="仿宋_GB2312"/>
          <w:sz w:val="28"/>
          <w:szCs w:val="28"/>
          <w:u w:val="single"/>
        </w:rPr>
        <w:t xml:space="preserve">    </w:t>
      </w:r>
      <w:r>
        <w:rPr>
          <w:rFonts w:hint="eastAsia" w:eastAsia="仿宋_GB2312"/>
          <w:sz w:val="28"/>
          <w:szCs w:val="28"/>
          <w:u w:val="single"/>
        </w:rPr>
        <w:t xml:space="preserve">    </w:t>
      </w:r>
      <w:r>
        <w:rPr>
          <w:rFonts w:eastAsia="仿宋_GB2312"/>
          <w:sz w:val="28"/>
          <w:szCs w:val="28"/>
          <w:u w:val="single"/>
        </w:rPr>
        <w:t xml:space="preserve">    </w:t>
      </w:r>
      <w:r>
        <w:rPr>
          <w:rFonts w:hint="eastAsia" w:eastAsia="仿宋_GB2312"/>
          <w:sz w:val="28"/>
          <w:szCs w:val="28"/>
          <w:u w:val="single"/>
        </w:rPr>
        <w:t xml:space="preserve">   </w:t>
      </w:r>
      <w:r>
        <w:rPr>
          <w:rFonts w:eastAsia="仿宋_GB2312"/>
          <w:sz w:val="28"/>
          <w:szCs w:val="28"/>
          <w:u w:val="single"/>
        </w:rPr>
        <w:t xml:space="preserve">   </w:t>
      </w:r>
      <w:r>
        <w:rPr>
          <w:rFonts w:eastAsia="仿宋_GB2312"/>
          <w:sz w:val="28"/>
          <w:szCs w:val="28"/>
        </w:rPr>
        <w:t>：</w:t>
      </w:r>
    </w:p>
    <w:p>
      <w:pPr>
        <w:spacing w:line="560" w:lineRule="exact"/>
        <w:ind w:firstLine="640" w:firstLineChars="200"/>
        <w:rPr>
          <w:rFonts w:eastAsia="仿宋_GB2312"/>
          <w:sz w:val="32"/>
          <w:szCs w:val="32"/>
        </w:rPr>
      </w:pPr>
      <w:r>
        <w:rPr>
          <w:rFonts w:eastAsia="仿宋_GB2312"/>
          <w:sz w:val="32"/>
          <w:szCs w:val="32"/>
        </w:rPr>
        <w:t>按照相关规定和绩效评价要求，根据贵单位的绩效自评报告和绩效评价工作组的现场评价情况，形成绩效评价报告。现将《×××绩效评价报告》反馈贵单位，请于    年     月   日前提出书面意见或说明，逾期未复，视为无异议。</w:t>
      </w:r>
    </w:p>
    <w:tbl>
      <w:tblPr>
        <w:tblStyle w:val="12"/>
        <w:tblW w:w="89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jc w:val="center"/>
        </w:trPr>
        <w:tc>
          <w:tcPr>
            <w:tcW w:w="8920" w:type="dxa"/>
            <w:vAlign w:val="center"/>
          </w:tcPr>
          <w:p>
            <w:pPr>
              <w:keepNext w:val="0"/>
              <w:keepLines w:val="0"/>
              <w:suppressLineNumbers w:val="0"/>
              <w:spacing w:before="0" w:beforeAutospacing="0" w:after="0" w:afterAutospacing="0" w:line="560" w:lineRule="exact"/>
              <w:ind w:left="0" w:right="0" w:firstLine="560"/>
              <w:jc w:val="center"/>
              <w:rPr>
                <w:rFonts w:hint="default" w:eastAsia="黑体"/>
                <w:sz w:val="28"/>
                <w:szCs w:val="28"/>
              </w:rPr>
            </w:pPr>
            <w:r>
              <w:rPr>
                <w:rFonts w:hint="default" w:eastAsia="楷体_GB2312"/>
                <w:sz w:val="28"/>
                <w:szCs w:val="28"/>
              </w:rPr>
              <w:t>项目实施单位意见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3" w:hRule="atLeast"/>
          <w:jc w:val="center"/>
        </w:trPr>
        <w:tc>
          <w:tcPr>
            <w:tcW w:w="8920" w:type="dxa"/>
          </w:tcPr>
          <w:p>
            <w:pPr>
              <w:keepNext w:val="0"/>
              <w:keepLines w:val="0"/>
              <w:suppressLineNumbers w:val="0"/>
              <w:spacing w:before="0" w:beforeAutospacing="0" w:after="0" w:afterAutospacing="0" w:line="560" w:lineRule="exact"/>
              <w:ind w:left="0" w:right="0" w:firstLine="140" w:firstLineChars="50"/>
              <w:rPr>
                <w:rFonts w:hint="default" w:eastAsia="黑体"/>
                <w:sz w:val="28"/>
                <w:szCs w:val="28"/>
              </w:rPr>
            </w:pPr>
            <w:r>
              <w:rPr>
                <w:rFonts w:hint="default" w:eastAsia="黑体"/>
                <w:sz w:val="28"/>
                <w:szCs w:val="28"/>
              </w:rPr>
              <w:t>一、对报告中“评价结论”的意见</w:t>
            </w:r>
          </w:p>
          <w:p>
            <w:pPr>
              <w:keepNext w:val="0"/>
              <w:keepLines w:val="0"/>
              <w:suppressLineNumbers w:val="0"/>
              <w:spacing w:before="0" w:beforeAutospacing="0" w:after="0" w:afterAutospacing="0" w:line="560" w:lineRule="exact"/>
              <w:ind w:left="0" w:right="0" w:firstLine="560"/>
              <w:rPr>
                <w:rFonts w:hint="default"/>
                <w:sz w:val="28"/>
                <w:szCs w:val="28"/>
              </w:rPr>
            </w:pPr>
          </w:p>
          <w:p>
            <w:pPr>
              <w:keepNext w:val="0"/>
              <w:keepLines w:val="0"/>
              <w:suppressLineNumbers w:val="0"/>
              <w:spacing w:before="0" w:beforeAutospacing="0" w:after="0" w:afterAutospacing="0" w:line="560" w:lineRule="exact"/>
              <w:ind w:left="0" w:right="0" w:firstLine="560"/>
              <w:rPr>
                <w:rFonts w:hint="default"/>
                <w:sz w:val="28"/>
                <w:szCs w:val="28"/>
              </w:rPr>
            </w:pPr>
          </w:p>
          <w:p>
            <w:pPr>
              <w:keepNext w:val="0"/>
              <w:keepLines w:val="0"/>
              <w:suppressLineNumbers w:val="0"/>
              <w:spacing w:before="0" w:beforeAutospacing="0" w:after="0" w:afterAutospacing="0" w:line="560" w:lineRule="exact"/>
              <w:ind w:left="0" w:right="0" w:firstLine="140" w:firstLineChars="50"/>
              <w:rPr>
                <w:rFonts w:hint="default" w:eastAsia="黑体"/>
                <w:sz w:val="28"/>
                <w:szCs w:val="28"/>
              </w:rPr>
            </w:pPr>
            <w:r>
              <w:rPr>
                <w:rFonts w:hint="default" w:eastAsia="黑体"/>
                <w:sz w:val="28"/>
                <w:szCs w:val="28"/>
              </w:rPr>
              <w:t>二、对报告中“问题”和“建议”的意见</w:t>
            </w:r>
          </w:p>
          <w:p>
            <w:pPr>
              <w:keepNext w:val="0"/>
              <w:keepLines w:val="0"/>
              <w:suppressLineNumbers w:val="0"/>
              <w:spacing w:before="0" w:beforeAutospacing="0" w:after="0" w:afterAutospacing="0" w:line="560" w:lineRule="exact"/>
              <w:ind w:left="0" w:right="0" w:firstLine="560"/>
              <w:rPr>
                <w:rFonts w:hint="default"/>
                <w:sz w:val="28"/>
                <w:szCs w:val="28"/>
              </w:rPr>
            </w:pPr>
          </w:p>
          <w:p>
            <w:pPr>
              <w:keepNext w:val="0"/>
              <w:keepLines w:val="0"/>
              <w:suppressLineNumbers w:val="0"/>
              <w:spacing w:before="0" w:beforeAutospacing="0" w:after="0" w:afterAutospacing="0" w:line="560" w:lineRule="exact"/>
              <w:ind w:left="0" w:right="0" w:firstLine="560"/>
              <w:rPr>
                <w:rFonts w:hint="default"/>
                <w:sz w:val="28"/>
                <w:szCs w:val="28"/>
              </w:rPr>
            </w:pPr>
          </w:p>
          <w:p>
            <w:pPr>
              <w:keepNext w:val="0"/>
              <w:keepLines w:val="0"/>
              <w:suppressLineNumbers w:val="0"/>
              <w:spacing w:before="0" w:beforeAutospacing="0" w:after="0" w:afterAutospacing="0" w:line="560" w:lineRule="exact"/>
              <w:ind w:left="0" w:right="0" w:firstLine="560"/>
              <w:rPr>
                <w:rFonts w:hint="default"/>
                <w:sz w:val="28"/>
                <w:szCs w:val="28"/>
              </w:rPr>
            </w:pPr>
          </w:p>
          <w:p>
            <w:pPr>
              <w:keepNext w:val="0"/>
              <w:keepLines w:val="0"/>
              <w:suppressLineNumbers w:val="0"/>
              <w:spacing w:before="0" w:beforeAutospacing="0" w:after="0" w:afterAutospacing="0" w:line="560" w:lineRule="exact"/>
              <w:ind w:left="0" w:right="0" w:firstLine="140" w:firstLineChars="50"/>
              <w:rPr>
                <w:rFonts w:hint="default" w:eastAsia="黑体"/>
                <w:sz w:val="28"/>
                <w:szCs w:val="28"/>
              </w:rPr>
            </w:pPr>
            <w:r>
              <w:rPr>
                <w:rFonts w:hint="default" w:eastAsia="黑体"/>
                <w:sz w:val="28"/>
                <w:szCs w:val="28"/>
              </w:rPr>
              <w:t>三、</w:t>
            </w:r>
            <w:r>
              <w:rPr>
                <w:rFonts w:hint="eastAsia" w:eastAsia="黑体"/>
                <w:sz w:val="28"/>
                <w:szCs w:val="28"/>
              </w:rPr>
              <w:t>其他意见</w:t>
            </w:r>
            <w:r>
              <w:rPr>
                <w:rFonts w:hint="default" w:eastAsia="黑体"/>
                <w:sz w:val="28"/>
                <w:szCs w:val="28"/>
              </w:rPr>
              <w:t>或建议</w:t>
            </w:r>
          </w:p>
          <w:p>
            <w:pPr>
              <w:keepNext w:val="0"/>
              <w:keepLines w:val="0"/>
              <w:suppressLineNumbers w:val="0"/>
              <w:wordWrap w:val="0"/>
              <w:spacing w:before="0" w:beforeAutospacing="0" w:after="0" w:afterAutospacing="0" w:line="560" w:lineRule="exact"/>
              <w:ind w:left="0" w:right="1280"/>
              <w:jc w:val="right"/>
              <w:rPr>
                <w:rFonts w:hint="default" w:eastAsia="仿宋_GB2312"/>
                <w:sz w:val="28"/>
                <w:szCs w:val="28"/>
              </w:rPr>
            </w:pPr>
          </w:p>
          <w:p>
            <w:pPr>
              <w:pStyle w:val="9"/>
              <w:keepNext w:val="0"/>
              <w:keepLines w:val="0"/>
              <w:suppressLineNumbers w:val="0"/>
              <w:spacing w:before="0" w:beforeAutospacing="0" w:after="0" w:afterAutospacing="0"/>
              <w:ind w:left="0" w:right="0"/>
              <w:rPr>
                <w:rFonts w:hint="default" w:eastAsia="仿宋_GB2312"/>
                <w:sz w:val="28"/>
                <w:szCs w:val="28"/>
              </w:rPr>
            </w:pPr>
          </w:p>
          <w:p>
            <w:pPr>
              <w:keepNext w:val="0"/>
              <w:keepLines w:val="0"/>
              <w:suppressLineNumbers w:val="0"/>
              <w:spacing w:before="0" w:beforeAutospacing="0" w:after="0" w:afterAutospacing="0"/>
              <w:ind w:left="0" w:right="0"/>
              <w:rPr>
                <w:rFonts w:hint="default" w:eastAsia="仿宋_GB2312"/>
                <w:sz w:val="28"/>
                <w:szCs w:val="28"/>
              </w:rPr>
            </w:pPr>
          </w:p>
          <w:p>
            <w:pPr>
              <w:pStyle w:val="9"/>
              <w:keepNext w:val="0"/>
              <w:keepLines w:val="0"/>
              <w:suppressLineNumbers w:val="0"/>
              <w:spacing w:before="0" w:beforeAutospacing="0" w:after="0" w:afterAutospacing="0"/>
              <w:ind w:left="0" w:right="0"/>
              <w:rPr>
                <w:rFonts w:hint="default"/>
              </w:rPr>
            </w:pPr>
          </w:p>
          <w:p>
            <w:pPr>
              <w:keepNext w:val="0"/>
              <w:keepLines w:val="0"/>
              <w:suppressLineNumbers w:val="0"/>
              <w:wordWrap w:val="0"/>
              <w:spacing w:before="0" w:beforeAutospacing="0" w:after="0" w:afterAutospacing="0" w:line="560" w:lineRule="exact"/>
              <w:ind w:left="0" w:right="1280"/>
              <w:jc w:val="right"/>
              <w:rPr>
                <w:rFonts w:hint="default" w:eastAsia="仿宋_GB2312"/>
                <w:sz w:val="28"/>
                <w:szCs w:val="28"/>
              </w:rPr>
            </w:pPr>
            <w:r>
              <w:rPr>
                <w:rFonts w:hint="eastAsia" w:eastAsia="仿宋_GB2312"/>
                <w:sz w:val="28"/>
                <w:szCs w:val="28"/>
              </w:rPr>
              <w:t>单</w:t>
            </w:r>
            <w:r>
              <w:rPr>
                <w:rFonts w:hint="default" w:eastAsia="仿宋_GB2312"/>
                <w:sz w:val="28"/>
                <w:szCs w:val="28"/>
              </w:rPr>
              <w:t>位（盖章）</w:t>
            </w:r>
          </w:p>
          <w:p>
            <w:pPr>
              <w:keepNext w:val="0"/>
              <w:keepLines w:val="0"/>
              <w:suppressLineNumbers w:val="0"/>
              <w:wordWrap w:val="0"/>
              <w:spacing w:before="0" w:beforeAutospacing="0" w:after="0" w:afterAutospacing="0" w:line="560" w:lineRule="exact"/>
              <w:ind w:left="0" w:right="1280"/>
              <w:jc w:val="right"/>
              <w:rPr>
                <w:rFonts w:hint="default"/>
                <w:sz w:val="28"/>
                <w:szCs w:val="28"/>
              </w:rPr>
            </w:pPr>
            <w:r>
              <w:rPr>
                <w:rFonts w:hint="default" w:eastAsia="仿宋_GB2312"/>
                <w:sz w:val="28"/>
                <w:szCs w:val="28"/>
              </w:rPr>
              <w:t>年   月   日</w:t>
            </w:r>
          </w:p>
        </w:tc>
      </w:tr>
    </w:tbl>
    <w:p>
      <w:pPr>
        <w:spacing w:line="20" w:lineRule="exact"/>
        <w:rPr>
          <w:rFonts w:ascii="黑体" w:hAnsi="宋体" w:eastAsia="黑体" w:cs="黑体"/>
          <w:color w:val="000000"/>
          <w:kern w:val="0"/>
          <w:sz w:val="32"/>
          <w:szCs w:val="32"/>
        </w:rPr>
      </w:pPr>
      <w:r>
        <w:rPr>
          <w:rFonts w:hint="eastAsia" w:ascii="黑体" w:hAnsi="宋体" w:eastAsia="黑体" w:cs="黑体"/>
          <w:color w:val="000000"/>
          <w:kern w:val="0"/>
          <w:sz w:val="32"/>
          <w:szCs w:val="32"/>
        </w:rPr>
        <w:br w:type="page"/>
      </w:r>
    </w:p>
    <w:p>
      <w:pPr>
        <w:spacing w:before="181" w:line="171" w:lineRule="auto"/>
        <w:rPr>
          <w:rFonts w:ascii="仿宋_GB2312" w:hAnsi="仿宋_GB2312" w:eastAsia="仿宋_GB2312" w:cs="仿宋_GB2312"/>
          <w:sz w:val="32"/>
          <w:szCs w:val="32"/>
        </w:rPr>
      </w:pPr>
      <w:r>
        <w:rPr>
          <w:rFonts w:hint="eastAsia" w:ascii="仿宋_GB2312" w:hAnsi="仿宋_GB2312" w:eastAsia="仿宋_GB2312" w:cs="仿宋_GB2312"/>
          <w:sz w:val="32"/>
          <w:szCs w:val="32"/>
        </w:rPr>
        <w:t>附表8</w:t>
      </w:r>
    </w:p>
    <w:p>
      <w:pPr>
        <w:spacing w:line="560" w:lineRule="exact"/>
        <w:jc w:val="center"/>
        <w:rPr>
          <w:rFonts w:eastAsia="方正小标宋_GBK"/>
          <w:sz w:val="36"/>
          <w:szCs w:val="36"/>
        </w:rPr>
      </w:pPr>
      <w:r>
        <w:rPr>
          <w:rFonts w:eastAsia="方正小标宋_GBK"/>
          <w:sz w:val="36"/>
          <w:szCs w:val="36"/>
        </w:rPr>
        <w:t>绩效评价结果整改报告书</w:t>
      </w:r>
    </w:p>
    <w:p>
      <w:pPr>
        <w:spacing w:line="560" w:lineRule="exact"/>
        <w:jc w:val="center"/>
        <w:rPr>
          <w:sz w:val="28"/>
          <w:szCs w:val="28"/>
        </w:rPr>
      </w:pPr>
      <w:r>
        <w:rPr>
          <w:rFonts w:eastAsia="楷体_GB2312"/>
          <w:sz w:val="32"/>
          <w:szCs w:val="32"/>
        </w:rPr>
        <w:t>（参考格式）</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27"/>
        <w:gridCol w:w="67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1827" w:type="dxa"/>
            <w:vAlign w:val="center"/>
          </w:tcPr>
          <w:p>
            <w:pPr>
              <w:keepNext w:val="0"/>
              <w:keepLines w:val="0"/>
              <w:suppressLineNumbers w:val="0"/>
              <w:spacing w:before="0" w:beforeAutospacing="0" w:after="0" w:afterAutospacing="0" w:line="560" w:lineRule="exact"/>
              <w:ind w:left="0" w:right="0"/>
              <w:jc w:val="center"/>
              <w:rPr>
                <w:rFonts w:hint="default" w:ascii="黑体" w:hAnsi="黑体" w:eastAsia="黑体"/>
                <w:sz w:val="24"/>
              </w:rPr>
            </w:pPr>
            <w:r>
              <w:rPr>
                <w:rFonts w:hint="default" w:ascii="黑体" w:hAnsi="黑体" w:eastAsia="黑体"/>
                <w:sz w:val="24"/>
              </w:rPr>
              <w:t>预算支出名称</w:t>
            </w:r>
          </w:p>
        </w:tc>
        <w:tc>
          <w:tcPr>
            <w:tcW w:w="6773" w:type="dxa"/>
          </w:tcPr>
          <w:p>
            <w:pPr>
              <w:keepNext w:val="0"/>
              <w:keepLines w:val="0"/>
              <w:suppressLineNumbers w:val="0"/>
              <w:spacing w:before="0" w:beforeAutospacing="0" w:after="0" w:afterAutospacing="0" w:line="560" w:lineRule="exact"/>
              <w:ind w:left="0" w:right="0" w:firstLine="560"/>
              <w:rPr>
                <w:rFonts w:hint="default"/>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1827" w:type="dxa"/>
            <w:vAlign w:val="center"/>
          </w:tcPr>
          <w:p>
            <w:pPr>
              <w:keepNext w:val="0"/>
              <w:keepLines w:val="0"/>
              <w:suppressLineNumbers w:val="0"/>
              <w:spacing w:before="0" w:beforeAutospacing="0" w:after="0" w:afterAutospacing="0" w:line="560" w:lineRule="exact"/>
              <w:ind w:left="0" w:right="0"/>
              <w:jc w:val="center"/>
              <w:rPr>
                <w:rFonts w:hint="default" w:ascii="黑体" w:hAnsi="黑体" w:eastAsia="黑体"/>
                <w:sz w:val="24"/>
              </w:rPr>
            </w:pPr>
            <w:r>
              <w:rPr>
                <w:rFonts w:hint="default" w:ascii="黑体" w:hAnsi="黑体" w:eastAsia="黑体"/>
                <w:sz w:val="24"/>
              </w:rPr>
              <w:t>评价内容</w:t>
            </w:r>
          </w:p>
        </w:tc>
        <w:tc>
          <w:tcPr>
            <w:tcW w:w="6773" w:type="dxa"/>
          </w:tcPr>
          <w:p>
            <w:pPr>
              <w:keepNext w:val="0"/>
              <w:keepLines w:val="0"/>
              <w:suppressLineNumbers w:val="0"/>
              <w:spacing w:before="0" w:beforeAutospacing="0" w:after="0" w:afterAutospacing="0" w:line="560" w:lineRule="exact"/>
              <w:ind w:left="0" w:right="0" w:firstLine="560"/>
              <w:rPr>
                <w:rFonts w:hint="default"/>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1827" w:type="dxa"/>
            <w:vAlign w:val="center"/>
          </w:tcPr>
          <w:p>
            <w:pPr>
              <w:keepNext w:val="0"/>
              <w:keepLines w:val="0"/>
              <w:suppressLineNumbers w:val="0"/>
              <w:spacing w:before="0" w:beforeAutospacing="0" w:after="0" w:afterAutospacing="0" w:line="560" w:lineRule="exact"/>
              <w:ind w:left="0" w:right="0"/>
              <w:jc w:val="center"/>
              <w:rPr>
                <w:rFonts w:hint="default" w:ascii="黑体" w:hAnsi="黑体" w:eastAsia="黑体"/>
                <w:sz w:val="24"/>
              </w:rPr>
            </w:pPr>
            <w:r>
              <w:rPr>
                <w:rFonts w:hint="default" w:ascii="黑体" w:hAnsi="黑体" w:eastAsia="黑体"/>
                <w:sz w:val="24"/>
              </w:rPr>
              <w:t>联系人及电话</w:t>
            </w:r>
          </w:p>
        </w:tc>
        <w:tc>
          <w:tcPr>
            <w:tcW w:w="6773" w:type="dxa"/>
          </w:tcPr>
          <w:p>
            <w:pPr>
              <w:keepNext w:val="0"/>
              <w:keepLines w:val="0"/>
              <w:suppressLineNumbers w:val="0"/>
              <w:spacing w:before="0" w:beforeAutospacing="0" w:after="0" w:afterAutospacing="0" w:line="560" w:lineRule="exact"/>
              <w:ind w:left="0" w:right="0" w:firstLine="560"/>
              <w:rPr>
                <w:rFonts w:hint="default"/>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6" w:hRule="atLeast"/>
          <w:jc w:val="center"/>
        </w:trPr>
        <w:tc>
          <w:tcPr>
            <w:tcW w:w="8600" w:type="dxa"/>
            <w:gridSpan w:val="2"/>
          </w:tcPr>
          <w:p>
            <w:pPr>
              <w:keepNext w:val="0"/>
              <w:keepLines w:val="0"/>
              <w:suppressLineNumbers w:val="0"/>
              <w:spacing w:before="0" w:beforeAutospacing="0" w:after="0" w:afterAutospacing="0" w:line="560" w:lineRule="exact"/>
              <w:ind w:left="0" w:right="-27" w:rightChars="-13"/>
              <w:jc w:val="center"/>
              <w:rPr>
                <w:rFonts w:hint="default"/>
                <w:sz w:val="24"/>
              </w:rPr>
            </w:pPr>
            <w:r>
              <w:rPr>
                <w:rFonts w:hint="default"/>
                <w:sz w:val="32"/>
                <w:szCs w:val="32"/>
              </w:rPr>
              <w:t>整改情况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0" w:hRule="atLeast"/>
          <w:jc w:val="center"/>
        </w:trPr>
        <w:tc>
          <w:tcPr>
            <w:tcW w:w="1827" w:type="dxa"/>
            <w:vAlign w:val="center"/>
          </w:tcPr>
          <w:p>
            <w:pPr>
              <w:keepNext w:val="0"/>
              <w:keepLines w:val="0"/>
              <w:suppressLineNumbers w:val="0"/>
              <w:spacing w:before="0" w:beforeAutospacing="0" w:after="0" w:afterAutospacing="0" w:line="560" w:lineRule="exact"/>
              <w:ind w:left="0" w:right="-27" w:rightChars="-13"/>
              <w:jc w:val="center"/>
              <w:rPr>
                <w:rFonts w:hint="default"/>
                <w:sz w:val="24"/>
              </w:rPr>
            </w:pPr>
            <w:r>
              <w:rPr>
                <w:rFonts w:hint="eastAsia"/>
                <w:sz w:val="24"/>
              </w:rPr>
              <w:t>单位意见</w:t>
            </w:r>
          </w:p>
        </w:tc>
        <w:tc>
          <w:tcPr>
            <w:tcW w:w="6773" w:type="dxa"/>
            <w:vAlign w:val="bottom"/>
          </w:tcPr>
          <w:p>
            <w:pPr>
              <w:keepNext w:val="0"/>
              <w:keepLines w:val="0"/>
              <w:suppressLineNumbers w:val="0"/>
              <w:spacing w:before="0" w:beforeAutospacing="0" w:after="0" w:afterAutospacing="0" w:line="560" w:lineRule="exact"/>
              <w:ind w:left="0" w:right="-27" w:rightChars="-13"/>
              <w:jc w:val="center"/>
              <w:rPr>
                <w:rFonts w:hint="default"/>
                <w:sz w:val="24"/>
              </w:rPr>
            </w:pPr>
          </w:p>
          <w:p>
            <w:pPr>
              <w:keepNext w:val="0"/>
              <w:keepLines w:val="0"/>
              <w:suppressLineNumbers w:val="0"/>
              <w:spacing w:before="0" w:beforeAutospacing="0" w:after="0" w:afterAutospacing="0" w:line="560" w:lineRule="exact"/>
              <w:ind w:left="0" w:right="-27" w:rightChars="-13"/>
              <w:rPr>
                <w:rFonts w:hint="default"/>
                <w:sz w:val="24"/>
              </w:rPr>
            </w:pPr>
            <w:r>
              <w:rPr>
                <w:rFonts w:hint="eastAsia"/>
                <w:sz w:val="24"/>
              </w:rPr>
              <w:t>单位负责人签名：     单位（盖章）：      年    月    日</w:t>
            </w:r>
          </w:p>
        </w:tc>
      </w:tr>
    </w:tbl>
    <w:p>
      <w:pPr>
        <w:widowControl/>
        <w:spacing w:line="400" w:lineRule="exact"/>
        <w:rPr>
          <w:rFonts w:ascii="黑体" w:hAnsi="黑体" w:eastAsia="黑体" w:cs="黑体"/>
          <w:szCs w:val="21"/>
        </w:rPr>
      </w:pPr>
      <w:r>
        <w:rPr>
          <w:rFonts w:hint="eastAsia" w:ascii="宋体" w:hAnsi="宋体" w:cs="宋体"/>
          <w:b/>
          <w:szCs w:val="21"/>
        </w:rPr>
        <w:t>注</w:t>
      </w:r>
      <w:r>
        <w:rPr>
          <w:rFonts w:hint="eastAsia" w:ascii="宋体" w:hAnsi="宋体" w:cs="宋体"/>
          <w:bCs/>
          <w:szCs w:val="21"/>
        </w:rPr>
        <w:t>：绩效评价结果整改报告书应在收到绩效评价结果反馈意见后30天内交县财政局绩效管理股。</w:t>
      </w:r>
    </w:p>
    <w:p>
      <w:pPr>
        <w:spacing w:line="580" w:lineRule="exact"/>
        <w:jc w:val="left"/>
        <w:rPr>
          <w:rFonts w:hint="eastAsia" w:ascii="仿宋_GB2312" w:hAnsi="仿宋_GB2312" w:eastAsia="仿宋_GB2312" w:cs="仿宋_GB2312"/>
          <w:spacing w:val="-4"/>
          <w:sz w:val="32"/>
          <w:szCs w:val="32"/>
        </w:rPr>
      </w:pPr>
    </w:p>
    <w:p>
      <w:pPr>
        <w:spacing w:line="580" w:lineRule="exact"/>
        <w:jc w:val="left"/>
        <w:rPr>
          <w:rFonts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附件5</w:t>
      </w:r>
    </w:p>
    <w:p>
      <w:pPr>
        <w:jc w:val="center"/>
        <w:rPr>
          <w:rFonts w:ascii="方正小标宋简体" w:hAnsi="方正小标宋简体" w:eastAsia="方正小标宋简体" w:cs="方正小标宋简体"/>
          <w:sz w:val="44"/>
          <w:szCs w:val="44"/>
        </w:rPr>
      </w:pPr>
    </w:p>
    <w:p>
      <w:pPr>
        <w:spacing w:line="610" w:lineRule="exact"/>
        <w:jc w:val="center"/>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2023年度农业农村局稻谷目标价格</w:t>
      </w:r>
    </w:p>
    <w:p>
      <w:pPr>
        <w:jc w:val="center"/>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补贴项目支出绩效自评报告</w:t>
      </w:r>
    </w:p>
    <w:p>
      <w:pPr>
        <w:jc w:val="center"/>
        <w:rPr>
          <w:rFonts w:eastAsia="方正小标宋_GBK"/>
          <w:b/>
          <w:sz w:val="52"/>
          <w:szCs w:val="52"/>
        </w:rPr>
      </w:pPr>
    </w:p>
    <w:p>
      <w:pPr>
        <w:jc w:val="center"/>
        <w:rPr>
          <w:rFonts w:eastAsia="黑体"/>
          <w:sz w:val="32"/>
          <w:szCs w:val="32"/>
        </w:rPr>
      </w:pPr>
    </w:p>
    <w:p>
      <w:pPr>
        <w:pStyle w:val="9"/>
      </w:pPr>
    </w:p>
    <w:p>
      <w:pPr>
        <w:jc w:val="center"/>
        <w:rPr>
          <w:rFonts w:eastAsia="黑体"/>
          <w:sz w:val="32"/>
          <w:szCs w:val="32"/>
        </w:rPr>
      </w:pPr>
    </w:p>
    <w:p>
      <w:pPr>
        <w:jc w:val="center"/>
        <w:rPr>
          <w:rFonts w:eastAsia="黑体"/>
          <w:sz w:val="32"/>
          <w:szCs w:val="32"/>
        </w:rPr>
      </w:pPr>
    </w:p>
    <w:p>
      <w:pPr>
        <w:jc w:val="center"/>
        <w:rPr>
          <w:rFonts w:eastAsia="黑体"/>
          <w:sz w:val="32"/>
          <w:szCs w:val="32"/>
        </w:rPr>
      </w:pPr>
    </w:p>
    <w:p>
      <w:pPr>
        <w:jc w:val="center"/>
        <w:rPr>
          <w:rFonts w:eastAsia="黑体"/>
          <w:sz w:val="32"/>
          <w:szCs w:val="32"/>
        </w:rPr>
      </w:pPr>
    </w:p>
    <w:p>
      <w:pPr>
        <w:rPr>
          <w:rFonts w:eastAsia="黑体"/>
          <w:sz w:val="32"/>
          <w:szCs w:val="32"/>
        </w:rPr>
      </w:pPr>
    </w:p>
    <w:p>
      <w:pPr>
        <w:pStyle w:val="5"/>
        <w:spacing w:before="100" w:line="221" w:lineRule="auto"/>
        <w:ind w:firstLine="600" w:firstLineChars="200"/>
        <w:rPr>
          <w:rFonts w:ascii="仿宋_GB2312" w:hAnsi="仿宋_GB2312" w:eastAsia="仿宋_GB2312" w:cs="仿宋_GB2312"/>
          <w:sz w:val="32"/>
          <w:szCs w:val="32"/>
        </w:rPr>
      </w:pPr>
      <w:r>
        <w:rPr>
          <w:rFonts w:hint="eastAsia" w:ascii="仿宋_GB2312" w:hAnsi="仿宋_GB2312" w:eastAsia="仿宋_GB2312" w:cs="仿宋_GB2312"/>
          <w:spacing w:val="-10"/>
          <w:sz w:val="32"/>
          <w:szCs w:val="32"/>
        </w:rPr>
        <w:t>部门（单位）名称</w:t>
      </w:r>
      <w:r>
        <w:rPr>
          <w:rFonts w:hint="eastAsia" w:ascii="仿宋_GB2312" w:hAnsi="仿宋_GB2312" w:eastAsia="仿宋_GB2312" w:cs="仿宋_GB2312"/>
          <w:spacing w:val="4"/>
          <w:sz w:val="32"/>
          <w:szCs w:val="32"/>
        </w:rPr>
        <w:t>：</w:t>
      </w:r>
      <w:r>
        <w:rPr>
          <w:rFonts w:hint="eastAsia" w:ascii="仿宋_GB2312" w:hAnsi="仿宋_GB2312" w:eastAsia="仿宋_GB2312" w:cs="仿宋_GB2312"/>
          <w:spacing w:val="4"/>
          <w:sz w:val="32"/>
          <w:szCs w:val="32"/>
          <w:u w:val="single"/>
          <w:lang w:eastAsia="zh-CN"/>
        </w:rPr>
        <w:t>(</w:t>
      </w:r>
      <w:r>
        <w:rPr>
          <w:rFonts w:hint="eastAsia" w:ascii="仿宋_GB2312" w:hAnsi="仿宋_GB2312" w:eastAsia="仿宋_GB2312" w:cs="仿宋_GB2312"/>
          <w:spacing w:val="-118"/>
          <w:sz w:val="32"/>
          <w:szCs w:val="32"/>
          <w:u w:val="single"/>
        </w:rPr>
        <w:t xml:space="preserve"> </w:t>
      </w:r>
      <w:r>
        <w:rPr>
          <w:rFonts w:hint="eastAsia" w:ascii="仿宋_GB2312" w:hAnsi="仿宋_GB2312" w:eastAsia="仿宋_GB2312" w:cs="仿宋_GB2312"/>
          <w:spacing w:val="-75"/>
          <w:sz w:val="32"/>
          <w:szCs w:val="32"/>
          <w:u w:val="single"/>
        </w:rPr>
        <w:t xml:space="preserve"> </w:t>
      </w:r>
      <w:r>
        <w:rPr>
          <w:rFonts w:hint="eastAsia" w:ascii="仿宋_GB2312" w:hAnsi="仿宋_GB2312" w:eastAsia="仿宋_GB2312" w:cs="仿宋_GB2312"/>
          <w:spacing w:val="-10"/>
          <w:sz w:val="32"/>
          <w:szCs w:val="32"/>
          <w:u w:val="single"/>
        </w:rPr>
        <w:t>盖章）</w:t>
      </w:r>
      <w:r>
        <w:rPr>
          <w:rFonts w:hint="eastAsia" w:ascii="仿宋_GB2312" w:hAnsi="仿宋_GB2312" w:eastAsia="仿宋_GB2312" w:cs="仿宋_GB2312"/>
          <w:sz w:val="32"/>
          <w:szCs w:val="32"/>
          <w:u w:val="single"/>
        </w:rPr>
        <w:t xml:space="preserve">       </w:t>
      </w:r>
      <w:r>
        <w:rPr>
          <w:rFonts w:hint="eastAsia" w:ascii="仿宋_GB2312" w:hAnsi="仿宋_GB2312" w:eastAsia="仿宋_GB2312" w:cs="仿宋_GB2312"/>
          <w:sz w:val="32"/>
          <w:szCs w:val="32"/>
          <w:u w:val="single"/>
          <w:lang w:eastAsia="zh-CN"/>
        </w:rPr>
        <w:t xml:space="preserve">     </w:t>
      </w:r>
      <w:r>
        <w:rPr>
          <w:rFonts w:hint="eastAsia" w:ascii="仿宋_GB2312" w:hAnsi="仿宋_GB2312" w:eastAsia="仿宋_GB2312" w:cs="仿宋_GB2312"/>
          <w:sz w:val="32"/>
          <w:szCs w:val="32"/>
          <w:u w:val="single"/>
        </w:rPr>
        <w:t xml:space="preserve">  </w:t>
      </w:r>
    </w:p>
    <w:p>
      <w:pPr>
        <w:spacing w:before="228" w:line="222" w:lineRule="auto"/>
        <w:ind w:firstLine="4560" w:firstLineChars="1500"/>
        <w:rPr>
          <w:rFonts w:ascii="仿宋_GB2312" w:hAnsi="仿宋_GB2312" w:eastAsia="仿宋_GB2312" w:cs="仿宋_GB2312"/>
          <w:sz w:val="32"/>
          <w:szCs w:val="32"/>
        </w:rPr>
      </w:pPr>
      <w:r>
        <w:rPr>
          <w:rFonts w:hint="eastAsia" w:ascii="仿宋_GB2312" w:hAnsi="仿宋_GB2312" w:eastAsia="仿宋_GB2312" w:cs="仿宋_GB2312"/>
          <w:spacing w:val="-8"/>
          <w:sz w:val="32"/>
          <w:szCs w:val="32"/>
        </w:rPr>
        <w:t>2024年</w:t>
      </w:r>
      <w:r>
        <w:rPr>
          <w:rFonts w:hint="eastAsia" w:ascii="仿宋_GB2312" w:hAnsi="仿宋_GB2312" w:eastAsia="仿宋_GB2312" w:cs="仿宋_GB2312"/>
          <w:spacing w:val="21"/>
          <w:sz w:val="32"/>
          <w:szCs w:val="32"/>
        </w:rPr>
        <w:t xml:space="preserve"> 5 </w:t>
      </w:r>
      <w:r>
        <w:rPr>
          <w:rFonts w:hint="eastAsia" w:ascii="仿宋_GB2312" w:hAnsi="仿宋_GB2312" w:eastAsia="仿宋_GB2312" w:cs="仿宋_GB2312"/>
          <w:spacing w:val="-8"/>
          <w:sz w:val="32"/>
          <w:szCs w:val="32"/>
        </w:rPr>
        <w:t>月28</w:t>
      </w:r>
      <w:r>
        <w:rPr>
          <w:rFonts w:hint="eastAsia" w:ascii="仿宋_GB2312" w:hAnsi="仿宋_GB2312" w:eastAsia="仿宋_GB2312" w:cs="仿宋_GB2312"/>
          <w:spacing w:val="43"/>
          <w:sz w:val="32"/>
          <w:szCs w:val="32"/>
        </w:rPr>
        <w:t xml:space="preserve">  </w:t>
      </w:r>
      <w:r>
        <w:rPr>
          <w:rFonts w:hint="eastAsia" w:ascii="仿宋_GB2312" w:hAnsi="仿宋_GB2312" w:eastAsia="仿宋_GB2312" w:cs="仿宋_GB2312"/>
          <w:spacing w:val="-8"/>
          <w:sz w:val="32"/>
          <w:szCs w:val="32"/>
        </w:rPr>
        <w:t>日</w:t>
      </w:r>
    </w:p>
    <w:p>
      <w:pPr>
        <w:spacing w:line="335" w:lineRule="auto"/>
        <w:rPr>
          <w:rFonts w:ascii="仿宋_GB2312" w:hAnsi="仿宋_GB2312" w:eastAsia="仿宋_GB2312" w:cs="仿宋_GB2312"/>
          <w:sz w:val="32"/>
          <w:szCs w:val="32"/>
        </w:rPr>
      </w:pPr>
    </w:p>
    <w:p>
      <w:pPr>
        <w:pStyle w:val="5"/>
        <w:spacing w:before="102" w:line="224" w:lineRule="auto"/>
        <w:ind w:left="3216"/>
        <w:rPr>
          <w:rFonts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（此页为封面）</w:t>
      </w:r>
    </w:p>
    <w:p>
      <w:pPr>
        <w:rPr>
          <w:rFonts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br w:type="page"/>
      </w:r>
    </w:p>
    <w:p>
      <w:pPr>
        <w:spacing w:line="610" w:lineRule="exact"/>
        <w:jc w:val="center"/>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2023年度农业农村局稻谷目标价格</w:t>
      </w:r>
    </w:p>
    <w:p>
      <w:pPr>
        <w:spacing w:line="610" w:lineRule="exact"/>
        <w:jc w:val="center"/>
        <w:rPr>
          <w:rFonts w:eastAsia="仿宋_GB2312"/>
          <w:sz w:val="32"/>
          <w:szCs w:val="32"/>
        </w:rPr>
      </w:pPr>
      <w:r>
        <w:rPr>
          <w:rFonts w:hint="eastAsia" w:ascii="方正小标宋简体" w:hAnsi="方正小标宋简体" w:eastAsia="方正小标宋简体" w:cs="方正小标宋简体"/>
          <w:sz w:val="44"/>
          <w:szCs w:val="44"/>
        </w:rPr>
        <w:t>补贴项目支出绩效自评报告</w:t>
      </w:r>
    </w:p>
    <w:p>
      <w:pPr>
        <w:spacing w:line="610" w:lineRule="exact"/>
        <w:ind w:firstLine="600" w:firstLineChars="200"/>
        <w:rPr>
          <w:rFonts w:ascii="黑体" w:hAnsi="黑体" w:eastAsia="黑体" w:cs="黑体"/>
          <w:sz w:val="30"/>
          <w:szCs w:val="30"/>
        </w:rPr>
      </w:pPr>
    </w:p>
    <w:p>
      <w:pPr>
        <w:snapToGrid w:val="0"/>
        <w:spacing w:line="550" w:lineRule="exact"/>
        <w:ind w:firstLine="640" w:firstLineChars="200"/>
        <w:outlineLvl w:val="1"/>
        <w:rPr>
          <w:rFonts w:ascii="黑体" w:hAnsi="黑体" w:eastAsia="黑体" w:cs="黑体"/>
          <w:bCs/>
          <w:sz w:val="32"/>
          <w:szCs w:val="32"/>
        </w:rPr>
      </w:pPr>
      <w:r>
        <w:rPr>
          <w:rFonts w:hint="eastAsia" w:ascii="黑体" w:hAnsi="黑体" w:eastAsia="黑体" w:cs="黑体"/>
          <w:bCs/>
          <w:sz w:val="32"/>
          <w:szCs w:val="32"/>
        </w:rPr>
        <w:t>一、项目概况</w:t>
      </w:r>
    </w:p>
    <w:p>
      <w:pPr>
        <w:snapToGrid w:val="0"/>
        <w:spacing w:line="550" w:lineRule="exact"/>
        <w:ind w:firstLine="640" w:firstLineChars="200"/>
        <w:rPr>
          <w:rFonts w:eastAsia="仿宋_GB2312"/>
          <w:sz w:val="32"/>
          <w:szCs w:val="32"/>
        </w:rPr>
      </w:pPr>
      <w:r>
        <w:rPr>
          <w:rFonts w:hint="eastAsia" w:ascii="楷体_GB2312" w:hAnsi="楷体_GB2312" w:eastAsia="楷体_GB2312" w:cs="楷体_GB2312"/>
          <w:b/>
          <w:bCs/>
          <w:sz w:val="32"/>
          <w:szCs w:val="32"/>
        </w:rPr>
        <w:t>（一）项目单位基本情况。</w:t>
      </w:r>
      <w:r>
        <w:rPr>
          <w:rFonts w:hint="eastAsia" w:ascii="仿宋_GB2312" w:hAnsi="仿宋_GB2312" w:eastAsia="仿宋_GB2312" w:cs="仿宋_GB2312"/>
          <w:sz w:val="32"/>
          <w:szCs w:val="32"/>
        </w:rPr>
        <w:t>华容县位于湖南省北部，全县辖14个乡镇，常住人口55.38万，其中农业人口26.26万，耕地面积313.54万亩，2023年全县完成粮食播种面积373.3万亩，粮食总产量156万吨</w:t>
      </w:r>
    </w:p>
    <w:p>
      <w:pPr>
        <w:snapToGrid w:val="0"/>
        <w:spacing w:line="550" w:lineRule="exact"/>
        <w:ind w:firstLine="640" w:firstLineChars="200"/>
        <w:rPr>
          <w:rFonts w:eastAsia="仿宋_GB2312"/>
          <w:sz w:val="32"/>
          <w:szCs w:val="32"/>
        </w:rPr>
      </w:pPr>
      <w:r>
        <w:rPr>
          <w:rFonts w:hint="eastAsia" w:ascii="楷体_GB2312" w:hAnsi="楷体_GB2312" w:eastAsia="楷体_GB2312" w:cs="楷体_GB2312"/>
          <w:b/>
          <w:bCs/>
          <w:sz w:val="32"/>
          <w:szCs w:val="32"/>
        </w:rPr>
        <w:t>（二）项目基本情况简介。</w:t>
      </w:r>
      <w:r>
        <w:rPr>
          <w:rFonts w:hint="eastAsia" w:eastAsia="仿宋_GB2312"/>
          <w:sz w:val="32"/>
          <w:szCs w:val="32"/>
        </w:rPr>
        <w:t>以习近平新时代中国特色社会主义思想为指导，全面贯彻党的二十大精神，深化稻谷收储制度和价格形成机制改革，增强稻谷最低收购价政策的灵活性和弹性，更加有效发挥市场机制作用。以上级补贴方案为依据，结合我县实际，由华容县财政局、发展和改革局、农业农村局、商务粮食局、统计局共同组织实施，并联合印发了《华容县2023年稻谷目标价格补贴工作实施方案（华财联发〔2023〕6号），补贴对象为县内水稻种植者，切实保障水稻种植者利益。</w:t>
      </w:r>
    </w:p>
    <w:p>
      <w:pPr>
        <w:snapToGrid w:val="0"/>
        <w:spacing w:line="550" w:lineRule="exact"/>
        <w:ind w:firstLine="640" w:firstLineChars="200"/>
        <w:outlineLvl w:val="1"/>
        <w:rPr>
          <w:rFonts w:ascii="黑体" w:hAnsi="黑体" w:eastAsia="黑体" w:cs="黑体"/>
          <w:bCs/>
          <w:sz w:val="32"/>
          <w:szCs w:val="32"/>
        </w:rPr>
      </w:pPr>
      <w:r>
        <w:rPr>
          <w:rFonts w:hint="eastAsia" w:ascii="黑体" w:hAnsi="黑体" w:eastAsia="黑体" w:cs="黑体"/>
          <w:bCs/>
          <w:sz w:val="32"/>
          <w:szCs w:val="32"/>
        </w:rPr>
        <w:t>二、项目资金使用及管理情况</w:t>
      </w:r>
    </w:p>
    <w:p>
      <w:pPr>
        <w:snapToGrid w:val="0"/>
        <w:spacing w:line="550" w:lineRule="exact"/>
        <w:ind w:firstLine="640" w:firstLineChars="200"/>
        <w:rPr>
          <w:rFonts w:eastAsia="仿宋_GB2312"/>
          <w:sz w:val="32"/>
          <w:szCs w:val="32"/>
        </w:rPr>
      </w:pPr>
      <w:r>
        <w:rPr>
          <w:rFonts w:hint="eastAsia" w:ascii="楷体_GB2312" w:hAnsi="楷体_GB2312" w:eastAsia="楷体_GB2312" w:cs="楷体_GB2312"/>
          <w:b/>
          <w:bCs/>
          <w:sz w:val="32"/>
          <w:szCs w:val="32"/>
        </w:rPr>
        <w:t>（一）项目资金（包括财政资金、自筹资金等）安排落实、总投入等情况分析。</w:t>
      </w:r>
      <w:r>
        <w:rPr>
          <w:rFonts w:hint="eastAsia" w:eastAsia="仿宋_GB2312"/>
          <w:sz w:val="32"/>
          <w:szCs w:val="32"/>
        </w:rPr>
        <w:t>2023年中央财政转移支付稻谷目标价格补贴资金11300.35万元，实际到位资金11300.35万元，资金到位率100%。</w:t>
      </w:r>
    </w:p>
    <w:p>
      <w:pPr>
        <w:snapToGrid w:val="0"/>
        <w:spacing w:line="550" w:lineRule="exact"/>
        <w:ind w:firstLine="640" w:firstLineChars="200"/>
        <w:rPr>
          <w:rFonts w:eastAsia="仿宋_GB2312"/>
          <w:sz w:val="32"/>
          <w:szCs w:val="32"/>
        </w:rPr>
      </w:pPr>
      <w:r>
        <w:rPr>
          <w:rFonts w:hint="eastAsia" w:ascii="楷体_GB2312" w:hAnsi="楷体_GB2312" w:eastAsia="楷体_GB2312" w:cs="楷体_GB2312"/>
          <w:b/>
          <w:bCs/>
          <w:sz w:val="32"/>
          <w:szCs w:val="32"/>
        </w:rPr>
        <w:t>（二）项目资金（主要是指财政资金）实际使用情况分析。</w:t>
      </w:r>
      <w:r>
        <w:rPr>
          <w:rFonts w:hint="eastAsia" w:eastAsia="仿宋_GB2312"/>
          <w:sz w:val="32"/>
          <w:szCs w:val="32"/>
        </w:rPr>
        <w:t>2023年中央财政转移支付稻谷目标价格补贴项目资金全年预算总额11100.35万元，项目资金预算执行数11100.35万元，预算执行率100%。</w:t>
      </w:r>
    </w:p>
    <w:p>
      <w:pPr>
        <w:spacing w:line="550" w:lineRule="exact"/>
        <w:ind w:firstLine="640" w:firstLineChars="200"/>
        <w:rPr>
          <w:rFonts w:eastAsia="仿宋_GB2312"/>
          <w:sz w:val="32"/>
          <w:szCs w:val="32"/>
        </w:rPr>
      </w:pPr>
      <w:r>
        <w:rPr>
          <w:rFonts w:hint="eastAsia" w:ascii="楷体_GB2312" w:hAnsi="楷体_GB2312" w:eastAsia="楷体_GB2312" w:cs="楷体_GB2312"/>
          <w:b/>
          <w:bCs/>
          <w:sz w:val="32"/>
          <w:szCs w:val="32"/>
        </w:rPr>
        <w:t>（三）项目资金管理情况分析。</w:t>
      </w:r>
      <w:r>
        <w:rPr>
          <w:rFonts w:hint="eastAsia" w:eastAsia="仿宋_GB2312"/>
          <w:sz w:val="32"/>
          <w:szCs w:val="32"/>
        </w:rPr>
        <w:t>2023年稻谷目标价格补贴资金严格按照《华容县财政局关于进一步明确和规范惠农补贴资金“一卡通”发放工作职责的通知》（华财发〔2015〕26号）和《华容县惠农惠民补贴资金使用管理暂行办法》（华政办发〔2023〕7号）执行，做到了项目资金专款专用，项目资金专账管理，财务管理制度健全，财务制度执行良好，会计核算真实完整，项目资金支出和预算批复用途相符，支出符合国家财经法规和财务管理制度规定。资金拨付程序规范，资金管理制度健全。资金专账管理，资金专款专用，切实提高资金使用效益。</w:t>
      </w:r>
    </w:p>
    <w:p>
      <w:pPr>
        <w:snapToGrid w:val="0"/>
        <w:spacing w:line="550" w:lineRule="exact"/>
        <w:ind w:firstLine="640" w:firstLineChars="200"/>
        <w:outlineLvl w:val="1"/>
        <w:rPr>
          <w:rFonts w:ascii="黑体" w:hAnsi="黑体" w:eastAsia="黑体" w:cs="黑体"/>
          <w:bCs/>
          <w:sz w:val="32"/>
          <w:szCs w:val="32"/>
        </w:rPr>
      </w:pPr>
      <w:r>
        <w:rPr>
          <w:rFonts w:hint="eastAsia" w:ascii="黑体" w:hAnsi="黑体" w:eastAsia="黑体" w:cs="黑体"/>
          <w:bCs/>
          <w:sz w:val="32"/>
          <w:szCs w:val="32"/>
        </w:rPr>
        <w:t>三、项目组织实施情况</w:t>
      </w:r>
    </w:p>
    <w:p>
      <w:pPr>
        <w:snapToGrid w:val="0"/>
        <w:spacing w:line="590" w:lineRule="exact"/>
        <w:ind w:firstLine="640" w:firstLineChars="200"/>
        <w:rPr>
          <w:rFonts w:eastAsia="仿宋_GB2312"/>
          <w:sz w:val="32"/>
          <w:szCs w:val="32"/>
        </w:rPr>
      </w:pPr>
      <w:r>
        <w:rPr>
          <w:rFonts w:hint="eastAsia" w:ascii="楷体_GB2312" w:hAnsi="楷体_GB2312" w:eastAsia="楷体_GB2312" w:cs="楷体_GB2312"/>
          <w:b/>
          <w:bCs/>
          <w:sz w:val="32"/>
          <w:szCs w:val="32"/>
        </w:rPr>
        <w:t>（一）项目组织情况分析。</w:t>
      </w:r>
      <w:r>
        <w:rPr>
          <w:rFonts w:hint="eastAsia" w:ascii="仿宋_GB2312" w:hAnsi="仿宋_GB2312" w:eastAsia="仿宋_GB2312" w:cs="仿宋_GB2312"/>
          <w:sz w:val="32"/>
          <w:szCs w:val="32"/>
        </w:rPr>
        <w:t>根据《湖南省财政厅关于调整下达2023年稻谷目标价格补贴资金的通知》（湘财预〔2023〕152号）、《湖南省财政厅关于提前下达2023年稻谷目标价格补贴预算的通知》（湘财预〔2022〕273号）、《湖南省财政厅关于预下达2023年稻谷目标价格补贴资金的通知》（湘财预〔2023〕86号）文件通知，2023年省下达我县稻谷目标价格</w:t>
      </w:r>
      <w:r>
        <w:rPr>
          <w:rFonts w:hint="eastAsia" w:eastAsia="仿宋_GB2312"/>
          <w:sz w:val="32"/>
          <w:szCs w:val="32"/>
        </w:rPr>
        <w:t>补贴资金总额为11300.35万元。资金用于补贴县域内水稻实际种植者，补贴总金额11300.35万元。</w:t>
      </w:r>
      <w:r>
        <w:rPr>
          <w:rFonts w:hint="eastAsia" w:ascii="仿宋_GB2312" w:hAnsi="仿宋_GB2312" w:eastAsia="仿宋_GB2312" w:cs="仿宋_GB2312"/>
          <w:b/>
          <w:bCs/>
          <w:sz w:val="32"/>
          <w:szCs w:val="32"/>
        </w:rPr>
        <w:t>一</w:t>
      </w:r>
      <w:r>
        <w:rPr>
          <w:rFonts w:hint="eastAsia" w:ascii="仿宋_GB2312" w:hAnsi="仿宋_GB2312" w:eastAsia="仿宋_GB2312" w:cs="仿宋_GB2312"/>
          <w:sz w:val="32"/>
          <w:szCs w:val="32"/>
        </w:rPr>
        <w:t>是根据各乡镇2022年水稻实际种植面积，确定我县2022年水稻种植者的目标价格补贴标准为每亩23.5元，补贴面积3733618亩，补贴金额8774.62万元；二是为提升水稻种植的集约化程度，开展绿色高质高效行动，对优质规模经营者补贴40元/亩，补贴面积58</w:t>
      </w:r>
      <w:r>
        <w:rPr>
          <w:rFonts w:hint="eastAsia" w:ascii="宋体" w:hAnsi="宋体" w:cs="宋体"/>
          <w:sz w:val="32"/>
          <w:szCs w:val="32"/>
        </w:rPr>
        <w:t>9</w:t>
      </w:r>
      <w:r>
        <w:rPr>
          <w:rFonts w:hint="eastAsia" w:ascii="仿宋_GB2312" w:hAnsi="仿宋_GB2312" w:eastAsia="仿宋_GB2312" w:cs="仿宋_GB2312"/>
          <w:sz w:val="32"/>
          <w:szCs w:val="32"/>
        </w:rPr>
        <w:t>432亩，补贴金额2525.73万元，两项合计11300.35万元。</w:t>
      </w:r>
    </w:p>
    <w:p>
      <w:pPr>
        <w:snapToGrid w:val="0"/>
        <w:spacing w:line="590" w:lineRule="exact"/>
        <w:ind w:firstLine="640" w:firstLineChars="200"/>
        <w:rPr>
          <w:rFonts w:eastAsia="仿宋_GB2312"/>
          <w:sz w:val="32"/>
          <w:szCs w:val="32"/>
        </w:rPr>
      </w:pPr>
      <w:r>
        <w:rPr>
          <w:rFonts w:hint="eastAsia" w:ascii="楷体_GB2312" w:hAnsi="楷体_GB2312" w:eastAsia="楷体_GB2312" w:cs="楷体_GB2312"/>
          <w:b/>
          <w:bCs/>
          <w:sz w:val="32"/>
          <w:szCs w:val="32"/>
        </w:rPr>
        <w:t>（二）项目管理情况分析。</w:t>
      </w:r>
      <w:r>
        <w:rPr>
          <w:rFonts w:hint="eastAsia" w:eastAsia="仿宋_GB2312"/>
          <w:sz w:val="32"/>
          <w:szCs w:val="32"/>
        </w:rPr>
        <w:t>县人民政府是稻谷目标价格补贴工作实施和管理的主体，县财政局、县发改委、县农业农村局、县商务粮食局负责牵头组织，县统计局等相关单位共同参与。</w:t>
      </w:r>
      <w:r>
        <w:rPr>
          <w:rFonts w:hint="eastAsia" w:ascii="仿宋_GB2312" w:hAnsi="仿宋_GB2312" w:eastAsia="仿宋_GB2312" w:cs="仿宋_GB2312"/>
          <w:sz w:val="32"/>
          <w:szCs w:val="32"/>
        </w:rPr>
        <w:t>县财政局牵头会同县农业农村局等相关部门制定补贴施实方案，落实水稻补贴资金的拨付、监管，绩效自评报告的审核;县发展和改革局负责综合协调和政策宣传等工作;县农业农村局根据实施方案制定分配方案，负责组织水稻生产、推广水稻绿色高质高效技术，会同县统计局提供水稻种植面积、优质稻种植者和适度规模经营者种植面积，审核补贴发放数据，对补贴资金发放情况进行检查，填报绩效目标、指标并提交绩效自评报告；县商务粮食局通过加工流通环节引导农民加大绿色优质水稻生产、组织市场化收购，深化收储制度和价格形成机制改革；县统计局会同县农业农村局提供水稻种植面积、优质稻种植者和适度规模经营者种植面积。</w:t>
      </w:r>
    </w:p>
    <w:p>
      <w:pPr>
        <w:snapToGrid w:val="0"/>
        <w:spacing w:line="590" w:lineRule="exact"/>
        <w:ind w:firstLine="640" w:firstLineChars="200"/>
        <w:outlineLvl w:val="1"/>
        <w:rPr>
          <w:rFonts w:ascii="黑体" w:hAnsi="黑体" w:eastAsia="黑体" w:cs="黑体"/>
          <w:bCs/>
          <w:sz w:val="32"/>
          <w:szCs w:val="32"/>
        </w:rPr>
      </w:pPr>
      <w:r>
        <w:rPr>
          <w:rFonts w:hint="eastAsia" w:ascii="黑体" w:hAnsi="黑体" w:eastAsia="黑体" w:cs="黑体"/>
          <w:bCs/>
          <w:sz w:val="32"/>
          <w:szCs w:val="32"/>
        </w:rPr>
        <w:t>四、项目绩效情况</w:t>
      </w:r>
    </w:p>
    <w:p>
      <w:pPr>
        <w:snapToGrid w:val="0"/>
        <w:spacing w:line="570" w:lineRule="exact"/>
        <w:ind w:firstLine="640" w:firstLineChars="200"/>
        <w:rPr>
          <w:rFonts w:ascii="楷体_GB2312" w:hAnsi="楷体_GB2312" w:eastAsia="楷体_GB2312" w:cs="楷体_GB2312"/>
          <w:b/>
          <w:bCs/>
          <w:sz w:val="32"/>
          <w:szCs w:val="32"/>
        </w:rPr>
      </w:pPr>
      <w:r>
        <w:rPr>
          <w:rFonts w:hint="eastAsia" w:ascii="楷体_GB2312" w:hAnsi="楷体_GB2312" w:eastAsia="楷体_GB2312" w:cs="楷体_GB2312"/>
          <w:b/>
          <w:bCs/>
          <w:sz w:val="32"/>
          <w:szCs w:val="32"/>
        </w:rPr>
        <w:t>（一）产出指标完成情况分析：</w:t>
      </w:r>
    </w:p>
    <w:p>
      <w:pPr>
        <w:snapToGrid w:val="0"/>
        <w:spacing w:line="57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（1）数量指标</w:t>
      </w:r>
    </w:p>
    <w:p>
      <w:pPr>
        <w:snapToGrid w:val="0"/>
        <w:spacing w:line="570" w:lineRule="exact"/>
        <w:ind w:firstLine="640" w:firstLineChars="200"/>
        <w:rPr>
          <w:rFonts w:ascii="仿宋_GB2312" w:hAnsi="仿宋_GB2312" w:eastAsia="仿宋_GB2312" w:cs="仿宋_GB2312"/>
          <w:sz w:val="32"/>
        </w:rPr>
      </w:pPr>
      <w:r>
        <w:rPr>
          <w:rFonts w:hint="eastAsia" w:ascii="仿宋_GB2312" w:hAnsi="仿宋_GB2312" w:eastAsia="仿宋_GB2312" w:cs="仿宋_GB2312"/>
          <w:sz w:val="32"/>
          <w:szCs w:val="32"/>
        </w:rPr>
        <w:t>根据《湖南省财政厅关于提前下达2023年稻谷目标价格补贴预算的通知》（湘财预〔2022〕273号）、《湖南省财政厅关于预下达2023年稻谷目标价格补贴资金的通知》（湘财预〔2023〕86号）、《湖南省财政厅关于调整下达2023年稻谷目标价格补贴资金的通知》（湘财预〔2023〕152号），华容县2023年稻谷目标价格补贴实际下达资金</w:t>
      </w:r>
      <w:r>
        <w:rPr>
          <w:rFonts w:hint="eastAsia" w:eastAsia="仿宋_GB2312"/>
          <w:sz w:val="32"/>
          <w:szCs w:val="32"/>
        </w:rPr>
        <w:t>11100.35</w:t>
      </w:r>
      <w:r>
        <w:rPr>
          <w:rFonts w:hint="eastAsia" w:ascii="仿宋_GB2312" w:hAnsi="仿宋_GB2312" w:eastAsia="仿宋_GB2312" w:cs="仿宋_GB2312"/>
          <w:sz w:val="32"/>
          <w:szCs w:val="32"/>
        </w:rPr>
        <w:t>万元，全部用于补贴本县水稻种植者</w:t>
      </w:r>
      <w:r>
        <w:rPr>
          <w:rFonts w:hint="eastAsia" w:ascii="仿宋_GB2312" w:hAnsi="仿宋_GB2312" w:eastAsia="仿宋_GB2312" w:cs="仿宋_GB2312"/>
          <w:sz w:val="32"/>
        </w:rPr>
        <w:t>；</w:t>
      </w:r>
    </w:p>
    <w:p>
      <w:pPr>
        <w:widowControl/>
        <w:numPr>
          <w:ilvl w:val="0"/>
          <w:numId w:val="1"/>
        </w:numPr>
        <w:shd w:val="clear" w:color="auto" w:fill="FFFFFF"/>
        <w:spacing w:line="570" w:lineRule="exact"/>
        <w:ind w:firstLine="640" w:firstLineChars="200"/>
        <w:rPr>
          <w:rFonts w:eastAsia="仿宋_GB2312"/>
          <w:sz w:val="32"/>
          <w:szCs w:val="32"/>
        </w:rPr>
      </w:pPr>
      <w:r>
        <w:rPr>
          <w:rFonts w:hint="eastAsia" w:eastAsia="仿宋_GB2312"/>
          <w:sz w:val="32"/>
          <w:szCs w:val="32"/>
        </w:rPr>
        <w:t>质量指标</w:t>
      </w:r>
    </w:p>
    <w:p>
      <w:pPr>
        <w:widowControl/>
        <w:shd w:val="clear" w:color="auto" w:fill="FFFFFF"/>
        <w:spacing w:line="570" w:lineRule="exact"/>
        <w:ind w:firstLine="640" w:firstLineChars="200"/>
        <w:rPr>
          <w:rFonts w:eastAsia="仿宋_GB2312"/>
          <w:sz w:val="32"/>
          <w:szCs w:val="32"/>
        </w:rPr>
      </w:pPr>
      <w:r>
        <w:rPr>
          <w:rFonts w:hint="eastAsia" w:eastAsia="仿宋_GB2312"/>
          <w:sz w:val="32"/>
          <w:szCs w:val="32"/>
        </w:rPr>
        <w:t>建立部门间协调机制，</w:t>
      </w:r>
      <w:r>
        <w:rPr>
          <w:rFonts w:hint="eastAsia" w:ascii="仿宋_GB2312" w:hAnsi="仿宋_GB2312" w:eastAsia="仿宋_GB2312" w:cs="仿宋_GB2312"/>
          <w:kern w:val="0"/>
          <w:sz w:val="32"/>
          <w:szCs w:val="32"/>
        </w:rPr>
        <w:t>由县财政局、县发改委、县农业农村局、县商务粮食局牵头，县统计局等相关单位共同参与，根据责任分工各司其职，各负其责。发放按照“种植者申报-村级审核-村级公示-村级上报-乡（镇）审核-乡（镇）公示-乡（镇）上报-县农业农村局审核-县人民政府审定-补贴发放”的程序开展工作，并在规定时间内发放到位。</w:t>
      </w:r>
      <w:r>
        <w:rPr>
          <w:rFonts w:hint="eastAsia" w:eastAsia="仿宋_GB2312"/>
          <w:sz w:val="32"/>
          <w:szCs w:val="32"/>
        </w:rPr>
        <w:t>补贴对象审核准确性，符合条件的农户100%发放，所有乡（镇）、村均进行公示；</w:t>
      </w:r>
    </w:p>
    <w:p>
      <w:pPr>
        <w:widowControl/>
        <w:numPr>
          <w:ilvl w:val="0"/>
          <w:numId w:val="1"/>
        </w:numPr>
        <w:shd w:val="clear" w:color="auto" w:fill="FFFFFF"/>
        <w:spacing w:line="570" w:lineRule="exact"/>
        <w:ind w:firstLine="640" w:firstLineChars="200"/>
        <w:rPr>
          <w:rFonts w:eastAsia="仿宋_GB2312"/>
          <w:sz w:val="32"/>
          <w:szCs w:val="32"/>
        </w:rPr>
      </w:pPr>
      <w:r>
        <w:rPr>
          <w:rFonts w:hint="eastAsia" w:eastAsia="仿宋_GB2312"/>
          <w:sz w:val="32"/>
          <w:szCs w:val="32"/>
        </w:rPr>
        <w:t>时效指标</w:t>
      </w:r>
    </w:p>
    <w:p>
      <w:pPr>
        <w:widowControl/>
        <w:shd w:val="clear" w:color="auto" w:fill="FFFFFF"/>
        <w:spacing w:line="570" w:lineRule="exact"/>
        <w:ind w:firstLine="640" w:firstLineChars="200"/>
        <w:rPr>
          <w:rFonts w:eastAsia="仿宋_GB2312"/>
          <w:sz w:val="32"/>
          <w:szCs w:val="32"/>
        </w:rPr>
      </w:pPr>
      <w:r>
        <w:rPr>
          <w:rFonts w:hint="eastAsia" w:eastAsia="仿宋_GB2312"/>
          <w:sz w:val="32"/>
          <w:szCs w:val="32"/>
        </w:rPr>
        <w:t>2023年9月28日</w:t>
      </w:r>
      <w:r>
        <w:rPr>
          <w:rFonts w:hint="eastAsia" w:ascii="仿宋_GB2312" w:hAnsi="仿宋_GB2312" w:eastAsia="仿宋_GB2312" w:cs="仿宋_GB2312"/>
          <w:kern w:val="0"/>
          <w:sz w:val="32"/>
          <w:szCs w:val="32"/>
        </w:rPr>
        <w:t>制定发布《华容县2023年稻谷目标价格改革补贴工作实施方案》；</w:t>
      </w:r>
      <w:r>
        <w:rPr>
          <w:rFonts w:hint="eastAsia" w:eastAsia="仿宋_GB2312"/>
          <w:sz w:val="32"/>
          <w:szCs w:val="32"/>
        </w:rPr>
        <w:t>2023年12月14日拨款发放；</w:t>
      </w:r>
    </w:p>
    <w:p>
      <w:pPr>
        <w:widowControl/>
        <w:numPr>
          <w:ilvl w:val="0"/>
          <w:numId w:val="1"/>
        </w:numPr>
        <w:shd w:val="clear" w:color="auto" w:fill="FFFFFF"/>
        <w:spacing w:line="570" w:lineRule="exact"/>
        <w:ind w:firstLine="640" w:firstLineChars="200"/>
        <w:rPr>
          <w:rFonts w:eastAsia="仿宋_GB2312"/>
          <w:sz w:val="32"/>
          <w:szCs w:val="32"/>
        </w:rPr>
      </w:pPr>
      <w:r>
        <w:rPr>
          <w:rFonts w:hint="eastAsia" w:eastAsia="仿宋_GB2312"/>
          <w:sz w:val="32"/>
          <w:szCs w:val="32"/>
        </w:rPr>
        <w:t>成本指标</w:t>
      </w:r>
    </w:p>
    <w:p>
      <w:pPr>
        <w:widowControl/>
        <w:shd w:val="clear" w:color="auto" w:fill="FFFFFF"/>
        <w:spacing w:line="550" w:lineRule="exact"/>
        <w:ind w:firstLine="640" w:firstLineChars="200"/>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稻谷目标价格补贴标准23.5元/亩。</w:t>
      </w:r>
    </w:p>
    <w:p>
      <w:pPr>
        <w:snapToGrid w:val="0"/>
        <w:spacing w:line="550" w:lineRule="exact"/>
        <w:ind w:firstLine="640" w:firstLineChars="200"/>
        <w:rPr>
          <w:rFonts w:ascii="楷体_GB2312" w:hAnsi="楷体_GB2312" w:eastAsia="楷体_GB2312" w:cs="楷体_GB2312"/>
          <w:b/>
          <w:bCs/>
          <w:sz w:val="32"/>
          <w:szCs w:val="32"/>
        </w:rPr>
      </w:pPr>
      <w:r>
        <w:rPr>
          <w:rFonts w:hint="eastAsia" w:ascii="楷体_GB2312" w:hAnsi="楷体_GB2312" w:eastAsia="楷体_GB2312" w:cs="楷体_GB2312"/>
          <w:b/>
          <w:bCs/>
          <w:sz w:val="32"/>
          <w:szCs w:val="32"/>
        </w:rPr>
        <w:t>（二）效益指标完成情况分析：</w:t>
      </w:r>
    </w:p>
    <w:p>
      <w:pPr>
        <w:snapToGrid w:val="0"/>
        <w:spacing w:line="550" w:lineRule="exact"/>
        <w:ind w:firstLine="640" w:firstLineChars="200"/>
        <w:rPr>
          <w:rFonts w:eastAsia="仿宋_GB2312"/>
          <w:sz w:val="32"/>
        </w:rPr>
      </w:pPr>
      <w:r>
        <w:rPr>
          <w:rFonts w:eastAsia="仿宋_GB2312"/>
          <w:sz w:val="32"/>
        </w:rPr>
        <w:t>（1）经济效益</w:t>
      </w:r>
    </w:p>
    <w:p>
      <w:pPr>
        <w:snapToGrid w:val="0"/>
        <w:spacing w:line="550" w:lineRule="exact"/>
        <w:ind w:firstLine="640" w:firstLineChars="200"/>
        <w:rPr>
          <w:rFonts w:eastAsia="仿宋_GB2312"/>
          <w:sz w:val="32"/>
        </w:rPr>
      </w:pPr>
      <w:r>
        <w:rPr>
          <w:rFonts w:hint="eastAsia" w:eastAsia="仿宋_GB2312"/>
          <w:sz w:val="32"/>
          <w:szCs w:val="32"/>
        </w:rPr>
        <w:t>保障了我县水稻种植者的收益</w:t>
      </w:r>
      <w:r>
        <w:rPr>
          <w:rFonts w:eastAsia="仿宋_GB2312"/>
          <w:sz w:val="32"/>
        </w:rPr>
        <w:t>；</w:t>
      </w:r>
    </w:p>
    <w:p>
      <w:pPr>
        <w:numPr>
          <w:ilvl w:val="0"/>
          <w:numId w:val="2"/>
        </w:numPr>
        <w:snapToGrid w:val="0"/>
        <w:spacing w:line="550" w:lineRule="exact"/>
        <w:ind w:firstLine="640" w:firstLineChars="200"/>
        <w:rPr>
          <w:rFonts w:eastAsia="仿宋_GB2312"/>
          <w:sz w:val="32"/>
        </w:rPr>
      </w:pPr>
      <w:r>
        <w:rPr>
          <w:rFonts w:eastAsia="仿宋_GB2312"/>
          <w:sz w:val="32"/>
        </w:rPr>
        <w:t>社会效益</w:t>
      </w:r>
    </w:p>
    <w:p>
      <w:pPr>
        <w:snapToGrid w:val="0"/>
        <w:spacing w:line="550" w:lineRule="exact"/>
        <w:ind w:firstLine="640" w:firstLineChars="200"/>
        <w:rPr>
          <w:rFonts w:eastAsia="仿宋_GB2312"/>
          <w:sz w:val="32"/>
        </w:rPr>
      </w:pPr>
      <w:r>
        <w:rPr>
          <w:rFonts w:hint="eastAsia" w:eastAsia="仿宋_GB2312"/>
          <w:sz w:val="32"/>
        </w:rPr>
        <w:t>绿色优质规模种植面积28.14万亩，高于上年；稻谷播种面积373.36万亩，与上年持平；早稻种植面积460.3万亩，比上年增加0.2万亩；2023年稻谷市场化收购数量占产量比重为79%，比上年提高10%；</w:t>
      </w:r>
    </w:p>
    <w:p>
      <w:pPr>
        <w:numPr>
          <w:ilvl w:val="0"/>
          <w:numId w:val="2"/>
        </w:numPr>
        <w:snapToGrid w:val="0"/>
        <w:spacing w:line="550" w:lineRule="exact"/>
        <w:ind w:firstLine="640" w:firstLineChars="200"/>
        <w:rPr>
          <w:rFonts w:eastAsia="仿宋_GB2312"/>
          <w:sz w:val="32"/>
        </w:rPr>
      </w:pPr>
      <w:r>
        <w:rPr>
          <w:rFonts w:eastAsia="仿宋_GB2312"/>
          <w:sz w:val="32"/>
        </w:rPr>
        <w:t>可持续影响</w:t>
      </w:r>
    </w:p>
    <w:p>
      <w:pPr>
        <w:snapToGrid w:val="0"/>
        <w:spacing w:line="550" w:lineRule="exact"/>
        <w:ind w:firstLine="640" w:firstLineChars="200"/>
        <w:rPr>
          <w:rFonts w:eastAsia="仿宋_GB2312"/>
          <w:sz w:val="32"/>
        </w:rPr>
      </w:pPr>
      <w:r>
        <w:rPr>
          <w:rFonts w:hint="eastAsia" w:eastAsia="仿宋_GB2312"/>
          <w:sz w:val="32"/>
          <w:szCs w:val="32"/>
        </w:rPr>
        <w:t>农民对补贴政策知晓率达95%以上。</w:t>
      </w:r>
    </w:p>
    <w:p>
      <w:pPr>
        <w:snapToGrid w:val="0"/>
        <w:spacing w:line="550" w:lineRule="exact"/>
        <w:ind w:firstLine="640" w:firstLineChars="200"/>
        <w:rPr>
          <w:rFonts w:ascii="楷体_GB2312" w:hAnsi="楷体_GB2312" w:eastAsia="楷体_GB2312" w:cs="楷体_GB2312"/>
          <w:b/>
          <w:bCs/>
          <w:sz w:val="32"/>
          <w:szCs w:val="32"/>
        </w:rPr>
      </w:pPr>
      <w:r>
        <w:rPr>
          <w:rFonts w:hint="eastAsia" w:ascii="楷体_GB2312" w:hAnsi="楷体_GB2312" w:eastAsia="楷体_GB2312" w:cs="楷体_GB2312"/>
          <w:b/>
          <w:bCs/>
          <w:sz w:val="32"/>
          <w:szCs w:val="32"/>
        </w:rPr>
        <w:t>（三）满意度指标完成情况分析。</w:t>
      </w:r>
    </w:p>
    <w:p>
      <w:pPr>
        <w:snapToGrid w:val="0"/>
        <w:spacing w:line="550" w:lineRule="exact"/>
        <w:ind w:firstLine="640" w:firstLineChars="200"/>
        <w:rPr>
          <w:rFonts w:eastAsia="仿宋_GB2312"/>
          <w:sz w:val="32"/>
        </w:rPr>
      </w:pPr>
      <w:r>
        <w:rPr>
          <w:rFonts w:hint="eastAsia" w:eastAsia="仿宋_GB2312"/>
          <w:sz w:val="32"/>
          <w:szCs w:val="32"/>
        </w:rPr>
        <w:t>农民对补贴政策落实满意度95%以上。</w:t>
      </w:r>
    </w:p>
    <w:p>
      <w:pPr>
        <w:snapToGrid w:val="0"/>
        <w:spacing w:line="550" w:lineRule="exact"/>
        <w:ind w:firstLine="640" w:firstLineChars="200"/>
        <w:outlineLvl w:val="1"/>
        <w:rPr>
          <w:rFonts w:eastAsia="黑体"/>
          <w:bCs/>
          <w:sz w:val="32"/>
          <w:szCs w:val="32"/>
        </w:rPr>
      </w:pPr>
      <w:r>
        <w:rPr>
          <w:rFonts w:eastAsia="黑体"/>
          <w:bCs/>
          <w:sz w:val="32"/>
          <w:szCs w:val="32"/>
        </w:rPr>
        <w:t>五、其他需要说明的问题</w:t>
      </w:r>
    </w:p>
    <w:p>
      <w:pPr>
        <w:snapToGrid w:val="0"/>
        <w:spacing w:line="550" w:lineRule="exact"/>
        <w:ind w:firstLine="640" w:firstLineChars="200"/>
        <w:rPr>
          <w:rFonts w:eastAsia="仿宋_GB2312"/>
          <w:sz w:val="32"/>
          <w:szCs w:val="32"/>
        </w:rPr>
      </w:pPr>
      <w:r>
        <w:rPr>
          <w:rFonts w:ascii="楷体_GB2312" w:hAnsi="楷体_GB2312" w:eastAsia="楷体_GB2312" w:cs="楷体_GB2312"/>
          <w:b/>
          <w:bCs/>
          <w:sz w:val="32"/>
          <w:szCs w:val="32"/>
        </w:rPr>
        <w:t>（一）后续工作计划</w:t>
      </w:r>
      <w:r>
        <w:rPr>
          <w:rFonts w:hint="eastAsia" w:ascii="楷体_GB2312" w:hAnsi="楷体_GB2312" w:eastAsia="楷体_GB2312" w:cs="楷体_GB2312"/>
          <w:b/>
          <w:bCs/>
          <w:sz w:val="32"/>
          <w:szCs w:val="32"/>
        </w:rPr>
        <w:t>。</w:t>
      </w:r>
      <w:r>
        <w:rPr>
          <w:rFonts w:hint="eastAsia" w:eastAsia="仿宋_GB2312"/>
          <w:sz w:val="32"/>
          <w:szCs w:val="32"/>
        </w:rPr>
        <w:t>加强对稻谷目标价格补贴发放情况的监督检查，对发现的问题立行立改，建立长效机制</w:t>
      </w:r>
    </w:p>
    <w:p>
      <w:pPr>
        <w:widowControl/>
        <w:shd w:val="clear" w:color="auto" w:fill="FFFFFF"/>
        <w:spacing w:line="550" w:lineRule="exact"/>
        <w:ind w:firstLine="640" w:firstLineChars="200"/>
        <w:rPr>
          <w:rFonts w:eastAsia="仿宋_GB2312"/>
          <w:sz w:val="32"/>
          <w:szCs w:val="32"/>
        </w:rPr>
      </w:pPr>
      <w:r>
        <w:rPr>
          <w:rFonts w:ascii="楷体_GB2312" w:hAnsi="楷体_GB2312" w:eastAsia="楷体_GB2312" w:cs="楷体_GB2312"/>
          <w:b/>
          <w:bCs/>
          <w:sz w:val="32"/>
          <w:szCs w:val="32"/>
        </w:rPr>
        <w:t>（二）主要经验做法、存在的问题和建议。</w:t>
      </w:r>
      <w:r>
        <w:rPr>
          <w:rFonts w:eastAsia="仿宋_GB2312"/>
          <w:sz w:val="32"/>
          <w:szCs w:val="32"/>
        </w:rPr>
        <w:t>针对我县当前稻谷目标价格补贴政策实施情况调查和我县实际种植情况，立足经济和社会效益目标，建议在稻谷目标价格补贴政策的落实中，可以将稻谷补贴直接补贴到稻谷生产、收储、</w:t>
      </w:r>
      <w:r>
        <w:rPr>
          <w:rFonts w:hint="eastAsia" w:eastAsia="仿宋_GB2312"/>
          <w:sz w:val="32"/>
          <w:szCs w:val="32"/>
        </w:rPr>
        <w:t>加工</w:t>
      </w:r>
      <w:r>
        <w:rPr>
          <w:rFonts w:eastAsia="仿宋_GB2312"/>
          <w:sz w:val="32"/>
          <w:szCs w:val="32"/>
        </w:rPr>
        <w:t xml:space="preserve">等环节，切实解决稻谷种植生产中更根本的问题。在稻谷补贴工作优化方面，具体建议为： </w:t>
      </w:r>
    </w:p>
    <w:p>
      <w:pPr>
        <w:widowControl/>
        <w:shd w:val="clear" w:color="auto" w:fill="FFFFFF"/>
        <w:spacing w:line="550" w:lineRule="exact"/>
        <w:ind w:firstLine="640" w:firstLineChars="200"/>
        <w:rPr>
          <w:rFonts w:eastAsia="仿宋_GB2312"/>
          <w:sz w:val="32"/>
          <w:szCs w:val="32"/>
        </w:rPr>
      </w:pPr>
      <w:r>
        <w:rPr>
          <w:rFonts w:hint="eastAsia" w:eastAsia="仿宋_GB2312"/>
          <w:b/>
          <w:sz w:val="32"/>
          <w:szCs w:val="32"/>
        </w:rPr>
        <w:t>1、</w:t>
      </w:r>
      <w:r>
        <w:rPr>
          <w:rFonts w:eastAsia="仿宋_GB2312"/>
          <w:b/>
          <w:sz w:val="32"/>
          <w:szCs w:val="32"/>
        </w:rPr>
        <w:t>种植环节。</w:t>
      </w:r>
      <w:r>
        <w:rPr>
          <w:rFonts w:hint="eastAsia" w:eastAsia="仿宋_GB2312"/>
          <w:sz w:val="32"/>
          <w:szCs w:val="32"/>
        </w:rPr>
        <w:t>适当提高补贴标准，提高水稻种植者的积极性</w:t>
      </w:r>
      <w:r>
        <w:rPr>
          <w:rFonts w:eastAsia="仿宋_GB2312"/>
          <w:sz w:val="32"/>
          <w:szCs w:val="32"/>
        </w:rPr>
        <w:t>。</w:t>
      </w:r>
    </w:p>
    <w:p>
      <w:pPr>
        <w:widowControl/>
        <w:shd w:val="clear" w:color="auto" w:fill="FFFFFF"/>
        <w:spacing w:line="550" w:lineRule="exact"/>
        <w:ind w:firstLine="640" w:firstLineChars="200"/>
        <w:rPr>
          <w:rFonts w:eastAsia="仿宋_GB2312"/>
          <w:sz w:val="32"/>
          <w:szCs w:val="32"/>
        </w:rPr>
      </w:pPr>
      <w:r>
        <w:rPr>
          <w:rFonts w:hint="eastAsia" w:eastAsia="仿宋_GB2312"/>
          <w:b/>
          <w:sz w:val="32"/>
          <w:szCs w:val="32"/>
        </w:rPr>
        <w:t>2、</w:t>
      </w:r>
      <w:r>
        <w:rPr>
          <w:rFonts w:eastAsia="仿宋_GB2312"/>
          <w:b/>
          <w:sz w:val="32"/>
          <w:szCs w:val="32"/>
        </w:rPr>
        <w:t>收储环节。</w:t>
      </w:r>
      <w:r>
        <w:rPr>
          <w:rFonts w:eastAsia="仿宋_GB2312"/>
          <w:sz w:val="32"/>
          <w:szCs w:val="32"/>
        </w:rPr>
        <w:t>粮油公司与</w:t>
      </w:r>
      <w:r>
        <w:rPr>
          <w:rFonts w:hint="eastAsia" w:eastAsia="仿宋_GB2312"/>
          <w:sz w:val="32"/>
          <w:szCs w:val="32"/>
        </w:rPr>
        <w:t>家庭农场、合作社、种粮大户等新型经营主体</w:t>
      </w:r>
      <w:r>
        <w:rPr>
          <w:rFonts w:eastAsia="仿宋_GB2312"/>
          <w:sz w:val="32"/>
          <w:szCs w:val="32"/>
        </w:rPr>
        <w:t>签订收购协议，保证水稻最低收购价格的提升，用收购价格提升弥补水稻补贴不足的问题。针对普通优质稻谷的收购价格，根据收购稻谷的质量，在粮食最低收购价的基础上上调 2%—5%，而针对绿色优质稻谷收购价格，则需根据收购稻谷的品质，在粮食最低收购价的基础上上调 10%—15%，上调部分价差由稻谷补贴资金直接补贴至收购企业。这样对现行补贴方式的改变，除能更好的调动农民在种植稻谷和粮食方面的积极性，越高产、产粮品质越好，收购价格更高，能很好的促进</w:t>
      </w:r>
      <w:r>
        <w:rPr>
          <w:rFonts w:hint="eastAsia" w:eastAsia="仿宋_GB2312"/>
          <w:sz w:val="32"/>
          <w:szCs w:val="32"/>
        </w:rPr>
        <w:t>稻谷生产</w:t>
      </w:r>
      <w:r>
        <w:rPr>
          <w:rFonts w:eastAsia="仿宋_GB2312"/>
          <w:sz w:val="32"/>
          <w:szCs w:val="32"/>
        </w:rPr>
        <w:t xml:space="preserve">的高产高质高效，而且也不会对正常的稻谷市场造成影响。 </w:t>
      </w:r>
    </w:p>
    <w:p>
      <w:pPr>
        <w:snapToGrid w:val="0"/>
        <w:spacing w:line="550" w:lineRule="exact"/>
        <w:ind w:firstLine="640" w:firstLineChars="200"/>
        <w:outlineLvl w:val="1"/>
        <w:rPr>
          <w:rFonts w:eastAsia="仿宋_GB2312"/>
          <w:sz w:val="32"/>
        </w:rPr>
      </w:pPr>
    </w:p>
    <w:p>
      <w:pPr>
        <w:adjustRightInd w:val="0"/>
        <w:snapToGrid w:val="0"/>
        <w:spacing w:line="550" w:lineRule="exact"/>
        <w:ind w:firstLine="640" w:firstLineChars="200"/>
        <w:rPr>
          <w:rFonts w:eastAsia="仿宋_GB2312"/>
          <w:sz w:val="32"/>
        </w:rPr>
      </w:pPr>
    </w:p>
    <w:p>
      <w:pPr>
        <w:adjustRightInd w:val="0"/>
        <w:snapToGrid w:val="0"/>
        <w:spacing w:line="550" w:lineRule="exact"/>
        <w:ind w:firstLine="4800" w:firstLineChars="1500"/>
        <w:rPr>
          <w:rFonts w:eastAsia="仿宋_GB2312"/>
          <w:sz w:val="32"/>
        </w:rPr>
      </w:pPr>
      <w:r>
        <w:rPr>
          <w:rFonts w:hint="eastAsia" w:eastAsia="仿宋_GB2312"/>
          <w:sz w:val="32"/>
        </w:rPr>
        <w:t xml:space="preserve">华容县农业农村局  </w:t>
      </w:r>
    </w:p>
    <w:p>
      <w:pPr>
        <w:spacing w:line="550" w:lineRule="exact"/>
        <w:ind w:firstLine="4800" w:firstLineChars="1500"/>
        <w:sectPr>
          <w:footerReference r:id="rId7" w:type="default"/>
          <w:footerReference r:id="rId8" w:type="even"/>
          <w:pgSz w:w="11906" w:h="16838"/>
          <w:pgMar w:top="1984" w:right="1644" w:bottom="1984" w:left="1701" w:header="851" w:footer="1587" w:gutter="0"/>
          <w:pgNumType w:fmt="numberInDash"/>
          <w:cols w:space="0" w:num="1"/>
          <w:docGrid w:type="linesAndChars" w:linePitch="579" w:charSpace="0"/>
        </w:sectPr>
      </w:pPr>
      <w:r>
        <w:rPr>
          <w:rFonts w:hint="eastAsia" w:eastAsia="仿宋_GB2312"/>
          <w:sz w:val="32"/>
        </w:rPr>
        <w:t xml:space="preserve">2024年5月28日  </w:t>
      </w:r>
    </w:p>
    <w:p>
      <w:pPr>
        <w:spacing w:before="181" w:line="171" w:lineRule="auto"/>
        <w:rPr>
          <w:rFonts w:ascii="仿宋_GB2312" w:hAnsi="仿宋_GB2312" w:eastAsia="仿宋_GB2312" w:cs="仿宋_GB2312"/>
          <w:sz w:val="32"/>
          <w:szCs w:val="32"/>
        </w:rPr>
      </w:pPr>
      <w:r>
        <w:rPr>
          <w:rFonts w:hint="eastAsia" w:ascii="仿宋_GB2312" w:hAnsi="仿宋_GB2312" w:eastAsia="仿宋_GB2312" w:cs="仿宋_GB2312"/>
          <w:sz w:val="32"/>
          <w:szCs w:val="32"/>
        </w:rPr>
        <w:t>附件6</w:t>
      </w:r>
    </w:p>
    <w:p>
      <w:pPr>
        <w:spacing w:afterLines="50" w:line="580" w:lineRule="exact"/>
        <w:jc w:val="center"/>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pacing w:val="7"/>
          <w:sz w:val="44"/>
          <w:szCs w:val="44"/>
        </w:rPr>
        <w:t>2023年度项目支出绩效自评表</w:t>
      </w:r>
    </w:p>
    <w:tbl>
      <w:tblPr>
        <w:tblStyle w:val="19"/>
        <w:tblW w:w="5059"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901"/>
        <w:gridCol w:w="896"/>
        <w:gridCol w:w="1118"/>
        <w:gridCol w:w="939"/>
        <w:gridCol w:w="989"/>
        <w:gridCol w:w="1121"/>
        <w:gridCol w:w="594"/>
        <w:gridCol w:w="723"/>
        <w:gridCol w:w="1328"/>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1693" w:type="pct"/>
            <w:gridSpan w:val="3"/>
            <w:vAlign w:val="center"/>
          </w:tcPr>
          <w:p>
            <w:pPr>
              <w:jc w:val="center"/>
              <w:rPr>
                <w:rFonts w:ascii="黑体" w:hAnsi="黑体" w:eastAsia="黑体" w:cs="黑体"/>
                <w:szCs w:val="21"/>
              </w:rPr>
            </w:pPr>
            <w:r>
              <w:rPr>
                <w:rFonts w:hint="eastAsia" w:ascii="黑体" w:hAnsi="黑体" w:eastAsia="黑体" w:cs="黑体"/>
                <w:szCs w:val="21"/>
              </w:rPr>
              <w:t>项目支出名称</w:t>
            </w:r>
          </w:p>
        </w:tc>
        <w:tc>
          <w:tcPr>
            <w:tcW w:w="3306" w:type="pct"/>
            <w:gridSpan w:val="6"/>
            <w:vAlign w:val="center"/>
          </w:tcPr>
          <w:p>
            <w:pPr>
              <w:jc w:val="center"/>
              <w:rPr>
                <w:rFonts w:ascii="黑体" w:hAnsi="黑体" w:eastAsia="黑体" w:cs="黑体"/>
                <w:szCs w:val="21"/>
              </w:rPr>
            </w:pPr>
            <w:r>
              <w:rPr>
                <w:rFonts w:hint="eastAsia" w:ascii="黑体" w:hAnsi="黑体" w:eastAsia="黑体" w:cs="黑体"/>
                <w:szCs w:val="21"/>
              </w:rPr>
              <w:t>稻谷目标价格补贴项目</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4" w:type="pct"/>
            <w:vAlign w:val="center"/>
          </w:tcPr>
          <w:p>
            <w:pPr>
              <w:jc w:val="center"/>
              <w:rPr>
                <w:rFonts w:ascii="黑体" w:hAnsi="黑体" w:eastAsia="黑体" w:cs="黑体"/>
                <w:szCs w:val="21"/>
              </w:rPr>
            </w:pPr>
            <w:r>
              <w:rPr>
                <w:rFonts w:hint="eastAsia" w:ascii="黑体" w:hAnsi="黑体" w:eastAsia="黑体" w:cs="黑体"/>
                <w:szCs w:val="21"/>
              </w:rPr>
              <w:t>主管</w:t>
            </w:r>
          </w:p>
          <w:p>
            <w:pPr>
              <w:jc w:val="center"/>
              <w:rPr>
                <w:rFonts w:ascii="黑体" w:hAnsi="黑体" w:eastAsia="黑体" w:cs="黑体"/>
                <w:szCs w:val="21"/>
              </w:rPr>
            </w:pPr>
            <w:r>
              <w:rPr>
                <w:rFonts w:hint="eastAsia" w:ascii="黑体" w:hAnsi="黑体" w:eastAsia="黑体" w:cs="黑体"/>
                <w:szCs w:val="21"/>
              </w:rPr>
              <w:t>部门</w:t>
            </w:r>
          </w:p>
        </w:tc>
        <w:tc>
          <w:tcPr>
            <w:tcW w:w="2288" w:type="pct"/>
            <w:gridSpan w:val="4"/>
            <w:vAlign w:val="center"/>
          </w:tcPr>
          <w:p>
            <w:pPr>
              <w:jc w:val="center"/>
              <w:rPr>
                <w:rFonts w:ascii="黑体" w:hAnsi="黑体" w:eastAsia="黑体" w:cs="黑体"/>
                <w:szCs w:val="21"/>
              </w:rPr>
            </w:pPr>
            <w:r>
              <w:rPr>
                <w:rFonts w:hint="eastAsia" w:ascii="黑体" w:hAnsi="黑体" w:eastAsia="黑体" w:cs="黑体"/>
                <w:szCs w:val="21"/>
              </w:rPr>
              <w:t>华容县农业农村局</w:t>
            </w:r>
          </w:p>
        </w:tc>
        <w:tc>
          <w:tcPr>
            <w:tcW w:w="650" w:type="pct"/>
            <w:vAlign w:val="center"/>
          </w:tcPr>
          <w:p>
            <w:pPr>
              <w:jc w:val="center"/>
              <w:rPr>
                <w:rFonts w:ascii="黑体" w:hAnsi="黑体" w:eastAsia="黑体" w:cs="黑体"/>
                <w:szCs w:val="21"/>
              </w:rPr>
            </w:pPr>
            <w:r>
              <w:rPr>
                <w:rFonts w:hint="eastAsia" w:ascii="黑体" w:hAnsi="黑体" w:eastAsia="黑体" w:cs="黑体"/>
                <w:szCs w:val="21"/>
              </w:rPr>
              <w:t>实施单位</w:t>
            </w:r>
          </w:p>
        </w:tc>
        <w:tc>
          <w:tcPr>
            <w:tcW w:w="1536" w:type="pct"/>
            <w:gridSpan w:val="3"/>
            <w:vAlign w:val="center"/>
          </w:tcPr>
          <w:p>
            <w:pPr>
              <w:jc w:val="center"/>
              <w:rPr>
                <w:rFonts w:ascii="黑体" w:hAnsi="黑体" w:eastAsia="黑体" w:cs="黑体"/>
                <w:szCs w:val="21"/>
              </w:rPr>
            </w:pPr>
            <w:r>
              <w:rPr>
                <w:rFonts w:hint="eastAsia" w:ascii="黑体" w:hAnsi="黑体" w:eastAsia="黑体" w:cs="黑体"/>
                <w:szCs w:val="21"/>
              </w:rPr>
              <w:t>各乡镇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4" w:type="pct"/>
            <w:vMerge w:val="restart"/>
            <w:tcBorders>
              <w:bottom w:val="nil"/>
            </w:tcBorders>
            <w:vAlign w:val="center"/>
          </w:tcPr>
          <w:p>
            <w:pPr>
              <w:jc w:val="center"/>
              <w:rPr>
                <w:rFonts w:ascii="黑体" w:hAnsi="黑体" w:eastAsia="黑体" w:cs="黑体"/>
                <w:szCs w:val="21"/>
              </w:rPr>
            </w:pPr>
            <w:r>
              <w:rPr>
                <w:rFonts w:hint="eastAsia" w:ascii="黑体" w:hAnsi="黑体" w:eastAsia="黑体" w:cs="黑体"/>
                <w:szCs w:val="21"/>
              </w:rPr>
              <w:t>项目资金（万元）</w:t>
            </w:r>
          </w:p>
        </w:tc>
        <w:tc>
          <w:tcPr>
            <w:tcW w:w="1169" w:type="pct"/>
            <w:gridSpan w:val="2"/>
            <w:vAlign w:val="center"/>
          </w:tcPr>
          <w:p>
            <w:pPr>
              <w:jc w:val="center"/>
              <w:rPr>
                <w:rFonts w:ascii="黑体" w:hAnsi="黑体" w:eastAsia="黑体" w:cs="黑体"/>
                <w:szCs w:val="21"/>
              </w:rPr>
            </w:pPr>
          </w:p>
        </w:tc>
        <w:tc>
          <w:tcPr>
            <w:tcW w:w="545" w:type="pct"/>
            <w:vAlign w:val="center"/>
          </w:tcPr>
          <w:p>
            <w:pPr>
              <w:jc w:val="center"/>
              <w:rPr>
                <w:rFonts w:ascii="黑体" w:hAnsi="黑体" w:eastAsia="黑体" w:cs="黑体"/>
                <w:szCs w:val="21"/>
              </w:rPr>
            </w:pPr>
            <w:r>
              <w:rPr>
                <w:rFonts w:hint="eastAsia" w:ascii="黑体" w:hAnsi="黑体" w:eastAsia="黑体" w:cs="黑体"/>
                <w:szCs w:val="21"/>
              </w:rPr>
              <w:t>年初</w:t>
            </w:r>
          </w:p>
          <w:p>
            <w:pPr>
              <w:jc w:val="center"/>
              <w:rPr>
                <w:rFonts w:ascii="黑体" w:hAnsi="黑体" w:eastAsia="黑体" w:cs="黑体"/>
                <w:szCs w:val="21"/>
              </w:rPr>
            </w:pPr>
            <w:r>
              <w:rPr>
                <w:rFonts w:hint="eastAsia" w:ascii="黑体" w:hAnsi="黑体" w:eastAsia="黑体" w:cs="黑体"/>
                <w:szCs w:val="21"/>
              </w:rPr>
              <w:t>预算数</w:t>
            </w:r>
          </w:p>
        </w:tc>
        <w:tc>
          <w:tcPr>
            <w:tcW w:w="574" w:type="pct"/>
            <w:vAlign w:val="center"/>
          </w:tcPr>
          <w:p>
            <w:pPr>
              <w:jc w:val="center"/>
              <w:rPr>
                <w:rFonts w:ascii="黑体" w:hAnsi="黑体" w:eastAsia="黑体" w:cs="黑体"/>
                <w:szCs w:val="21"/>
              </w:rPr>
            </w:pPr>
            <w:r>
              <w:rPr>
                <w:rFonts w:hint="eastAsia" w:ascii="黑体" w:hAnsi="黑体" w:eastAsia="黑体" w:cs="黑体"/>
                <w:szCs w:val="21"/>
              </w:rPr>
              <w:t>全年</w:t>
            </w:r>
          </w:p>
          <w:p>
            <w:pPr>
              <w:jc w:val="center"/>
              <w:rPr>
                <w:rFonts w:ascii="黑体" w:hAnsi="黑体" w:eastAsia="黑体" w:cs="黑体"/>
                <w:szCs w:val="21"/>
              </w:rPr>
            </w:pPr>
            <w:r>
              <w:rPr>
                <w:rFonts w:hint="eastAsia" w:ascii="黑体" w:hAnsi="黑体" w:eastAsia="黑体" w:cs="黑体"/>
                <w:szCs w:val="21"/>
              </w:rPr>
              <w:t>预算数</w:t>
            </w:r>
          </w:p>
        </w:tc>
        <w:tc>
          <w:tcPr>
            <w:tcW w:w="650" w:type="pct"/>
            <w:vAlign w:val="center"/>
          </w:tcPr>
          <w:p>
            <w:pPr>
              <w:jc w:val="center"/>
              <w:rPr>
                <w:rFonts w:ascii="黑体" w:hAnsi="黑体" w:eastAsia="黑体" w:cs="黑体"/>
                <w:szCs w:val="21"/>
              </w:rPr>
            </w:pPr>
            <w:r>
              <w:rPr>
                <w:rFonts w:hint="eastAsia" w:ascii="黑体" w:hAnsi="黑体" w:eastAsia="黑体" w:cs="黑体"/>
                <w:szCs w:val="21"/>
              </w:rPr>
              <w:t>全年</w:t>
            </w:r>
          </w:p>
          <w:p>
            <w:pPr>
              <w:jc w:val="center"/>
              <w:rPr>
                <w:rFonts w:ascii="黑体" w:hAnsi="黑体" w:eastAsia="黑体" w:cs="黑体"/>
                <w:szCs w:val="21"/>
              </w:rPr>
            </w:pPr>
            <w:r>
              <w:rPr>
                <w:rFonts w:hint="eastAsia" w:ascii="黑体" w:hAnsi="黑体" w:eastAsia="黑体" w:cs="黑体"/>
                <w:szCs w:val="21"/>
              </w:rPr>
              <w:t>执行数</w:t>
            </w:r>
          </w:p>
        </w:tc>
        <w:tc>
          <w:tcPr>
            <w:tcW w:w="345" w:type="pct"/>
            <w:vAlign w:val="center"/>
          </w:tcPr>
          <w:p>
            <w:pPr>
              <w:jc w:val="center"/>
              <w:rPr>
                <w:rFonts w:ascii="黑体" w:hAnsi="黑体" w:eastAsia="黑体" w:cs="黑体"/>
                <w:szCs w:val="21"/>
              </w:rPr>
            </w:pPr>
            <w:r>
              <w:rPr>
                <w:rFonts w:hint="eastAsia" w:ascii="黑体" w:hAnsi="黑体" w:eastAsia="黑体" w:cs="黑体"/>
                <w:szCs w:val="21"/>
              </w:rPr>
              <w:t>分值</w:t>
            </w:r>
          </w:p>
        </w:tc>
        <w:tc>
          <w:tcPr>
            <w:tcW w:w="420" w:type="pct"/>
            <w:vAlign w:val="center"/>
          </w:tcPr>
          <w:p>
            <w:pPr>
              <w:jc w:val="center"/>
              <w:rPr>
                <w:rFonts w:ascii="黑体" w:hAnsi="黑体" w:eastAsia="黑体" w:cs="黑体"/>
                <w:szCs w:val="21"/>
              </w:rPr>
            </w:pPr>
            <w:r>
              <w:rPr>
                <w:rFonts w:hint="eastAsia" w:ascii="黑体" w:hAnsi="黑体" w:eastAsia="黑体" w:cs="黑体"/>
                <w:szCs w:val="21"/>
              </w:rPr>
              <w:t>执行率</w:t>
            </w:r>
          </w:p>
        </w:tc>
        <w:tc>
          <w:tcPr>
            <w:tcW w:w="771" w:type="pct"/>
            <w:vAlign w:val="center"/>
          </w:tcPr>
          <w:p>
            <w:pPr>
              <w:jc w:val="center"/>
              <w:rPr>
                <w:rFonts w:ascii="黑体" w:hAnsi="黑体" w:eastAsia="黑体" w:cs="黑体"/>
                <w:szCs w:val="21"/>
              </w:rPr>
            </w:pPr>
            <w:r>
              <w:rPr>
                <w:rFonts w:hint="eastAsia" w:ascii="黑体" w:hAnsi="黑体" w:eastAsia="黑体" w:cs="黑体"/>
                <w:szCs w:val="21"/>
              </w:rPr>
              <w:t>自评得分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4" w:type="pct"/>
            <w:vMerge w:val="continue"/>
            <w:tcBorders>
              <w:top w:val="nil"/>
              <w:bottom w:val="nil"/>
            </w:tcBorders>
            <w:vAlign w:val="center"/>
          </w:tcPr>
          <w:p>
            <w:pPr>
              <w:jc w:val="center"/>
              <w:rPr>
                <w:rFonts w:asciiTheme="minorEastAsia" w:hAnsiTheme="minorEastAsia" w:eastAsiaTheme="minorEastAsia" w:cstheme="minorEastAsia"/>
                <w:szCs w:val="21"/>
              </w:rPr>
            </w:pPr>
          </w:p>
        </w:tc>
        <w:tc>
          <w:tcPr>
            <w:tcW w:w="1169" w:type="pct"/>
            <w:gridSpan w:val="2"/>
            <w:vAlign w:val="center"/>
          </w:tcPr>
          <w:p>
            <w:pP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年度资金总额</w:t>
            </w:r>
          </w:p>
        </w:tc>
        <w:tc>
          <w:tcPr>
            <w:tcW w:w="545" w:type="pct"/>
          </w:tcPr>
          <w:p>
            <w:r>
              <w:rPr>
                <w:rFonts w:hint="eastAsia" w:asciiTheme="minorEastAsia" w:hAnsiTheme="minorEastAsia" w:eastAsiaTheme="minorEastAsia" w:cstheme="minorEastAsia"/>
                <w:szCs w:val="21"/>
              </w:rPr>
              <w:t>11300.35</w:t>
            </w:r>
          </w:p>
        </w:tc>
        <w:tc>
          <w:tcPr>
            <w:tcW w:w="574" w:type="pct"/>
          </w:tcPr>
          <w:p>
            <w:r>
              <w:rPr>
                <w:rFonts w:hint="eastAsia" w:asciiTheme="minorEastAsia" w:hAnsiTheme="minorEastAsia" w:eastAsiaTheme="minorEastAsia" w:cstheme="minorEastAsia"/>
                <w:szCs w:val="21"/>
              </w:rPr>
              <w:t>11300.35</w:t>
            </w:r>
          </w:p>
        </w:tc>
        <w:tc>
          <w:tcPr>
            <w:tcW w:w="650" w:type="pct"/>
            <w:vAlign w:val="center"/>
          </w:tcPr>
          <w:p>
            <w:pP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11300.35</w:t>
            </w:r>
          </w:p>
        </w:tc>
        <w:tc>
          <w:tcPr>
            <w:tcW w:w="345" w:type="pct"/>
            <w:vAlign w:val="center"/>
          </w:tcPr>
          <w:p>
            <w:pP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10</w:t>
            </w:r>
          </w:p>
        </w:tc>
        <w:tc>
          <w:tcPr>
            <w:tcW w:w="420" w:type="pct"/>
            <w:vAlign w:val="center"/>
          </w:tcPr>
          <w:p>
            <w:pPr>
              <w:jc w:val="center"/>
              <w:rPr>
                <w:rFonts w:asciiTheme="minorEastAsia" w:hAnsiTheme="minorEastAsia" w:eastAsiaTheme="minorEastAsia" w:cstheme="minorEastAsia"/>
                <w:szCs w:val="21"/>
              </w:rPr>
            </w:pPr>
          </w:p>
        </w:tc>
        <w:tc>
          <w:tcPr>
            <w:tcW w:w="771"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4" w:type="pct"/>
            <w:vMerge w:val="continue"/>
            <w:tcBorders>
              <w:top w:val="nil"/>
              <w:bottom w:val="nil"/>
            </w:tcBorders>
            <w:vAlign w:val="center"/>
          </w:tcPr>
          <w:p>
            <w:pPr>
              <w:jc w:val="center"/>
              <w:rPr>
                <w:rFonts w:asciiTheme="minorEastAsia" w:hAnsiTheme="minorEastAsia" w:eastAsiaTheme="minorEastAsia" w:cstheme="minorEastAsia"/>
                <w:szCs w:val="21"/>
              </w:rPr>
            </w:pPr>
          </w:p>
        </w:tc>
        <w:tc>
          <w:tcPr>
            <w:tcW w:w="1169" w:type="pct"/>
            <w:gridSpan w:val="2"/>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其中：当年财政拨款</w:t>
            </w:r>
          </w:p>
        </w:tc>
        <w:tc>
          <w:tcPr>
            <w:tcW w:w="545" w:type="pct"/>
          </w:tcPr>
          <w:p>
            <w:r>
              <w:rPr>
                <w:rFonts w:hint="eastAsia" w:asciiTheme="minorEastAsia" w:hAnsiTheme="minorEastAsia" w:eastAsiaTheme="minorEastAsia" w:cstheme="minorEastAsia"/>
                <w:szCs w:val="21"/>
              </w:rPr>
              <w:t>11300.35</w:t>
            </w:r>
          </w:p>
        </w:tc>
        <w:tc>
          <w:tcPr>
            <w:tcW w:w="574" w:type="pct"/>
          </w:tcPr>
          <w:p>
            <w:r>
              <w:rPr>
                <w:rFonts w:hint="eastAsia" w:asciiTheme="minorEastAsia" w:hAnsiTheme="minorEastAsia" w:eastAsiaTheme="minorEastAsia" w:cstheme="minorEastAsia"/>
                <w:szCs w:val="21"/>
              </w:rPr>
              <w:t>11300.35</w:t>
            </w:r>
          </w:p>
        </w:tc>
        <w:tc>
          <w:tcPr>
            <w:tcW w:w="650" w:type="pct"/>
            <w:vAlign w:val="center"/>
          </w:tcPr>
          <w:p>
            <w:pP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11300.35</w:t>
            </w:r>
          </w:p>
        </w:tc>
        <w:tc>
          <w:tcPr>
            <w:tcW w:w="345" w:type="pct"/>
            <w:vAlign w:val="center"/>
          </w:tcPr>
          <w:p>
            <w:pPr>
              <w:rPr>
                <w:rFonts w:asciiTheme="minorEastAsia" w:hAnsiTheme="minorEastAsia" w:eastAsiaTheme="minorEastAsia" w:cstheme="minorEastAsia"/>
                <w:szCs w:val="21"/>
              </w:rPr>
            </w:pPr>
          </w:p>
        </w:tc>
        <w:tc>
          <w:tcPr>
            <w:tcW w:w="420" w:type="pct"/>
            <w:vAlign w:val="center"/>
          </w:tcPr>
          <w:p>
            <w:pPr>
              <w:jc w:val="center"/>
              <w:rPr>
                <w:rFonts w:asciiTheme="minorEastAsia" w:hAnsiTheme="minorEastAsia" w:eastAsiaTheme="minorEastAsia" w:cstheme="minorEastAsia"/>
                <w:szCs w:val="21"/>
              </w:rPr>
            </w:pPr>
          </w:p>
        </w:tc>
        <w:tc>
          <w:tcPr>
            <w:tcW w:w="771"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4" w:type="pct"/>
            <w:vMerge w:val="continue"/>
            <w:tcBorders>
              <w:top w:val="nil"/>
              <w:bottom w:val="nil"/>
            </w:tcBorders>
            <w:vAlign w:val="center"/>
          </w:tcPr>
          <w:p>
            <w:pPr>
              <w:jc w:val="center"/>
              <w:rPr>
                <w:rFonts w:asciiTheme="minorEastAsia" w:hAnsiTheme="minorEastAsia" w:eastAsiaTheme="minorEastAsia" w:cstheme="minorEastAsia"/>
                <w:szCs w:val="21"/>
              </w:rPr>
            </w:pPr>
          </w:p>
        </w:tc>
        <w:tc>
          <w:tcPr>
            <w:tcW w:w="1169" w:type="pct"/>
            <w:gridSpan w:val="2"/>
            <w:vAlign w:val="center"/>
          </w:tcPr>
          <w:p>
            <w:pPr>
              <w:ind w:firstLine="619" w:firstLineChars="295"/>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上年结转资金</w:t>
            </w:r>
          </w:p>
        </w:tc>
        <w:tc>
          <w:tcPr>
            <w:tcW w:w="545" w:type="pct"/>
            <w:vAlign w:val="center"/>
          </w:tcPr>
          <w:p>
            <w:pPr>
              <w:jc w:val="center"/>
              <w:rPr>
                <w:rFonts w:asciiTheme="minorEastAsia" w:hAnsiTheme="minorEastAsia" w:eastAsiaTheme="minorEastAsia" w:cstheme="minorEastAsia"/>
                <w:szCs w:val="21"/>
              </w:rPr>
            </w:pPr>
          </w:p>
        </w:tc>
        <w:tc>
          <w:tcPr>
            <w:tcW w:w="574" w:type="pct"/>
            <w:vAlign w:val="center"/>
          </w:tcPr>
          <w:p>
            <w:pPr>
              <w:jc w:val="center"/>
              <w:rPr>
                <w:rFonts w:asciiTheme="minorEastAsia" w:hAnsiTheme="minorEastAsia" w:eastAsiaTheme="minorEastAsia" w:cstheme="minorEastAsia"/>
                <w:szCs w:val="21"/>
              </w:rPr>
            </w:pPr>
          </w:p>
        </w:tc>
        <w:tc>
          <w:tcPr>
            <w:tcW w:w="650" w:type="pct"/>
            <w:vAlign w:val="center"/>
          </w:tcPr>
          <w:p>
            <w:pPr>
              <w:jc w:val="center"/>
              <w:rPr>
                <w:rFonts w:asciiTheme="minorEastAsia" w:hAnsiTheme="minorEastAsia" w:eastAsiaTheme="minorEastAsia" w:cstheme="minorEastAsia"/>
                <w:szCs w:val="21"/>
              </w:rPr>
            </w:pPr>
          </w:p>
        </w:tc>
        <w:tc>
          <w:tcPr>
            <w:tcW w:w="345" w:type="pct"/>
            <w:vAlign w:val="center"/>
          </w:tcPr>
          <w:p>
            <w:pPr>
              <w:jc w:val="center"/>
              <w:rPr>
                <w:rFonts w:asciiTheme="minorEastAsia" w:hAnsiTheme="minorEastAsia" w:eastAsiaTheme="minorEastAsia" w:cstheme="minorEastAsia"/>
                <w:szCs w:val="21"/>
              </w:rPr>
            </w:pPr>
          </w:p>
        </w:tc>
        <w:tc>
          <w:tcPr>
            <w:tcW w:w="420" w:type="pct"/>
            <w:vAlign w:val="center"/>
          </w:tcPr>
          <w:p>
            <w:pPr>
              <w:jc w:val="center"/>
              <w:rPr>
                <w:rFonts w:asciiTheme="minorEastAsia" w:hAnsiTheme="minorEastAsia" w:eastAsiaTheme="minorEastAsia" w:cstheme="minorEastAsia"/>
                <w:szCs w:val="21"/>
              </w:rPr>
            </w:pPr>
          </w:p>
        </w:tc>
        <w:tc>
          <w:tcPr>
            <w:tcW w:w="771"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4" w:type="pct"/>
            <w:vMerge w:val="continue"/>
            <w:tcBorders>
              <w:top w:val="nil"/>
            </w:tcBorders>
            <w:vAlign w:val="center"/>
          </w:tcPr>
          <w:p>
            <w:pPr>
              <w:jc w:val="center"/>
              <w:rPr>
                <w:rFonts w:asciiTheme="minorEastAsia" w:hAnsiTheme="minorEastAsia" w:eastAsiaTheme="minorEastAsia" w:cstheme="minorEastAsia"/>
                <w:szCs w:val="21"/>
              </w:rPr>
            </w:pPr>
          </w:p>
        </w:tc>
        <w:tc>
          <w:tcPr>
            <w:tcW w:w="1169" w:type="pct"/>
            <w:gridSpan w:val="2"/>
            <w:vAlign w:val="center"/>
          </w:tcPr>
          <w:p>
            <w:pPr>
              <w:ind w:firstLine="619" w:firstLineChars="295"/>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其他资金</w:t>
            </w:r>
          </w:p>
        </w:tc>
        <w:tc>
          <w:tcPr>
            <w:tcW w:w="545" w:type="pct"/>
            <w:vAlign w:val="center"/>
          </w:tcPr>
          <w:p>
            <w:pPr>
              <w:jc w:val="center"/>
              <w:rPr>
                <w:rFonts w:asciiTheme="minorEastAsia" w:hAnsiTheme="minorEastAsia" w:eastAsiaTheme="minorEastAsia" w:cstheme="minorEastAsia"/>
                <w:szCs w:val="21"/>
              </w:rPr>
            </w:pPr>
          </w:p>
        </w:tc>
        <w:tc>
          <w:tcPr>
            <w:tcW w:w="574" w:type="pct"/>
            <w:vAlign w:val="center"/>
          </w:tcPr>
          <w:p>
            <w:pPr>
              <w:jc w:val="center"/>
              <w:rPr>
                <w:rFonts w:asciiTheme="minorEastAsia" w:hAnsiTheme="minorEastAsia" w:eastAsiaTheme="minorEastAsia" w:cstheme="minorEastAsia"/>
                <w:szCs w:val="21"/>
              </w:rPr>
            </w:pPr>
          </w:p>
        </w:tc>
        <w:tc>
          <w:tcPr>
            <w:tcW w:w="650" w:type="pct"/>
            <w:vAlign w:val="center"/>
          </w:tcPr>
          <w:p>
            <w:pPr>
              <w:jc w:val="center"/>
              <w:rPr>
                <w:rFonts w:asciiTheme="minorEastAsia" w:hAnsiTheme="minorEastAsia" w:eastAsiaTheme="minorEastAsia" w:cstheme="minorEastAsia"/>
                <w:szCs w:val="21"/>
              </w:rPr>
            </w:pPr>
          </w:p>
        </w:tc>
        <w:tc>
          <w:tcPr>
            <w:tcW w:w="345" w:type="pct"/>
            <w:vAlign w:val="center"/>
          </w:tcPr>
          <w:p>
            <w:pPr>
              <w:jc w:val="center"/>
              <w:rPr>
                <w:rFonts w:asciiTheme="minorEastAsia" w:hAnsiTheme="minorEastAsia" w:eastAsiaTheme="minorEastAsia" w:cstheme="minorEastAsia"/>
                <w:szCs w:val="21"/>
              </w:rPr>
            </w:pPr>
          </w:p>
        </w:tc>
        <w:tc>
          <w:tcPr>
            <w:tcW w:w="420" w:type="pct"/>
            <w:vAlign w:val="center"/>
          </w:tcPr>
          <w:p>
            <w:pPr>
              <w:jc w:val="center"/>
              <w:rPr>
                <w:rFonts w:asciiTheme="minorEastAsia" w:hAnsiTheme="minorEastAsia" w:eastAsiaTheme="minorEastAsia" w:cstheme="minorEastAsia"/>
                <w:szCs w:val="21"/>
              </w:rPr>
            </w:pPr>
          </w:p>
        </w:tc>
        <w:tc>
          <w:tcPr>
            <w:tcW w:w="771"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4" w:type="pct"/>
            <w:vMerge w:val="restart"/>
            <w:tcBorders>
              <w:bottom w:val="nil"/>
            </w:tcBorders>
            <w:vAlign w:val="center"/>
          </w:tcPr>
          <w:p>
            <w:pPr>
              <w:jc w:val="center"/>
              <w:rPr>
                <w:rFonts w:ascii="黑体" w:hAnsi="黑体" w:eastAsia="黑体" w:cs="黑体"/>
                <w:szCs w:val="21"/>
              </w:rPr>
            </w:pPr>
            <w:r>
              <w:rPr>
                <w:rFonts w:hint="eastAsia" w:ascii="黑体" w:hAnsi="黑体" w:eastAsia="黑体" w:cs="黑体"/>
                <w:szCs w:val="21"/>
              </w:rPr>
              <w:t>年度总</w:t>
            </w:r>
          </w:p>
          <w:p>
            <w:pPr>
              <w:jc w:val="center"/>
              <w:rPr>
                <w:rFonts w:ascii="黑体" w:hAnsi="黑体" w:eastAsia="黑体" w:cs="黑体"/>
                <w:szCs w:val="21"/>
              </w:rPr>
            </w:pPr>
            <w:r>
              <w:rPr>
                <w:rFonts w:hint="eastAsia" w:ascii="黑体" w:hAnsi="黑体" w:eastAsia="黑体" w:cs="黑体"/>
                <w:szCs w:val="21"/>
              </w:rPr>
              <w:t>体目标</w:t>
            </w:r>
          </w:p>
        </w:tc>
        <w:tc>
          <w:tcPr>
            <w:tcW w:w="2288" w:type="pct"/>
            <w:gridSpan w:val="4"/>
            <w:vAlign w:val="center"/>
          </w:tcPr>
          <w:p>
            <w:pPr>
              <w:jc w:val="center"/>
              <w:rPr>
                <w:rFonts w:ascii="黑体" w:hAnsi="黑体" w:eastAsia="黑体" w:cs="黑体"/>
                <w:szCs w:val="21"/>
              </w:rPr>
            </w:pPr>
            <w:r>
              <w:rPr>
                <w:rFonts w:hint="eastAsia" w:ascii="黑体" w:hAnsi="黑体" w:eastAsia="黑体" w:cs="黑体"/>
                <w:szCs w:val="21"/>
              </w:rPr>
              <w:t>预期目标</w:t>
            </w:r>
          </w:p>
        </w:tc>
        <w:tc>
          <w:tcPr>
            <w:tcW w:w="2187" w:type="pct"/>
            <w:gridSpan w:val="4"/>
            <w:vAlign w:val="center"/>
          </w:tcPr>
          <w:p>
            <w:pPr>
              <w:jc w:val="center"/>
              <w:rPr>
                <w:rFonts w:ascii="黑体" w:hAnsi="黑体" w:eastAsia="黑体" w:cs="黑体"/>
                <w:szCs w:val="21"/>
              </w:rPr>
            </w:pPr>
            <w:r>
              <w:rPr>
                <w:rFonts w:hint="eastAsia" w:ascii="黑体" w:hAnsi="黑体" w:eastAsia="黑体" w:cs="黑体"/>
                <w:szCs w:val="21"/>
              </w:rPr>
              <w:t>实际完成情况</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4" w:type="pct"/>
            <w:vMerge w:val="continue"/>
            <w:tcBorders>
              <w:top w:val="nil"/>
            </w:tcBorders>
            <w:vAlign w:val="center"/>
          </w:tcPr>
          <w:p>
            <w:pPr>
              <w:jc w:val="center"/>
              <w:rPr>
                <w:rFonts w:asciiTheme="minorEastAsia" w:hAnsiTheme="minorEastAsia" w:eastAsiaTheme="minorEastAsia" w:cstheme="minorEastAsia"/>
                <w:szCs w:val="21"/>
              </w:rPr>
            </w:pPr>
          </w:p>
        </w:tc>
        <w:tc>
          <w:tcPr>
            <w:tcW w:w="2288" w:type="pct"/>
            <w:gridSpan w:val="4"/>
            <w:vAlign w:val="center"/>
          </w:tcPr>
          <w:p>
            <w:pPr>
              <w:jc w:val="center"/>
              <w:rPr>
                <w:rFonts w:asciiTheme="minorEastAsia" w:hAnsiTheme="minorEastAsia" w:eastAsiaTheme="minorEastAsia" w:cstheme="minorEastAsia"/>
                <w:szCs w:val="21"/>
              </w:rPr>
            </w:pPr>
            <w:r>
              <w:rPr>
                <w:rFonts w:hint="eastAsia" w:ascii="仿宋" w:hAnsi="仿宋" w:eastAsia="仿宋"/>
                <w:color w:val="000000"/>
                <w:sz w:val="20"/>
                <w:szCs w:val="20"/>
              </w:rPr>
              <w:t>落实好稻谷补贴有关工作，结合实际制定具体补贴方案，实现补贴资金及时兑付、保障优势产区稻谷种植收益基本稳定、引导种植结构调整促进增加绿色优质稻谷供给、支持深化稻谷收储制度改革。</w:t>
            </w:r>
            <w:r>
              <w:rPr>
                <w:rFonts w:ascii="仿宋" w:hAnsi="仿宋" w:eastAsia="仿宋"/>
                <w:color w:val="000000"/>
                <w:sz w:val="20"/>
                <w:szCs w:val="20"/>
              </w:rPr>
              <w:t>　</w:t>
            </w:r>
          </w:p>
        </w:tc>
        <w:tc>
          <w:tcPr>
            <w:tcW w:w="2187" w:type="pct"/>
            <w:gridSpan w:val="4"/>
            <w:vAlign w:val="center"/>
          </w:tcPr>
          <w:p>
            <w:pPr>
              <w:jc w:val="center"/>
              <w:rPr>
                <w:rFonts w:asciiTheme="minorEastAsia" w:hAnsiTheme="minorEastAsia" w:eastAsiaTheme="minorEastAsia" w:cstheme="minorEastAsia"/>
                <w:szCs w:val="21"/>
              </w:rPr>
            </w:pPr>
            <w:r>
              <w:rPr>
                <w:rFonts w:hint="eastAsia" w:ascii="仿宋" w:hAnsi="仿宋" w:eastAsia="仿宋"/>
                <w:color w:val="000000"/>
                <w:sz w:val="20"/>
                <w:szCs w:val="20"/>
              </w:rPr>
              <w:t>落实补贴相关工作，制定了补贴方案，及时兑付了补贴资金，保障了优势区稻谷种植收益基本稳定，引导了种植结构调整促进增加绿色优质稻谷供给，支持了深化稻谷收储制度改革。</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524" w:type="pct"/>
            <w:vMerge w:val="restart"/>
            <w:vAlign w:val="center"/>
          </w:tcPr>
          <w:p>
            <w:pPr>
              <w:jc w:val="center"/>
              <w:rPr>
                <w:rFonts w:ascii="黑体" w:hAnsi="黑体" w:eastAsia="黑体" w:cs="黑体"/>
                <w:szCs w:val="21"/>
              </w:rPr>
            </w:pPr>
            <w:r>
              <w:rPr>
                <w:rFonts w:hint="eastAsia" w:ascii="黑体" w:hAnsi="黑体" w:eastAsia="黑体" w:cs="黑体"/>
                <w:szCs w:val="21"/>
              </w:rPr>
              <w:t>绩</w:t>
            </w:r>
          </w:p>
          <w:p>
            <w:pPr>
              <w:jc w:val="center"/>
              <w:rPr>
                <w:rFonts w:ascii="黑体" w:hAnsi="黑体" w:eastAsia="黑体" w:cs="黑体"/>
                <w:szCs w:val="21"/>
              </w:rPr>
            </w:pPr>
            <w:r>
              <w:rPr>
                <w:rFonts w:hint="eastAsia" w:ascii="黑体" w:hAnsi="黑体" w:eastAsia="黑体" w:cs="黑体"/>
                <w:szCs w:val="21"/>
              </w:rPr>
              <w:t>效</w:t>
            </w:r>
          </w:p>
          <w:p>
            <w:pPr>
              <w:jc w:val="center"/>
              <w:rPr>
                <w:rFonts w:ascii="黑体" w:hAnsi="黑体" w:eastAsia="黑体" w:cs="黑体"/>
                <w:szCs w:val="21"/>
              </w:rPr>
            </w:pPr>
            <w:r>
              <w:rPr>
                <w:rFonts w:hint="eastAsia" w:ascii="黑体" w:hAnsi="黑体" w:eastAsia="黑体" w:cs="黑体"/>
                <w:szCs w:val="21"/>
              </w:rPr>
              <w:t>指</w:t>
            </w:r>
          </w:p>
          <w:p>
            <w:pPr>
              <w:jc w:val="center"/>
              <w:rPr>
                <w:rFonts w:ascii="黑体" w:hAnsi="黑体" w:eastAsia="黑体" w:cs="黑体"/>
                <w:szCs w:val="21"/>
              </w:rPr>
            </w:pPr>
            <w:r>
              <w:rPr>
                <w:rFonts w:hint="eastAsia" w:ascii="黑体" w:hAnsi="黑体" w:eastAsia="黑体" w:cs="黑体"/>
                <w:szCs w:val="21"/>
              </w:rPr>
              <w:t>标</w:t>
            </w:r>
          </w:p>
        </w:tc>
        <w:tc>
          <w:tcPr>
            <w:tcW w:w="520" w:type="pct"/>
            <w:vAlign w:val="center"/>
          </w:tcPr>
          <w:p>
            <w:pPr>
              <w:jc w:val="center"/>
              <w:rPr>
                <w:rFonts w:ascii="黑体" w:hAnsi="黑体" w:eastAsia="黑体" w:cs="黑体"/>
                <w:szCs w:val="21"/>
              </w:rPr>
            </w:pPr>
            <w:r>
              <w:rPr>
                <w:rFonts w:hint="eastAsia" w:ascii="黑体" w:hAnsi="黑体" w:eastAsia="黑体" w:cs="黑体"/>
                <w:szCs w:val="21"/>
              </w:rPr>
              <w:t>一级指标</w:t>
            </w:r>
          </w:p>
        </w:tc>
        <w:tc>
          <w:tcPr>
            <w:tcW w:w="649" w:type="pct"/>
            <w:vAlign w:val="center"/>
          </w:tcPr>
          <w:p>
            <w:pPr>
              <w:jc w:val="center"/>
              <w:rPr>
                <w:rFonts w:ascii="黑体" w:hAnsi="黑体" w:eastAsia="黑体" w:cs="黑体"/>
                <w:szCs w:val="21"/>
              </w:rPr>
            </w:pPr>
            <w:r>
              <w:rPr>
                <w:rFonts w:hint="eastAsia" w:ascii="黑体" w:hAnsi="黑体" w:eastAsia="黑体" w:cs="黑体"/>
                <w:szCs w:val="21"/>
              </w:rPr>
              <w:t>二级指标</w:t>
            </w:r>
          </w:p>
        </w:tc>
        <w:tc>
          <w:tcPr>
            <w:tcW w:w="545" w:type="pct"/>
            <w:vAlign w:val="center"/>
          </w:tcPr>
          <w:p>
            <w:pPr>
              <w:jc w:val="center"/>
              <w:rPr>
                <w:rFonts w:ascii="黑体" w:hAnsi="黑体" w:eastAsia="黑体" w:cs="黑体"/>
                <w:szCs w:val="21"/>
              </w:rPr>
            </w:pPr>
            <w:r>
              <w:rPr>
                <w:rFonts w:hint="eastAsia" w:ascii="黑体" w:hAnsi="黑体" w:eastAsia="黑体" w:cs="黑体"/>
                <w:szCs w:val="21"/>
              </w:rPr>
              <w:t>三级指标</w:t>
            </w:r>
          </w:p>
        </w:tc>
        <w:tc>
          <w:tcPr>
            <w:tcW w:w="574" w:type="pct"/>
            <w:vAlign w:val="center"/>
          </w:tcPr>
          <w:p>
            <w:pPr>
              <w:jc w:val="center"/>
              <w:rPr>
                <w:rFonts w:ascii="黑体" w:hAnsi="黑体" w:eastAsia="黑体" w:cs="黑体"/>
                <w:szCs w:val="21"/>
              </w:rPr>
            </w:pPr>
            <w:r>
              <w:rPr>
                <w:rFonts w:hint="eastAsia" w:ascii="黑体" w:hAnsi="黑体" w:eastAsia="黑体" w:cs="黑体"/>
                <w:szCs w:val="21"/>
              </w:rPr>
              <w:t>年度</w:t>
            </w:r>
          </w:p>
          <w:p>
            <w:pPr>
              <w:jc w:val="center"/>
              <w:rPr>
                <w:rFonts w:ascii="黑体" w:hAnsi="黑体" w:eastAsia="黑体" w:cs="黑体"/>
                <w:szCs w:val="21"/>
              </w:rPr>
            </w:pPr>
            <w:r>
              <w:rPr>
                <w:rFonts w:hint="eastAsia" w:ascii="黑体" w:hAnsi="黑体" w:eastAsia="黑体" w:cs="黑体"/>
                <w:szCs w:val="21"/>
              </w:rPr>
              <w:t>指标值</w:t>
            </w:r>
          </w:p>
        </w:tc>
        <w:tc>
          <w:tcPr>
            <w:tcW w:w="650" w:type="pct"/>
            <w:vAlign w:val="center"/>
          </w:tcPr>
          <w:p>
            <w:pPr>
              <w:jc w:val="center"/>
              <w:rPr>
                <w:rFonts w:ascii="黑体" w:hAnsi="黑体" w:eastAsia="黑体" w:cs="黑体"/>
                <w:szCs w:val="21"/>
              </w:rPr>
            </w:pPr>
            <w:r>
              <w:rPr>
                <w:rFonts w:hint="eastAsia" w:ascii="黑体" w:hAnsi="黑体" w:eastAsia="黑体" w:cs="黑体"/>
                <w:szCs w:val="21"/>
              </w:rPr>
              <w:t>实际</w:t>
            </w:r>
          </w:p>
          <w:p>
            <w:pPr>
              <w:jc w:val="center"/>
              <w:rPr>
                <w:rFonts w:ascii="黑体" w:hAnsi="黑体" w:eastAsia="黑体" w:cs="黑体"/>
                <w:szCs w:val="21"/>
              </w:rPr>
            </w:pPr>
            <w:r>
              <w:rPr>
                <w:rFonts w:hint="eastAsia" w:ascii="黑体" w:hAnsi="黑体" w:eastAsia="黑体" w:cs="黑体"/>
                <w:szCs w:val="21"/>
              </w:rPr>
              <w:t>完成值</w:t>
            </w:r>
          </w:p>
        </w:tc>
        <w:tc>
          <w:tcPr>
            <w:tcW w:w="345" w:type="pct"/>
            <w:vAlign w:val="center"/>
          </w:tcPr>
          <w:p>
            <w:pPr>
              <w:jc w:val="center"/>
              <w:rPr>
                <w:rFonts w:ascii="黑体" w:hAnsi="黑体" w:eastAsia="黑体" w:cs="黑体"/>
                <w:szCs w:val="21"/>
              </w:rPr>
            </w:pPr>
            <w:r>
              <w:rPr>
                <w:rFonts w:hint="eastAsia" w:ascii="黑体" w:hAnsi="黑体" w:eastAsia="黑体" w:cs="黑体"/>
                <w:szCs w:val="21"/>
              </w:rPr>
              <w:t>分值</w:t>
            </w:r>
          </w:p>
        </w:tc>
        <w:tc>
          <w:tcPr>
            <w:tcW w:w="420" w:type="pct"/>
            <w:vAlign w:val="center"/>
          </w:tcPr>
          <w:p>
            <w:pPr>
              <w:jc w:val="center"/>
              <w:rPr>
                <w:rFonts w:ascii="黑体" w:hAnsi="黑体" w:eastAsia="黑体" w:cs="黑体"/>
                <w:szCs w:val="21"/>
              </w:rPr>
            </w:pPr>
            <w:r>
              <w:rPr>
                <w:rFonts w:hint="eastAsia" w:ascii="黑体" w:hAnsi="黑体" w:eastAsia="黑体" w:cs="黑体"/>
                <w:szCs w:val="21"/>
              </w:rPr>
              <w:t>自评</w:t>
            </w:r>
          </w:p>
          <w:p>
            <w:pPr>
              <w:jc w:val="center"/>
              <w:rPr>
                <w:rFonts w:ascii="黑体" w:hAnsi="黑体" w:eastAsia="黑体" w:cs="黑体"/>
                <w:szCs w:val="21"/>
              </w:rPr>
            </w:pPr>
            <w:r>
              <w:rPr>
                <w:rFonts w:hint="eastAsia" w:ascii="黑体" w:hAnsi="黑体" w:eastAsia="黑体" w:cs="黑体"/>
                <w:szCs w:val="21"/>
              </w:rPr>
              <w:t>得分</w:t>
            </w:r>
          </w:p>
        </w:tc>
        <w:tc>
          <w:tcPr>
            <w:tcW w:w="771" w:type="pct"/>
            <w:vAlign w:val="center"/>
          </w:tcPr>
          <w:p>
            <w:pPr>
              <w:jc w:val="center"/>
              <w:rPr>
                <w:rFonts w:ascii="黑体" w:hAnsi="黑体" w:eastAsia="黑体" w:cs="黑体"/>
                <w:szCs w:val="21"/>
              </w:rPr>
            </w:pPr>
            <w:r>
              <w:rPr>
                <w:rFonts w:hint="eastAsia" w:ascii="黑体" w:hAnsi="黑体" w:eastAsia="黑体" w:cs="黑体"/>
                <w:szCs w:val="21"/>
              </w:rPr>
              <w:t>偏差原因分析及改进措施</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1" w:hRule="atLeast"/>
        </w:trPr>
        <w:tc>
          <w:tcPr>
            <w:tcW w:w="524" w:type="pct"/>
            <w:vMerge w:val="continue"/>
            <w:textDirection w:val="tbRlV"/>
            <w:vAlign w:val="center"/>
          </w:tcPr>
          <w:p>
            <w:pPr>
              <w:jc w:val="center"/>
              <w:rPr>
                <w:rFonts w:ascii="黑体" w:hAnsi="黑体" w:eastAsia="黑体" w:cs="黑体"/>
                <w:szCs w:val="21"/>
              </w:rPr>
            </w:pPr>
          </w:p>
        </w:tc>
        <w:tc>
          <w:tcPr>
            <w:tcW w:w="520" w:type="pct"/>
            <w:vMerge w:val="restart"/>
            <w:tcBorders>
              <w:bottom w:val="nil"/>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产</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出</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标</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(30分）</w:t>
            </w:r>
          </w:p>
        </w:tc>
        <w:tc>
          <w:tcPr>
            <w:tcW w:w="649" w:type="pct"/>
            <w:tcBorders>
              <w:bottom w:val="nil"/>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数</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量</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标</w:t>
            </w:r>
          </w:p>
        </w:tc>
        <w:tc>
          <w:tcPr>
            <w:tcW w:w="545" w:type="pct"/>
            <w:vAlign w:val="center"/>
          </w:tcPr>
          <w:p>
            <w:pPr>
              <w:jc w:val="center"/>
              <w:rPr>
                <w:rFonts w:ascii="仿宋" w:hAnsi="仿宋" w:eastAsia="仿宋"/>
                <w:color w:val="000000"/>
                <w:sz w:val="20"/>
                <w:szCs w:val="20"/>
              </w:rPr>
            </w:pPr>
            <w:r>
              <w:rPr>
                <w:rFonts w:hint="eastAsia" w:ascii="仿宋" w:hAnsi="仿宋" w:eastAsia="仿宋"/>
                <w:color w:val="000000"/>
                <w:sz w:val="20"/>
                <w:szCs w:val="20"/>
              </w:rPr>
              <w:t>补贴资金用于稻谷相关支出的比例</w:t>
            </w:r>
          </w:p>
          <w:p>
            <w:pPr>
              <w:jc w:val="center"/>
              <w:rPr>
                <w:rFonts w:ascii="仿宋" w:hAnsi="仿宋" w:eastAsia="仿宋"/>
                <w:color w:val="000000"/>
                <w:sz w:val="20"/>
                <w:szCs w:val="20"/>
              </w:rPr>
            </w:pPr>
          </w:p>
        </w:tc>
        <w:tc>
          <w:tcPr>
            <w:tcW w:w="574" w:type="pct"/>
            <w:vAlign w:val="center"/>
          </w:tcPr>
          <w:p>
            <w:pPr>
              <w:jc w:val="center"/>
              <w:rPr>
                <w:rFonts w:ascii="仿宋" w:hAnsi="仿宋" w:eastAsia="仿宋"/>
                <w:color w:val="000000"/>
                <w:sz w:val="20"/>
                <w:szCs w:val="20"/>
              </w:rPr>
            </w:pPr>
            <w:r>
              <w:rPr>
                <w:rFonts w:hint="eastAsia" w:ascii="仿宋" w:hAnsi="仿宋" w:eastAsia="仿宋"/>
                <w:color w:val="000000"/>
                <w:sz w:val="20"/>
                <w:szCs w:val="20"/>
              </w:rPr>
              <w:t>100%</w:t>
            </w:r>
          </w:p>
        </w:tc>
        <w:tc>
          <w:tcPr>
            <w:tcW w:w="650" w:type="pct"/>
            <w:vAlign w:val="center"/>
          </w:tcPr>
          <w:p>
            <w:pPr>
              <w:jc w:val="center"/>
              <w:rPr>
                <w:rFonts w:ascii="仿宋" w:hAnsi="仿宋" w:eastAsia="仿宋"/>
                <w:color w:val="000000"/>
                <w:sz w:val="20"/>
                <w:szCs w:val="20"/>
              </w:rPr>
            </w:pPr>
            <w:r>
              <w:rPr>
                <w:rFonts w:hint="eastAsia" w:ascii="仿宋" w:hAnsi="仿宋" w:eastAsia="仿宋"/>
                <w:color w:val="000000"/>
                <w:sz w:val="20"/>
                <w:szCs w:val="20"/>
              </w:rPr>
              <w:t>100%</w:t>
            </w:r>
          </w:p>
        </w:tc>
        <w:tc>
          <w:tcPr>
            <w:tcW w:w="345"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10</w:t>
            </w:r>
          </w:p>
        </w:tc>
        <w:tc>
          <w:tcPr>
            <w:tcW w:w="420"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10</w:t>
            </w:r>
          </w:p>
        </w:tc>
        <w:tc>
          <w:tcPr>
            <w:tcW w:w="771"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1" w:hRule="atLeast"/>
        </w:trPr>
        <w:tc>
          <w:tcPr>
            <w:tcW w:w="524" w:type="pct"/>
            <w:vMerge w:val="continue"/>
            <w:textDirection w:val="tbRlV"/>
            <w:vAlign w:val="center"/>
          </w:tcPr>
          <w:p>
            <w:pPr>
              <w:jc w:val="center"/>
              <w:rPr>
                <w:rFonts w:ascii="黑体" w:hAnsi="黑体" w:eastAsia="黑体" w:cs="黑体"/>
                <w:szCs w:val="21"/>
              </w:rPr>
            </w:pPr>
          </w:p>
        </w:tc>
        <w:tc>
          <w:tcPr>
            <w:tcW w:w="520" w:type="pct"/>
            <w:vMerge w:val="continue"/>
            <w:tcBorders>
              <w:top w:val="nil"/>
              <w:bottom w:val="nil"/>
            </w:tcBorders>
            <w:vAlign w:val="center"/>
          </w:tcPr>
          <w:p>
            <w:pPr>
              <w:jc w:val="center"/>
              <w:rPr>
                <w:rFonts w:asciiTheme="minorEastAsia" w:hAnsiTheme="minorEastAsia" w:eastAsiaTheme="minorEastAsia" w:cstheme="minorEastAsia"/>
                <w:szCs w:val="21"/>
              </w:rPr>
            </w:pPr>
          </w:p>
        </w:tc>
        <w:tc>
          <w:tcPr>
            <w:tcW w:w="649" w:type="pct"/>
            <w:vMerge w:val="restart"/>
            <w:tcBorders>
              <w:bottom w:val="nil"/>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质</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量</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标</w:t>
            </w:r>
          </w:p>
        </w:tc>
        <w:tc>
          <w:tcPr>
            <w:tcW w:w="545" w:type="pct"/>
            <w:vAlign w:val="center"/>
          </w:tcPr>
          <w:p>
            <w:pPr>
              <w:jc w:val="center"/>
              <w:rPr>
                <w:rFonts w:ascii="仿宋" w:hAnsi="仿宋" w:eastAsia="仿宋"/>
                <w:color w:val="000000"/>
                <w:sz w:val="20"/>
                <w:szCs w:val="20"/>
              </w:rPr>
            </w:pPr>
            <w:r>
              <w:rPr>
                <w:rFonts w:hint="eastAsia" w:ascii="仿宋" w:hAnsi="仿宋" w:eastAsia="仿宋"/>
                <w:color w:val="000000"/>
                <w:sz w:val="20"/>
                <w:szCs w:val="20"/>
              </w:rPr>
              <w:t>市（县）级层面是否建立部门间协调机制</w:t>
            </w:r>
          </w:p>
        </w:tc>
        <w:tc>
          <w:tcPr>
            <w:tcW w:w="574" w:type="pct"/>
            <w:vAlign w:val="center"/>
          </w:tcPr>
          <w:p>
            <w:pPr>
              <w:jc w:val="center"/>
              <w:rPr>
                <w:rFonts w:ascii="仿宋" w:hAnsi="仿宋" w:eastAsia="仿宋"/>
                <w:color w:val="000000"/>
                <w:sz w:val="20"/>
                <w:szCs w:val="20"/>
              </w:rPr>
            </w:pPr>
            <w:r>
              <w:rPr>
                <w:rFonts w:hint="eastAsia" w:ascii="仿宋" w:hAnsi="仿宋" w:eastAsia="仿宋"/>
                <w:color w:val="000000"/>
                <w:sz w:val="20"/>
                <w:szCs w:val="20"/>
              </w:rPr>
              <w:t>是</w:t>
            </w:r>
          </w:p>
        </w:tc>
        <w:tc>
          <w:tcPr>
            <w:tcW w:w="650" w:type="pct"/>
            <w:vAlign w:val="center"/>
          </w:tcPr>
          <w:p>
            <w:pPr>
              <w:jc w:val="center"/>
              <w:rPr>
                <w:rFonts w:ascii="仿宋" w:hAnsi="仿宋" w:eastAsia="仿宋"/>
                <w:color w:val="000000"/>
                <w:sz w:val="20"/>
                <w:szCs w:val="20"/>
              </w:rPr>
            </w:pPr>
            <w:r>
              <w:rPr>
                <w:rFonts w:hint="eastAsia" w:ascii="仿宋" w:hAnsi="仿宋" w:eastAsia="仿宋"/>
                <w:color w:val="000000"/>
                <w:sz w:val="20"/>
                <w:szCs w:val="20"/>
              </w:rPr>
              <w:t>是</w:t>
            </w:r>
          </w:p>
        </w:tc>
        <w:tc>
          <w:tcPr>
            <w:tcW w:w="345"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p>
        </w:tc>
        <w:tc>
          <w:tcPr>
            <w:tcW w:w="420"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p>
        </w:tc>
        <w:tc>
          <w:tcPr>
            <w:tcW w:w="771"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1" w:hRule="atLeast"/>
        </w:trPr>
        <w:tc>
          <w:tcPr>
            <w:tcW w:w="524" w:type="pct"/>
            <w:vMerge w:val="continue"/>
            <w:textDirection w:val="tbRlV"/>
            <w:vAlign w:val="center"/>
          </w:tcPr>
          <w:p>
            <w:pPr>
              <w:jc w:val="center"/>
              <w:rPr>
                <w:rFonts w:ascii="黑体" w:hAnsi="黑体" w:eastAsia="黑体" w:cs="黑体"/>
                <w:szCs w:val="21"/>
              </w:rPr>
            </w:pPr>
          </w:p>
        </w:tc>
        <w:tc>
          <w:tcPr>
            <w:tcW w:w="520" w:type="pct"/>
            <w:vMerge w:val="continue"/>
            <w:tcBorders>
              <w:top w:val="nil"/>
              <w:bottom w:val="nil"/>
            </w:tcBorders>
            <w:vAlign w:val="center"/>
          </w:tcPr>
          <w:p>
            <w:pPr>
              <w:jc w:val="center"/>
              <w:rPr>
                <w:rFonts w:asciiTheme="minorEastAsia" w:hAnsiTheme="minorEastAsia" w:eastAsiaTheme="minorEastAsia" w:cstheme="minorEastAsia"/>
                <w:szCs w:val="21"/>
              </w:rPr>
            </w:pPr>
          </w:p>
        </w:tc>
        <w:tc>
          <w:tcPr>
            <w:tcW w:w="649" w:type="pct"/>
            <w:vMerge w:val="continue"/>
            <w:tcBorders>
              <w:top w:val="nil"/>
              <w:bottom w:val="nil"/>
            </w:tcBorders>
            <w:vAlign w:val="center"/>
          </w:tcPr>
          <w:p>
            <w:pPr>
              <w:jc w:val="center"/>
              <w:rPr>
                <w:rFonts w:asciiTheme="minorEastAsia" w:hAnsiTheme="minorEastAsia" w:eastAsiaTheme="minorEastAsia" w:cstheme="minorEastAsia"/>
                <w:szCs w:val="21"/>
              </w:rPr>
            </w:pPr>
          </w:p>
        </w:tc>
        <w:tc>
          <w:tcPr>
            <w:tcW w:w="545" w:type="pct"/>
            <w:vAlign w:val="center"/>
          </w:tcPr>
          <w:p>
            <w:pPr>
              <w:jc w:val="center"/>
              <w:rPr>
                <w:rFonts w:ascii="仿宋" w:hAnsi="仿宋" w:eastAsia="仿宋"/>
                <w:color w:val="000000"/>
                <w:sz w:val="20"/>
                <w:szCs w:val="20"/>
              </w:rPr>
            </w:pPr>
            <w:r>
              <w:rPr>
                <w:rFonts w:hint="eastAsia" w:ascii="仿宋" w:hAnsi="仿宋" w:eastAsia="仿宋"/>
                <w:color w:val="000000"/>
                <w:sz w:val="20"/>
                <w:szCs w:val="20"/>
              </w:rPr>
              <w:t>建立稻谷生产者补贴公示等制度落率</w:t>
            </w:r>
          </w:p>
        </w:tc>
        <w:tc>
          <w:tcPr>
            <w:tcW w:w="574" w:type="pct"/>
            <w:vAlign w:val="center"/>
          </w:tcPr>
          <w:p>
            <w:pPr>
              <w:jc w:val="center"/>
              <w:rPr>
                <w:rFonts w:ascii="仿宋" w:hAnsi="仿宋" w:eastAsia="仿宋"/>
                <w:color w:val="000000"/>
                <w:sz w:val="20"/>
                <w:szCs w:val="20"/>
              </w:rPr>
            </w:pPr>
            <w:r>
              <w:rPr>
                <w:rFonts w:hint="eastAsia" w:ascii="仿宋" w:hAnsi="仿宋" w:eastAsia="仿宋"/>
                <w:color w:val="000000"/>
                <w:sz w:val="20"/>
                <w:szCs w:val="20"/>
              </w:rPr>
              <w:t>100%</w:t>
            </w:r>
            <w:r>
              <w:rPr>
                <w:rFonts w:ascii="仿宋" w:hAnsi="仿宋" w:eastAsia="仿宋"/>
                <w:color w:val="000000"/>
                <w:sz w:val="20"/>
                <w:szCs w:val="20"/>
              </w:rPr>
              <w:t>　</w:t>
            </w:r>
          </w:p>
        </w:tc>
        <w:tc>
          <w:tcPr>
            <w:tcW w:w="650" w:type="pct"/>
            <w:vAlign w:val="center"/>
          </w:tcPr>
          <w:p>
            <w:pPr>
              <w:jc w:val="center"/>
              <w:rPr>
                <w:rFonts w:ascii="仿宋" w:hAnsi="仿宋" w:eastAsia="仿宋"/>
                <w:color w:val="000000"/>
                <w:sz w:val="20"/>
                <w:szCs w:val="20"/>
              </w:rPr>
            </w:pPr>
            <w:r>
              <w:rPr>
                <w:rFonts w:hint="eastAsia" w:ascii="仿宋" w:hAnsi="仿宋" w:eastAsia="仿宋"/>
                <w:color w:val="000000"/>
                <w:sz w:val="20"/>
                <w:szCs w:val="20"/>
              </w:rPr>
              <w:t>100%</w:t>
            </w:r>
          </w:p>
        </w:tc>
        <w:tc>
          <w:tcPr>
            <w:tcW w:w="345"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p>
        </w:tc>
        <w:tc>
          <w:tcPr>
            <w:tcW w:w="420"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p>
        </w:tc>
        <w:tc>
          <w:tcPr>
            <w:tcW w:w="771"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1" w:hRule="atLeast"/>
        </w:trPr>
        <w:tc>
          <w:tcPr>
            <w:tcW w:w="524" w:type="pct"/>
            <w:vMerge w:val="continue"/>
            <w:textDirection w:val="tbRlV"/>
            <w:vAlign w:val="center"/>
          </w:tcPr>
          <w:p>
            <w:pPr>
              <w:jc w:val="center"/>
              <w:rPr>
                <w:rFonts w:ascii="黑体" w:hAnsi="黑体" w:eastAsia="黑体" w:cs="黑体"/>
                <w:szCs w:val="21"/>
              </w:rPr>
            </w:pPr>
          </w:p>
        </w:tc>
        <w:tc>
          <w:tcPr>
            <w:tcW w:w="520" w:type="pct"/>
            <w:vMerge w:val="continue"/>
            <w:tcBorders>
              <w:top w:val="nil"/>
              <w:bottom w:val="nil"/>
            </w:tcBorders>
            <w:vAlign w:val="center"/>
          </w:tcPr>
          <w:p>
            <w:pPr>
              <w:jc w:val="center"/>
              <w:rPr>
                <w:rFonts w:asciiTheme="minorEastAsia" w:hAnsiTheme="minorEastAsia" w:eastAsiaTheme="minorEastAsia" w:cstheme="minorEastAsia"/>
                <w:szCs w:val="21"/>
              </w:rPr>
            </w:pPr>
          </w:p>
        </w:tc>
        <w:tc>
          <w:tcPr>
            <w:tcW w:w="649" w:type="pct"/>
            <w:vMerge w:val="restart"/>
            <w:tcBorders>
              <w:bottom w:val="nil"/>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时</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效</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标</w:t>
            </w:r>
          </w:p>
        </w:tc>
        <w:tc>
          <w:tcPr>
            <w:tcW w:w="545" w:type="pct"/>
            <w:vAlign w:val="center"/>
          </w:tcPr>
          <w:p>
            <w:pPr>
              <w:jc w:val="center"/>
              <w:rPr>
                <w:rFonts w:ascii="仿宋" w:hAnsi="仿宋" w:eastAsia="仿宋"/>
                <w:color w:val="000000"/>
                <w:sz w:val="20"/>
                <w:szCs w:val="20"/>
              </w:rPr>
            </w:pPr>
            <w:r>
              <w:rPr>
                <w:rFonts w:hint="eastAsia" w:ascii="仿宋" w:hAnsi="仿宋" w:eastAsia="仿宋"/>
                <w:color w:val="000000"/>
                <w:sz w:val="20"/>
                <w:szCs w:val="20"/>
              </w:rPr>
              <w:t>及时制定符合当地实际的补贴实施方案</w:t>
            </w:r>
          </w:p>
        </w:tc>
        <w:tc>
          <w:tcPr>
            <w:tcW w:w="574" w:type="pct"/>
            <w:vAlign w:val="center"/>
          </w:tcPr>
          <w:p>
            <w:pPr>
              <w:jc w:val="center"/>
              <w:rPr>
                <w:rFonts w:hint="eastAsia" w:ascii="仿宋" w:hAnsi="仿宋" w:eastAsia="仿宋"/>
                <w:color w:val="000000"/>
                <w:sz w:val="20"/>
                <w:szCs w:val="20"/>
                <w:lang w:eastAsia="zh-CN"/>
              </w:rPr>
            </w:pPr>
            <w:r>
              <w:rPr>
                <w:rFonts w:hint="eastAsia" w:ascii="仿宋" w:hAnsi="仿宋" w:eastAsia="仿宋"/>
                <w:color w:val="000000"/>
                <w:sz w:val="20"/>
                <w:szCs w:val="20"/>
                <w:lang w:val="en-US" w:eastAsia="zh-CN"/>
              </w:rPr>
              <w:t>及时</w:t>
            </w:r>
          </w:p>
        </w:tc>
        <w:tc>
          <w:tcPr>
            <w:tcW w:w="650" w:type="pct"/>
            <w:vAlign w:val="center"/>
          </w:tcPr>
          <w:p>
            <w:pPr>
              <w:jc w:val="center"/>
              <w:rPr>
                <w:rFonts w:ascii="仿宋" w:hAnsi="仿宋" w:eastAsia="仿宋"/>
                <w:color w:val="000000"/>
                <w:sz w:val="20"/>
                <w:szCs w:val="20"/>
              </w:rPr>
            </w:pPr>
            <w:r>
              <w:rPr>
                <w:rFonts w:hint="eastAsia" w:ascii="仿宋" w:hAnsi="仿宋" w:eastAsia="仿宋"/>
                <w:color w:val="000000"/>
                <w:sz w:val="20"/>
                <w:szCs w:val="20"/>
                <w:lang w:val="en-US" w:eastAsia="zh-CN"/>
              </w:rPr>
              <w:t>及时</w:t>
            </w:r>
          </w:p>
        </w:tc>
        <w:tc>
          <w:tcPr>
            <w:tcW w:w="345"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p>
        </w:tc>
        <w:tc>
          <w:tcPr>
            <w:tcW w:w="420"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p>
        </w:tc>
        <w:tc>
          <w:tcPr>
            <w:tcW w:w="771"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1" w:hRule="atLeast"/>
        </w:trPr>
        <w:tc>
          <w:tcPr>
            <w:tcW w:w="524" w:type="pct"/>
            <w:vMerge w:val="continue"/>
            <w:textDirection w:val="tbRlV"/>
            <w:vAlign w:val="center"/>
          </w:tcPr>
          <w:p>
            <w:pPr>
              <w:jc w:val="center"/>
              <w:rPr>
                <w:rFonts w:ascii="黑体" w:hAnsi="黑体" w:eastAsia="黑体" w:cs="黑体"/>
                <w:szCs w:val="21"/>
              </w:rPr>
            </w:pPr>
          </w:p>
        </w:tc>
        <w:tc>
          <w:tcPr>
            <w:tcW w:w="520" w:type="pct"/>
            <w:vMerge w:val="continue"/>
            <w:tcBorders>
              <w:top w:val="nil"/>
              <w:bottom w:val="nil"/>
            </w:tcBorders>
            <w:vAlign w:val="center"/>
          </w:tcPr>
          <w:p>
            <w:pPr>
              <w:jc w:val="center"/>
              <w:rPr>
                <w:rFonts w:asciiTheme="minorEastAsia" w:hAnsiTheme="minorEastAsia" w:eastAsiaTheme="minorEastAsia" w:cstheme="minorEastAsia"/>
                <w:szCs w:val="21"/>
              </w:rPr>
            </w:pPr>
          </w:p>
        </w:tc>
        <w:tc>
          <w:tcPr>
            <w:tcW w:w="649" w:type="pct"/>
            <w:vMerge w:val="continue"/>
            <w:tcBorders>
              <w:top w:val="nil"/>
              <w:bottom w:val="nil"/>
            </w:tcBorders>
            <w:vAlign w:val="center"/>
          </w:tcPr>
          <w:p>
            <w:pPr>
              <w:jc w:val="center"/>
              <w:rPr>
                <w:rFonts w:asciiTheme="minorEastAsia" w:hAnsiTheme="minorEastAsia" w:eastAsiaTheme="minorEastAsia" w:cstheme="minorEastAsia"/>
                <w:szCs w:val="21"/>
              </w:rPr>
            </w:pPr>
          </w:p>
        </w:tc>
        <w:tc>
          <w:tcPr>
            <w:tcW w:w="545" w:type="pct"/>
            <w:vAlign w:val="center"/>
          </w:tcPr>
          <w:p>
            <w:pPr>
              <w:jc w:val="center"/>
              <w:rPr>
                <w:rFonts w:ascii="仿宋" w:hAnsi="仿宋" w:eastAsia="仿宋"/>
                <w:color w:val="000000"/>
                <w:sz w:val="20"/>
                <w:szCs w:val="20"/>
              </w:rPr>
            </w:pPr>
            <w:r>
              <w:rPr>
                <w:rFonts w:hint="eastAsia" w:ascii="仿宋" w:hAnsi="仿宋" w:eastAsia="仿宋"/>
                <w:color w:val="000000"/>
                <w:sz w:val="20"/>
                <w:szCs w:val="20"/>
              </w:rPr>
              <w:t>及时兑付补贴资金</w:t>
            </w:r>
          </w:p>
        </w:tc>
        <w:tc>
          <w:tcPr>
            <w:tcW w:w="574" w:type="pct"/>
            <w:vAlign w:val="center"/>
          </w:tcPr>
          <w:p>
            <w:pPr>
              <w:jc w:val="center"/>
              <w:rPr>
                <w:rFonts w:ascii="仿宋" w:hAnsi="仿宋" w:eastAsia="仿宋"/>
                <w:color w:val="000000"/>
                <w:sz w:val="20"/>
                <w:szCs w:val="20"/>
              </w:rPr>
            </w:pPr>
            <w:r>
              <w:rPr>
                <w:rFonts w:hint="eastAsia" w:ascii="仿宋" w:hAnsi="仿宋" w:eastAsia="仿宋"/>
                <w:color w:val="000000"/>
                <w:sz w:val="20"/>
                <w:szCs w:val="20"/>
              </w:rPr>
              <w:t>100%</w:t>
            </w:r>
          </w:p>
        </w:tc>
        <w:tc>
          <w:tcPr>
            <w:tcW w:w="650" w:type="pct"/>
            <w:vAlign w:val="center"/>
          </w:tcPr>
          <w:p>
            <w:pPr>
              <w:jc w:val="center"/>
              <w:rPr>
                <w:rFonts w:ascii="仿宋" w:hAnsi="仿宋" w:eastAsia="仿宋"/>
                <w:color w:val="000000"/>
                <w:sz w:val="20"/>
                <w:szCs w:val="20"/>
              </w:rPr>
            </w:pPr>
            <w:r>
              <w:rPr>
                <w:rFonts w:hint="eastAsia" w:ascii="仿宋" w:hAnsi="仿宋" w:eastAsia="仿宋"/>
                <w:color w:val="000000"/>
                <w:sz w:val="20"/>
                <w:szCs w:val="20"/>
              </w:rPr>
              <w:t>100%</w:t>
            </w:r>
          </w:p>
        </w:tc>
        <w:tc>
          <w:tcPr>
            <w:tcW w:w="345"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p>
        </w:tc>
        <w:tc>
          <w:tcPr>
            <w:tcW w:w="420"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p>
        </w:tc>
        <w:tc>
          <w:tcPr>
            <w:tcW w:w="771"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4" w:type="pct"/>
            <w:vMerge w:val="restart"/>
            <w:vAlign w:val="center"/>
          </w:tcPr>
          <w:p>
            <w:pPr>
              <w:jc w:val="center"/>
              <w:rPr>
                <w:rFonts w:ascii="黑体" w:hAnsi="黑体" w:eastAsia="黑体" w:cs="黑体"/>
                <w:szCs w:val="21"/>
              </w:rPr>
            </w:pPr>
            <w:r>
              <w:rPr>
                <w:rFonts w:hint="eastAsia" w:ascii="黑体" w:hAnsi="黑体" w:eastAsia="黑体" w:cs="黑体"/>
                <w:szCs w:val="21"/>
              </w:rPr>
              <w:t>绩</w:t>
            </w:r>
          </w:p>
          <w:p>
            <w:pPr>
              <w:jc w:val="center"/>
              <w:rPr>
                <w:rFonts w:ascii="黑体" w:hAnsi="黑体" w:eastAsia="黑体" w:cs="黑体"/>
                <w:szCs w:val="21"/>
              </w:rPr>
            </w:pPr>
            <w:r>
              <w:rPr>
                <w:rFonts w:hint="eastAsia" w:ascii="黑体" w:hAnsi="黑体" w:eastAsia="黑体" w:cs="黑体"/>
                <w:szCs w:val="21"/>
              </w:rPr>
              <w:t>效</w:t>
            </w:r>
          </w:p>
          <w:p>
            <w:pPr>
              <w:jc w:val="center"/>
              <w:rPr>
                <w:rFonts w:ascii="黑体" w:hAnsi="黑体" w:eastAsia="黑体" w:cs="黑体"/>
                <w:szCs w:val="21"/>
              </w:rPr>
            </w:pPr>
            <w:r>
              <w:rPr>
                <w:rFonts w:hint="eastAsia" w:ascii="黑体" w:hAnsi="黑体" w:eastAsia="黑体" w:cs="黑体"/>
                <w:szCs w:val="21"/>
              </w:rPr>
              <w:t>指</w:t>
            </w:r>
          </w:p>
          <w:p>
            <w:pPr>
              <w:jc w:val="center"/>
              <w:rPr>
                <w:rFonts w:ascii="黑体" w:hAnsi="黑体" w:eastAsia="黑体" w:cs="黑体"/>
                <w:szCs w:val="21"/>
              </w:rPr>
            </w:pPr>
            <w:r>
              <w:rPr>
                <w:rFonts w:hint="eastAsia" w:ascii="黑体" w:hAnsi="黑体" w:eastAsia="黑体" w:cs="黑体"/>
                <w:szCs w:val="21"/>
              </w:rPr>
              <w:t>标</w:t>
            </w:r>
          </w:p>
        </w:tc>
        <w:tc>
          <w:tcPr>
            <w:tcW w:w="520" w:type="pct"/>
            <w:vMerge w:val="restart"/>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效</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益</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标</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（30分）</w:t>
            </w:r>
          </w:p>
        </w:tc>
        <w:tc>
          <w:tcPr>
            <w:tcW w:w="649" w:type="pct"/>
            <w:tcBorders>
              <w:left w:val="single" w:color="auto" w:sz="4" w:space="0"/>
              <w:bottom w:val="nil"/>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经济</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效益</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tc>
        <w:tc>
          <w:tcPr>
            <w:tcW w:w="545" w:type="pct"/>
            <w:vAlign w:val="center"/>
          </w:tcPr>
          <w:p>
            <w:pPr>
              <w:jc w:val="center"/>
              <w:rPr>
                <w:rFonts w:ascii="仿宋" w:hAnsi="仿宋" w:eastAsia="仿宋"/>
                <w:color w:val="000000"/>
                <w:sz w:val="20"/>
                <w:szCs w:val="20"/>
              </w:rPr>
            </w:pPr>
            <w:r>
              <w:rPr>
                <w:rFonts w:hint="eastAsia" w:ascii="仿宋" w:hAnsi="仿宋" w:eastAsia="仿宋"/>
                <w:color w:val="000000"/>
                <w:sz w:val="20"/>
                <w:szCs w:val="20"/>
              </w:rPr>
              <w:t>保障优势产区稻谷种植收益</w:t>
            </w:r>
          </w:p>
        </w:tc>
        <w:tc>
          <w:tcPr>
            <w:tcW w:w="574" w:type="pct"/>
            <w:vAlign w:val="center"/>
          </w:tcPr>
          <w:p>
            <w:pPr>
              <w:jc w:val="center"/>
              <w:rPr>
                <w:rFonts w:ascii="仿宋" w:hAnsi="仿宋" w:eastAsia="仿宋"/>
                <w:color w:val="000000"/>
                <w:sz w:val="20"/>
                <w:szCs w:val="20"/>
              </w:rPr>
            </w:pPr>
            <w:r>
              <w:rPr>
                <w:rFonts w:hint="eastAsia" w:ascii="仿宋" w:hAnsi="仿宋" w:eastAsia="仿宋"/>
                <w:color w:val="000000"/>
                <w:sz w:val="20"/>
                <w:szCs w:val="20"/>
              </w:rPr>
              <w:t>基本稳定</w:t>
            </w:r>
          </w:p>
        </w:tc>
        <w:tc>
          <w:tcPr>
            <w:tcW w:w="650" w:type="pct"/>
            <w:vAlign w:val="center"/>
          </w:tcPr>
          <w:p>
            <w:pPr>
              <w:jc w:val="center"/>
              <w:rPr>
                <w:rFonts w:ascii="仿宋" w:hAnsi="仿宋" w:eastAsia="仿宋"/>
                <w:color w:val="000000"/>
                <w:sz w:val="20"/>
                <w:szCs w:val="20"/>
              </w:rPr>
            </w:pPr>
            <w:r>
              <w:rPr>
                <w:rFonts w:hint="eastAsia" w:ascii="仿宋" w:hAnsi="仿宋" w:eastAsia="仿宋"/>
                <w:color w:val="000000"/>
                <w:sz w:val="20"/>
                <w:szCs w:val="20"/>
              </w:rPr>
              <w:t>基本稳定</w:t>
            </w:r>
          </w:p>
        </w:tc>
        <w:tc>
          <w:tcPr>
            <w:tcW w:w="345" w:type="pct"/>
            <w:vAlign w:val="center"/>
          </w:tcPr>
          <w:p>
            <w:pPr>
              <w:jc w:val="center"/>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10</w:t>
            </w:r>
          </w:p>
        </w:tc>
        <w:tc>
          <w:tcPr>
            <w:tcW w:w="420" w:type="pct"/>
            <w:vAlign w:val="center"/>
          </w:tcPr>
          <w:p>
            <w:pPr>
              <w:jc w:val="center"/>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8.5</w:t>
            </w:r>
          </w:p>
        </w:tc>
        <w:tc>
          <w:tcPr>
            <w:tcW w:w="771"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4" w:type="pct"/>
            <w:vMerge w:val="continue"/>
            <w:textDirection w:val="tbRlV"/>
            <w:vAlign w:val="center"/>
          </w:tcPr>
          <w:p>
            <w:pPr>
              <w:jc w:val="center"/>
              <w:rPr>
                <w:rFonts w:asciiTheme="minorEastAsia" w:hAnsiTheme="minorEastAsia" w:eastAsiaTheme="minorEastAsia" w:cstheme="minorEastAsia"/>
                <w:szCs w:val="21"/>
              </w:rPr>
            </w:pPr>
          </w:p>
        </w:tc>
        <w:tc>
          <w:tcPr>
            <w:tcW w:w="520" w:type="pct"/>
            <w:vMerge w:val="continue"/>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p>
        </w:tc>
        <w:tc>
          <w:tcPr>
            <w:tcW w:w="649" w:type="pct"/>
            <w:tcBorders>
              <w:left w:val="single" w:color="auto" w:sz="4" w:space="0"/>
              <w:bottom w:val="nil"/>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社会</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效益</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tc>
        <w:tc>
          <w:tcPr>
            <w:tcW w:w="545" w:type="pct"/>
            <w:vAlign w:val="center"/>
          </w:tcPr>
          <w:p>
            <w:pPr>
              <w:jc w:val="center"/>
              <w:rPr>
                <w:rFonts w:ascii="仿宋" w:hAnsi="仿宋" w:eastAsia="仿宋"/>
                <w:color w:val="000000"/>
                <w:sz w:val="20"/>
                <w:szCs w:val="20"/>
              </w:rPr>
            </w:pPr>
            <w:r>
              <w:rPr>
                <w:rFonts w:hint="eastAsia" w:ascii="仿宋" w:hAnsi="仿宋" w:eastAsia="仿宋"/>
                <w:color w:val="000000"/>
                <w:sz w:val="20"/>
                <w:szCs w:val="20"/>
              </w:rPr>
              <w:t>2023年绿色优质稻谷种植面积</w:t>
            </w:r>
          </w:p>
        </w:tc>
        <w:tc>
          <w:tcPr>
            <w:tcW w:w="574" w:type="pct"/>
            <w:vAlign w:val="center"/>
          </w:tcPr>
          <w:p>
            <w:pPr>
              <w:jc w:val="center"/>
              <w:rPr>
                <w:rFonts w:ascii="仿宋" w:hAnsi="仿宋" w:eastAsia="仿宋"/>
                <w:color w:val="000000"/>
                <w:sz w:val="20"/>
                <w:szCs w:val="20"/>
              </w:rPr>
            </w:pPr>
            <w:r>
              <w:rPr>
                <w:rFonts w:hint="eastAsia" w:ascii="仿宋" w:hAnsi="仿宋" w:eastAsia="仿宋"/>
                <w:color w:val="000000"/>
                <w:sz w:val="20"/>
                <w:szCs w:val="20"/>
              </w:rPr>
              <w:t>高于上年</w:t>
            </w:r>
          </w:p>
        </w:tc>
        <w:tc>
          <w:tcPr>
            <w:tcW w:w="650" w:type="pct"/>
            <w:vAlign w:val="center"/>
          </w:tcPr>
          <w:p>
            <w:pPr>
              <w:jc w:val="center"/>
              <w:rPr>
                <w:rFonts w:ascii="仿宋" w:hAnsi="仿宋" w:eastAsia="仿宋"/>
                <w:color w:val="000000"/>
                <w:sz w:val="20"/>
                <w:szCs w:val="20"/>
              </w:rPr>
            </w:pPr>
            <w:r>
              <w:rPr>
                <w:rFonts w:hint="eastAsia" w:ascii="仿宋" w:hAnsi="仿宋" w:eastAsia="仿宋"/>
                <w:color w:val="000000"/>
                <w:sz w:val="20"/>
                <w:szCs w:val="20"/>
              </w:rPr>
              <w:t>高于上年</w:t>
            </w:r>
          </w:p>
        </w:tc>
        <w:tc>
          <w:tcPr>
            <w:tcW w:w="345" w:type="pct"/>
            <w:vAlign w:val="center"/>
          </w:tcPr>
          <w:p>
            <w:pPr>
              <w:jc w:val="center"/>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10</w:t>
            </w:r>
          </w:p>
        </w:tc>
        <w:tc>
          <w:tcPr>
            <w:tcW w:w="420" w:type="pct"/>
            <w:vAlign w:val="center"/>
          </w:tcPr>
          <w:p>
            <w:pPr>
              <w:jc w:val="center"/>
              <w:rPr>
                <w:rFonts w:hint="eastAsia" w:asciiTheme="minorEastAsia" w:hAnsiTheme="minorEastAsia" w:eastAsiaTheme="minorEastAsia" w:cstheme="minorEastAsia"/>
                <w:szCs w:val="21"/>
                <w:lang w:eastAsia="zh-CN"/>
              </w:rPr>
            </w:pPr>
            <w:r>
              <w:rPr>
                <w:rFonts w:hint="eastAsia" w:asciiTheme="minorEastAsia" w:hAnsiTheme="minorEastAsia" w:eastAsiaTheme="minorEastAsia" w:cstheme="minorEastAsia"/>
                <w:szCs w:val="21"/>
                <w:lang w:val="en-US" w:eastAsia="zh-CN"/>
              </w:rPr>
              <w:t>8</w:t>
            </w:r>
          </w:p>
        </w:tc>
        <w:tc>
          <w:tcPr>
            <w:tcW w:w="771"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4" w:type="pct"/>
            <w:vMerge w:val="continue"/>
            <w:textDirection w:val="tbRlV"/>
            <w:vAlign w:val="center"/>
          </w:tcPr>
          <w:p>
            <w:pPr>
              <w:jc w:val="center"/>
              <w:rPr>
                <w:rFonts w:asciiTheme="minorEastAsia" w:hAnsiTheme="minorEastAsia" w:eastAsiaTheme="minorEastAsia" w:cstheme="minorEastAsia"/>
                <w:szCs w:val="21"/>
              </w:rPr>
            </w:pPr>
          </w:p>
        </w:tc>
        <w:tc>
          <w:tcPr>
            <w:tcW w:w="520" w:type="pct"/>
            <w:vMerge w:val="continue"/>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p>
        </w:tc>
        <w:tc>
          <w:tcPr>
            <w:tcW w:w="649" w:type="pct"/>
            <w:tcBorders>
              <w:left w:val="single" w:color="auto" w:sz="4" w:space="0"/>
              <w:bottom w:val="nil"/>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生态</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效益</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tc>
        <w:tc>
          <w:tcPr>
            <w:tcW w:w="545" w:type="pct"/>
            <w:vAlign w:val="center"/>
          </w:tcPr>
          <w:p>
            <w:pPr>
              <w:jc w:val="center"/>
              <w:rPr>
                <w:rFonts w:ascii="仿宋" w:hAnsi="仿宋" w:eastAsia="仿宋"/>
                <w:color w:val="000000"/>
                <w:sz w:val="20"/>
                <w:szCs w:val="20"/>
              </w:rPr>
            </w:pPr>
            <w:r>
              <w:rPr>
                <w:rFonts w:hint="eastAsia" w:ascii="仿宋" w:hAnsi="仿宋" w:eastAsia="仿宋"/>
                <w:color w:val="000000"/>
                <w:sz w:val="20"/>
                <w:szCs w:val="20"/>
              </w:rPr>
              <w:t>农药化肥亩平使用量</w:t>
            </w:r>
          </w:p>
        </w:tc>
        <w:tc>
          <w:tcPr>
            <w:tcW w:w="574" w:type="pct"/>
            <w:vAlign w:val="center"/>
          </w:tcPr>
          <w:p>
            <w:pPr>
              <w:jc w:val="center"/>
              <w:rPr>
                <w:rFonts w:ascii="仿宋" w:hAnsi="仿宋" w:eastAsia="仿宋"/>
                <w:color w:val="000000"/>
                <w:sz w:val="20"/>
                <w:szCs w:val="20"/>
              </w:rPr>
            </w:pPr>
            <w:r>
              <w:rPr>
                <w:rFonts w:hint="eastAsia" w:ascii="仿宋" w:hAnsi="仿宋" w:eastAsia="仿宋"/>
                <w:color w:val="000000"/>
                <w:sz w:val="20"/>
                <w:szCs w:val="20"/>
              </w:rPr>
              <w:t>较上年减少或持平</w:t>
            </w:r>
          </w:p>
        </w:tc>
        <w:tc>
          <w:tcPr>
            <w:tcW w:w="650" w:type="pct"/>
            <w:vAlign w:val="center"/>
          </w:tcPr>
          <w:p>
            <w:pPr>
              <w:jc w:val="center"/>
              <w:rPr>
                <w:rFonts w:ascii="仿宋" w:hAnsi="仿宋" w:eastAsia="仿宋"/>
                <w:color w:val="000000"/>
                <w:sz w:val="20"/>
                <w:szCs w:val="20"/>
              </w:rPr>
            </w:pPr>
            <w:r>
              <w:rPr>
                <w:rFonts w:hint="eastAsia" w:ascii="仿宋" w:hAnsi="仿宋" w:eastAsia="仿宋"/>
                <w:color w:val="000000"/>
                <w:sz w:val="20"/>
                <w:szCs w:val="20"/>
              </w:rPr>
              <w:t>较上年减少或持平</w:t>
            </w:r>
          </w:p>
        </w:tc>
        <w:tc>
          <w:tcPr>
            <w:tcW w:w="345"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p>
        </w:tc>
        <w:tc>
          <w:tcPr>
            <w:tcW w:w="420"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4</w:t>
            </w:r>
          </w:p>
        </w:tc>
        <w:tc>
          <w:tcPr>
            <w:tcW w:w="771"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4" w:type="pct"/>
            <w:vMerge w:val="continue"/>
            <w:textDirection w:val="tbRlV"/>
            <w:vAlign w:val="center"/>
          </w:tcPr>
          <w:p>
            <w:pPr>
              <w:jc w:val="center"/>
              <w:rPr>
                <w:rFonts w:asciiTheme="minorEastAsia" w:hAnsiTheme="minorEastAsia" w:eastAsiaTheme="minorEastAsia" w:cstheme="minorEastAsia"/>
                <w:szCs w:val="21"/>
              </w:rPr>
            </w:pPr>
          </w:p>
        </w:tc>
        <w:tc>
          <w:tcPr>
            <w:tcW w:w="520" w:type="pct"/>
            <w:vMerge w:val="continue"/>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p>
        </w:tc>
        <w:tc>
          <w:tcPr>
            <w:tcW w:w="649" w:type="pct"/>
            <w:tcBorders>
              <w:left w:val="single" w:color="auto" w:sz="4" w:space="0"/>
              <w:bottom w:val="nil"/>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可持续</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影响</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tc>
        <w:tc>
          <w:tcPr>
            <w:tcW w:w="545" w:type="pct"/>
            <w:vAlign w:val="center"/>
          </w:tcPr>
          <w:p>
            <w:pPr>
              <w:jc w:val="center"/>
              <w:rPr>
                <w:rFonts w:ascii="仿宋" w:hAnsi="仿宋" w:eastAsia="仿宋"/>
                <w:color w:val="000000"/>
                <w:sz w:val="20"/>
                <w:szCs w:val="20"/>
              </w:rPr>
            </w:pPr>
            <w:r>
              <w:rPr>
                <w:rFonts w:hint="eastAsia" w:ascii="仿宋" w:hAnsi="仿宋" w:eastAsia="仿宋"/>
                <w:color w:val="000000"/>
                <w:sz w:val="20"/>
                <w:szCs w:val="20"/>
              </w:rPr>
              <w:t>提升农民种粮的积极性</w:t>
            </w:r>
          </w:p>
        </w:tc>
        <w:tc>
          <w:tcPr>
            <w:tcW w:w="574" w:type="pct"/>
            <w:vAlign w:val="center"/>
          </w:tcPr>
          <w:p>
            <w:pPr>
              <w:jc w:val="center"/>
              <w:rPr>
                <w:rFonts w:ascii="仿宋" w:hAnsi="仿宋" w:eastAsia="仿宋"/>
                <w:color w:val="000000"/>
                <w:sz w:val="20"/>
                <w:szCs w:val="20"/>
              </w:rPr>
            </w:pPr>
            <w:r>
              <w:rPr>
                <w:rFonts w:hint="eastAsia" w:ascii="仿宋" w:hAnsi="仿宋" w:eastAsia="仿宋"/>
                <w:color w:val="000000"/>
                <w:sz w:val="20"/>
                <w:szCs w:val="20"/>
              </w:rPr>
              <w:t>提升</w:t>
            </w:r>
          </w:p>
        </w:tc>
        <w:tc>
          <w:tcPr>
            <w:tcW w:w="650" w:type="pct"/>
            <w:vAlign w:val="center"/>
          </w:tcPr>
          <w:p>
            <w:pPr>
              <w:jc w:val="center"/>
              <w:rPr>
                <w:rFonts w:ascii="仿宋" w:hAnsi="仿宋" w:eastAsia="仿宋"/>
                <w:color w:val="000000"/>
                <w:sz w:val="20"/>
                <w:szCs w:val="20"/>
              </w:rPr>
            </w:pPr>
            <w:r>
              <w:rPr>
                <w:rFonts w:hint="eastAsia" w:ascii="仿宋" w:hAnsi="仿宋" w:eastAsia="仿宋"/>
                <w:color w:val="000000"/>
                <w:sz w:val="20"/>
                <w:szCs w:val="20"/>
              </w:rPr>
              <w:t>提升</w:t>
            </w:r>
          </w:p>
        </w:tc>
        <w:tc>
          <w:tcPr>
            <w:tcW w:w="345"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p>
        </w:tc>
        <w:tc>
          <w:tcPr>
            <w:tcW w:w="420"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p>
        </w:tc>
        <w:tc>
          <w:tcPr>
            <w:tcW w:w="771"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4" w:type="pct"/>
            <w:vMerge w:val="continue"/>
            <w:textDirection w:val="tbRlV"/>
            <w:vAlign w:val="center"/>
          </w:tcPr>
          <w:p>
            <w:pPr>
              <w:jc w:val="center"/>
              <w:rPr>
                <w:rFonts w:asciiTheme="minorEastAsia" w:hAnsiTheme="minorEastAsia" w:eastAsiaTheme="minorEastAsia" w:cstheme="minorEastAsia"/>
                <w:szCs w:val="21"/>
              </w:rPr>
            </w:pPr>
          </w:p>
        </w:tc>
        <w:tc>
          <w:tcPr>
            <w:tcW w:w="520" w:type="pct"/>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满意度</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（10分）</w:t>
            </w:r>
          </w:p>
        </w:tc>
        <w:tc>
          <w:tcPr>
            <w:tcW w:w="649" w:type="pct"/>
            <w:tcBorders>
              <w:left w:val="single" w:color="auto" w:sz="4" w:space="0"/>
              <w:bottom w:val="nil"/>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服务对象</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满意度</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tc>
        <w:tc>
          <w:tcPr>
            <w:tcW w:w="545" w:type="pct"/>
            <w:vAlign w:val="center"/>
          </w:tcPr>
          <w:p>
            <w:pPr>
              <w:jc w:val="center"/>
              <w:rPr>
                <w:rFonts w:ascii="仿宋" w:hAnsi="仿宋" w:eastAsia="仿宋"/>
                <w:color w:val="000000"/>
                <w:sz w:val="20"/>
                <w:szCs w:val="20"/>
              </w:rPr>
            </w:pPr>
            <w:r>
              <w:rPr>
                <w:rFonts w:hint="eastAsia" w:ascii="仿宋" w:hAnsi="仿宋" w:eastAsia="仿宋"/>
                <w:color w:val="000000"/>
                <w:sz w:val="20"/>
                <w:szCs w:val="20"/>
              </w:rPr>
              <w:t>补贴对象满意度</w:t>
            </w:r>
          </w:p>
        </w:tc>
        <w:tc>
          <w:tcPr>
            <w:tcW w:w="574" w:type="pct"/>
            <w:vAlign w:val="center"/>
          </w:tcPr>
          <w:p>
            <w:pPr>
              <w:jc w:val="center"/>
              <w:rPr>
                <w:rFonts w:ascii="仿宋" w:hAnsi="仿宋" w:eastAsia="仿宋"/>
                <w:color w:val="000000"/>
                <w:sz w:val="20"/>
                <w:szCs w:val="20"/>
              </w:rPr>
            </w:pPr>
            <w:r>
              <w:rPr>
                <w:rFonts w:hint="eastAsia" w:ascii="仿宋" w:hAnsi="仿宋" w:eastAsia="仿宋" w:cs="宋体"/>
                <w:szCs w:val="21"/>
              </w:rPr>
              <w:t>≧</w:t>
            </w:r>
            <w:r>
              <w:rPr>
                <w:rFonts w:hint="eastAsia" w:ascii="仿宋" w:hAnsi="仿宋" w:eastAsia="仿宋"/>
                <w:color w:val="000000"/>
                <w:sz w:val="20"/>
                <w:szCs w:val="20"/>
              </w:rPr>
              <w:t>90%</w:t>
            </w:r>
          </w:p>
        </w:tc>
        <w:tc>
          <w:tcPr>
            <w:tcW w:w="650" w:type="pct"/>
            <w:vAlign w:val="center"/>
          </w:tcPr>
          <w:p>
            <w:pPr>
              <w:jc w:val="center"/>
              <w:rPr>
                <w:rFonts w:ascii="仿宋" w:hAnsi="仿宋" w:eastAsia="仿宋"/>
                <w:color w:val="000000"/>
                <w:sz w:val="20"/>
                <w:szCs w:val="20"/>
              </w:rPr>
            </w:pPr>
            <w:r>
              <w:rPr>
                <w:rFonts w:hint="eastAsia" w:ascii="仿宋" w:hAnsi="仿宋" w:eastAsia="仿宋" w:cs="宋体"/>
                <w:szCs w:val="21"/>
              </w:rPr>
              <w:t>≧</w:t>
            </w:r>
            <w:r>
              <w:rPr>
                <w:rFonts w:hint="eastAsia" w:ascii="仿宋" w:hAnsi="仿宋" w:eastAsia="仿宋"/>
                <w:color w:val="000000"/>
                <w:sz w:val="20"/>
                <w:szCs w:val="20"/>
              </w:rPr>
              <w:t>95%</w:t>
            </w:r>
          </w:p>
        </w:tc>
        <w:tc>
          <w:tcPr>
            <w:tcW w:w="345"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10</w:t>
            </w:r>
          </w:p>
        </w:tc>
        <w:tc>
          <w:tcPr>
            <w:tcW w:w="420" w:type="pct"/>
            <w:vAlign w:val="center"/>
          </w:tcPr>
          <w:p>
            <w:pPr>
              <w:jc w:val="center"/>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10</w:t>
            </w:r>
          </w:p>
        </w:tc>
        <w:tc>
          <w:tcPr>
            <w:tcW w:w="771"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4" w:type="pct"/>
            <w:vMerge w:val="continue"/>
            <w:textDirection w:val="tbRlV"/>
            <w:vAlign w:val="center"/>
          </w:tcPr>
          <w:p>
            <w:pPr>
              <w:jc w:val="center"/>
              <w:rPr>
                <w:rFonts w:asciiTheme="minorEastAsia" w:hAnsiTheme="minorEastAsia" w:eastAsiaTheme="minorEastAsia" w:cstheme="minorEastAsia"/>
                <w:szCs w:val="21"/>
              </w:rPr>
            </w:pPr>
          </w:p>
        </w:tc>
        <w:tc>
          <w:tcPr>
            <w:tcW w:w="520" w:type="pct"/>
            <w:vMerge w:val="restart"/>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成</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本</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标</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（20分）</w:t>
            </w:r>
          </w:p>
        </w:tc>
        <w:tc>
          <w:tcPr>
            <w:tcW w:w="649" w:type="pct"/>
            <w:tcBorders>
              <w:top w:val="single" w:color="auto" w:sz="4" w:space="0"/>
              <w:left w:val="single" w:color="auto" w:sz="4" w:space="0"/>
              <w:right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经济</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成本</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tc>
        <w:tc>
          <w:tcPr>
            <w:tcW w:w="545" w:type="pct"/>
            <w:tcBorders>
              <w:left w:val="single" w:color="auto" w:sz="4" w:space="0"/>
            </w:tcBorders>
            <w:vAlign w:val="center"/>
          </w:tcPr>
          <w:p>
            <w:pPr>
              <w:jc w:val="center"/>
              <w:rPr>
                <w:rFonts w:ascii="仿宋" w:hAnsi="仿宋" w:eastAsia="仿宋"/>
                <w:color w:val="000000"/>
                <w:sz w:val="20"/>
                <w:szCs w:val="20"/>
              </w:rPr>
            </w:pPr>
            <w:r>
              <w:rPr>
                <w:rFonts w:hint="eastAsia" w:ascii="仿宋" w:hAnsi="仿宋" w:eastAsia="仿宋"/>
                <w:color w:val="000000"/>
                <w:sz w:val="20"/>
                <w:szCs w:val="20"/>
              </w:rPr>
              <w:t>稻谷目标价格补贴标准（元/亩）</w:t>
            </w:r>
          </w:p>
        </w:tc>
        <w:tc>
          <w:tcPr>
            <w:tcW w:w="574" w:type="pct"/>
            <w:vAlign w:val="center"/>
          </w:tcPr>
          <w:p>
            <w:pPr>
              <w:jc w:val="center"/>
              <w:rPr>
                <w:rFonts w:ascii="仿宋" w:hAnsi="仿宋" w:eastAsia="仿宋"/>
                <w:color w:val="000000"/>
                <w:sz w:val="20"/>
                <w:szCs w:val="20"/>
              </w:rPr>
            </w:pPr>
            <w:r>
              <w:rPr>
                <w:rFonts w:hint="eastAsia" w:ascii="仿宋" w:hAnsi="仿宋" w:eastAsia="仿宋"/>
                <w:color w:val="000000"/>
                <w:sz w:val="20"/>
                <w:szCs w:val="20"/>
                <w:lang w:val="en-US" w:eastAsia="zh-CN"/>
              </w:rPr>
              <w:t>控制在范围内</w:t>
            </w:r>
            <w:r>
              <w:rPr>
                <w:rFonts w:hint="eastAsia" w:ascii="仿宋" w:hAnsi="仿宋" w:eastAsia="仿宋"/>
                <w:color w:val="000000"/>
                <w:sz w:val="20"/>
                <w:szCs w:val="20"/>
              </w:rPr>
              <w:t>　</w:t>
            </w:r>
          </w:p>
          <w:p>
            <w:pPr>
              <w:jc w:val="center"/>
              <w:rPr>
                <w:rFonts w:ascii="仿宋" w:hAnsi="仿宋" w:eastAsia="仿宋"/>
                <w:color w:val="000000"/>
                <w:sz w:val="20"/>
                <w:szCs w:val="20"/>
              </w:rPr>
            </w:pPr>
            <w:r>
              <w:rPr>
                <w:rFonts w:hint="eastAsia" w:ascii="仿宋" w:hAnsi="仿宋" w:eastAsia="仿宋"/>
                <w:color w:val="000000"/>
                <w:sz w:val="20"/>
                <w:szCs w:val="20"/>
              </w:rPr>
              <w:t>　</w:t>
            </w:r>
          </w:p>
        </w:tc>
        <w:tc>
          <w:tcPr>
            <w:tcW w:w="650" w:type="pct"/>
            <w:vAlign w:val="center"/>
          </w:tcPr>
          <w:p>
            <w:pPr>
              <w:jc w:val="center"/>
              <w:rPr>
                <w:rFonts w:ascii="仿宋" w:hAnsi="仿宋" w:eastAsia="仿宋"/>
                <w:color w:val="000000"/>
                <w:sz w:val="20"/>
                <w:szCs w:val="20"/>
              </w:rPr>
            </w:pPr>
            <w:r>
              <w:rPr>
                <w:rFonts w:hint="eastAsia" w:ascii="仿宋" w:hAnsi="仿宋" w:eastAsia="仿宋"/>
                <w:color w:val="000000"/>
                <w:sz w:val="20"/>
                <w:szCs w:val="20"/>
              </w:rPr>
              <w:t>23.5元/亩</w:t>
            </w:r>
          </w:p>
          <w:p>
            <w:pPr>
              <w:jc w:val="center"/>
              <w:rPr>
                <w:rFonts w:ascii="仿宋" w:hAnsi="仿宋" w:eastAsia="仿宋"/>
                <w:color w:val="000000"/>
                <w:sz w:val="20"/>
                <w:szCs w:val="20"/>
              </w:rPr>
            </w:pPr>
          </w:p>
        </w:tc>
        <w:tc>
          <w:tcPr>
            <w:tcW w:w="345"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20</w:t>
            </w:r>
          </w:p>
        </w:tc>
        <w:tc>
          <w:tcPr>
            <w:tcW w:w="420"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20</w:t>
            </w:r>
          </w:p>
        </w:tc>
        <w:tc>
          <w:tcPr>
            <w:tcW w:w="771"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4" w:type="pct"/>
            <w:vMerge w:val="continue"/>
            <w:textDirection w:val="tbRlV"/>
            <w:vAlign w:val="center"/>
          </w:tcPr>
          <w:p>
            <w:pPr>
              <w:jc w:val="center"/>
              <w:rPr>
                <w:rFonts w:asciiTheme="minorEastAsia" w:hAnsiTheme="minorEastAsia" w:eastAsiaTheme="minorEastAsia" w:cstheme="minorEastAsia"/>
                <w:szCs w:val="21"/>
              </w:rPr>
            </w:pPr>
          </w:p>
        </w:tc>
        <w:tc>
          <w:tcPr>
            <w:tcW w:w="520" w:type="pct"/>
            <w:vMerge w:val="continue"/>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p>
        </w:tc>
        <w:tc>
          <w:tcPr>
            <w:tcW w:w="649" w:type="pct"/>
            <w:vMerge w:val="restart"/>
            <w:tcBorders>
              <w:top w:val="single" w:color="auto" w:sz="4" w:space="0"/>
              <w:left w:val="single" w:color="auto" w:sz="4" w:space="0"/>
              <w:right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社会</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成本</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tc>
        <w:tc>
          <w:tcPr>
            <w:tcW w:w="545" w:type="pct"/>
            <w:tcBorders>
              <w:left w:val="single" w:color="auto" w:sz="4" w:space="0"/>
            </w:tcBorders>
            <w:vAlign w:val="center"/>
          </w:tcPr>
          <w:p>
            <w:pPr>
              <w:jc w:val="center"/>
              <w:rPr>
                <w:rFonts w:asciiTheme="minorEastAsia" w:hAnsiTheme="minorEastAsia" w:eastAsiaTheme="minorEastAsia" w:cstheme="minorEastAsia"/>
                <w:szCs w:val="21"/>
              </w:rPr>
            </w:pPr>
          </w:p>
        </w:tc>
        <w:tc>
          <w:tcPr>
            <w:tcW w:w="574" w:type="pct"/>
            <w:vAlign w:val="center"/>
          </w:tcPr>
          <w:p>
            <w:pPr>
              <w:jc w:val="center"/>
              <w:rPr>
                <w:rFonts w:asciiTheme="minorEastAsia" w:hAnsiTheme="minorEastAsia" w:eastAsiaTheme="minorEastAsia" w:cstheme="minorEastAsia"/>
                <w:szCs w:val="21"/>
              </w:rPr>
            </w:pPr>
          </w:p>
        </w:tc>
        <w:tc>
          <w:tcPr>
            <w:tcW w:w="650" w:type="pct"/>
            <w:vAlign w:val="center"/>
          </w:tcPr>
          <w:p>
            <w:pPr>
              <w:jc w:val="center"/>
              <w:rPr>
                <w:rFonts w:asciiTheme="minorEastAsia" w:hAnsiTheme="minorEastAsia" w:eastAsiaTheme="minorEastAsia" w:cstheme="minorEastAsia"/>
                <w:szCs w:val="21"/>
              </w:rPr>
            </w:pPr>
          </w:p>
        </w:tc>
        <w:tc>
          <w:tcPr>
            <w:tcW w:w="345" w:type="pct"/>
            <w:vAlign w:val="center"/>
          </w:tcPr>
          <w:p>
            <w:pPr>
              <w:jc w:val="center"/>
              <w:rPr>
                <w:rFonts w:asciiTheme="minorEastAsia" w:hAnsiTheme="minorEastAsia" w:eastAsiaTheme="minorEastAsia" w:cstheme="minorEastAsia"/>
                <w:szCs w:val="21"/>
              </w:rPr>
            </w:pPr>
          </w:p>
        </w:tc>
        <w:tc>
          <w:tcPr>
            <w:tcW w:w="420" w:type="pct"/>
            <w:vAlign w:val="center"/>
          </w:tcPr>
          <w:p>
            <w:pPr>
              <w:jc w:val="center"/>
              <w:rPr>
                <w:rFonts w:asciiTheme="minorEastAsia" w:hAnsiTheme="minorEastAsia" w:eastAsiaTheme="minorEastAsia" w:cstheme="minorEastAsia"/>
                <w:szCs w:val="21"/>
              </w:rPr>
            </w:pPr>
          </w:p>
        </w:tc>
        <w:tc>
          <w:tcPr>
            <w:tcW w:w="771"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4" w:type="pct"/>
            <w:vMerge w:val="continue"/>
            <w:textDirection w:val="tbRlV"/>
            <w:vAlign w:val="center"/>
          </w:tcPr>
          <w:p>
            <w:pPr>
              <w:jc w:val="center"/>
              <w:rPr>
                <w:rFonts w:asciiTheme="minorEastAsia" w:hAnsiTheme="minorEastAsia" w:eastAsiaTheme="minorEastAsia" w:cstheme="minorEastAsia"/>
                <w:szCs w:val="21"/>
              </w:rPr>
            </w:pPr>
          </w:p>
        </w:tc>
        <w:tc>
          <w:tcPr>
            <w:tcW w:w="520" w:type="pct"/>
            <w:vMerge w:val="continue"/>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p>
        </w:tc>
        <w:tc>
          <w:tcPr>
            <w:tcW w:w="649" w:type="pct"/>
            <w:vMerge w:val="continue"/>
            <w:tcBorders>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p>
        </w:tc>
        <w:tc>
          <w:tcPr>
            <w:tcW w:w="545" w:type="pct"/>
            <w:tcBorders>
              <w:left w:val="single" w:color="auto" w:sz="4" w:space="0"/>
            </w:tcBorders>
            <w:vAlign w:val="center"/>
          </w:tcPr>
          <w:p>
            <w:pPr>
              <w:jc w:val="center"/>
              <w:rPr>
                <w:rFonts w:asciiTheme="minorEastAsia" w:hAnsiTheme="minorEastAsia" w:eastAsiaTheme="minorEastAsia" w:cstheme="minorEastAsia"/>
                <w:szCs w:val="21"/>
              </w:rPr>
            </w:pPr>
          </w:p>
        </w:tc>
        <w:tc>
          <w:tcPr>
            <w:tcW w:w="574" w:type="pct"/>
            <w:vAlign w:val="center"/>
          </w:tcPr>
          <w:p>
            <w:pPr>
              <w:jc w:val="center"/>
              <w:rPr>
                <w:rFonts w:asciiTheme="minorEastAsia" w:hAnsiTheme="minorEastAsia" w:eastAsiaTheme="minorEastAsia" w:cstheme="minorEastAsia"/>
                <w:szCs w:val="21"/>
              </w:rPr>
            </w:pPr>
          </w:p>
        </w:tc>
        <w:tc>
          <w:tcPr>
            <w:tcW w:w="650" w:type="pct"/>
            <w:vAlign w:val="center"/>
          </w:tcPr>
          <w:p>
            <w:pPr>
              <w:jc w:val="center"/>
              <w:rPr>
                <w:rFonts w:asciiTheme="minorEastAsia" w:hAnsiTheme="minorEastAsia" w:eastAsiaTheme="minorEastAsia" w:cstheme="minorEastAsia"/>
                <w:szCs w:val="21"/>
              </w:rPr>
            </w:pPr>
          </w:p>
        </w:tc>
        <w:tc>
          <w:tcPr>
            <w:tcW w:w="345" w:type="pct"/>
            <w:vAlign w:val="center"/>
          </w:tcPr>
          <w:p>
            <w:pPr>
              <w:jc w:val="center"/>
              <w:rPr>
                <w:rFonts w:asciiTheme="minorEastAsia" w:hAnsiTheme="minorEastAsia" w:eastAsiaTheme="minorEastAsia" w:cstheme="minorEastAsia"/>
                <w:szCs w:val="21"/>
              </w:rPr>
            </w:pPr>
          </w:p>
        </w:tc>
        <w:tc>
          <w:tcPr>
            <w:tcW w:w="420" w:type="pct"/>
            <w:vAlign w:val="center"/>
          </w:tcPr>
          <w:p>
            <w:pPr>
              <w:jc w:val="center"/>
              <w:rPr>
                <w:rFonts w:asciiTheme="minorEastAsia" w:hAnsiTheme="minorEastAsia" w:eastAsiaTheme="minorEastAsia" w:cstheme="minorEastAsia"/>
                <w:szCs w:val="21"/>
              </w:rPr>
            </w:pPr>
          </w:p>
        </w:tc>
        <w:tc>
          <w:tcPr>
            <w:tcW w:w="771"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4" w:type="pct"/>
            <w:vMerge w:val="continue"/>
            <w:textDirection w:val="tbRlV"/>
            <w:vAlign w:val="center"/>
          </w:tcPr>
          <w:p>
            <w:pPr>
              <w:jc w:val="center"/>
              <w:rPr>
                <w:rFonts w:asciiTheme="minorEastAsia" w:hAnsiTheme="minorEastAsia" w:eastAsiaTheme="minorEastAsia" w:cstheme="minorEastAsia"/>
                <w:szCs w:val="21"/>
              </w:rPr>
            </w:pPr>
          </w:p>
        </w:tc>
        <w:tc>
          <w:tcPr>
            <w:tcW w:w="520" w:type="pct"/>
            <w:vMerge w:val="continue"/>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p>
        </w:tc>
        <w:tc>
          <w:tcPr>
            <w:tcW w:w="649" w:type="pct"/>
            <w:vMerge w:val="restart"/>
            <w:tcBorders>
              <w:top w:val="single" w:color="auto" w:sz="4" w:space="0"/>
              <w:left w:val="single" w:color="auto" w:sz="4" w:space="0"/>
              <w:right w:val="single" w:color="auto" w:sz="4" w:space="0"/>
            </w:tcBorders>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生态</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环境</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成本</w:t>
            </w:r>
          </w:p>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指标</w:t>
            </w:r>
          </w:p>
        </w:tc>
        <w:tc>
          <w:tcPr>
            <w:tcW w:w="545" w:type="pct"/>
            <w:tcBorders>
              <w:left w:val="single" w:color="auto" w:sz="4" w:space="0"/>
            </w:tcBorders>
            <w:vAlign w:val="center"/>
          </w:tcPr>
          <w:p>
            <w:pPr>
              <w:jc w:val="center"/>
              <w:rPr>
                <w:rFonts w:asciiTheme="minorEastAsia" w:hAnsiTheme="minorEastAsia" w:eastAsiaTheme="minorEastAsia" w:cstheme="minorEastAsia"/>
                <w:szCs w:val="21"/>
              </w:rPr>
            </w:pPr>
          </w:p>
        </w:tc>
        <w:tc>
          <w:tcPr>
            <w:tcW w:w="574" w:type="pct"/>
            <w:vAlign w:val="center"/>
          </w:tcPr>
          <w:p>
            <w:pPr>
              <w:jc w:val="center"/>
              <w:rPr>
                <w:rFonts w:asciiTheme="minorEastAsia" w:hAnsiTheme="minorEastAsia" w:eastAsiaTheme="minorEastAsia" w:cstheme="minorEastAsia"/>
                <w:szCs w:val="21"/>
              </w:rPr>
            </w:pPr>
          </w:p>
        </w:tc>
        <w:tc>
          <w:tcPr>
            <w:tcW w:w="650" w:type="pct"/>
            <w:vAlign w:val="center"/>
          </w:tcPr>
          <w:p>
            <w:pPr>
              <w:jc w:val="center"/>
              <w:rPr>
                <w:rFonts w:asciiTheme="minorEastAsia" w:hAnsiTheme="minorEastAsia" w:eastAsiaTheme="minorEastAsia" w:cstheme="minorEastAsia"/>
                <w:szCs w:val="21"/>
              </w:rPr>
            </w:pPr>
          </w:p>
        </w:tc>
        <w:tc>
          <w:tcPr>
            <w:tcW w:w="345" w:type="pct"/>
            <w:vAlign w:val="center"/>
          </w:tcPr>
          <w:p>
            <w:pPr>
              <w:jc w:val="center"/>
              <w:rPr>
                <w:rFonts w:asciiTheme="minorEastAsia" w:hAnsiTheme="minorEastAsia" w:eastAsiaTheme="minorEastAsia" w:cstheme="minorEastAsia"/>
                <w:szCs w:val="21"/>
              </w:rPr>
            </w:pPr>
          </w:p>
        </w:tc>
        <w:tc>
          <w:tcPr>
            <w:tcW w:w="420" w:type="pct"/>
            <w:vAlign w:val="center"/>
          </w:tcPr>
          <w:p>
            <w:pPr>
              <w:jc w:val="center"/>
              <w:rPr>
                <w:rFonts w:asciiTheme="minorEastAsia" w:hAnsiTheme="minorEastAsia" w:eastAsiaTheme="minorEastAsia" w:cstheme="minorEastAsia"/>
                <w:szCs w:val="21"/>
              </w:rPr>
            </w:pPr>
          </w:p>
        </w:tc>
        <w:tc>
          <w:tcPr>
            <w:tcW w:w="771"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4" w:type="pct"/>
            <w:vMerge w:val="continue"/>
            <w:textDirection w:val="tbRlV"/>
            <w:vAlign w:val="center"/>
          </w:tcPr>
          <w:p>
            <w:pPr>
              <w:jc w:val="center"/>
              <w:rPr>
                <w:rFonts w:asciiTheme="minorEastAsia" w:hAnsiTheme="minorEastAsia" w:eastAsiaTheme="minorEastAsia" w:cstheme="minorEastAsia"/>
                <w:szCs w:val="21"/>
              </w:rPr>
            </w:pPr>
          </w:p>
        </w:tc>
        <w:tc>
          <w:tcPr>
            <w:tcW w:w="520" w:type="pct"/>
            <w:vMerge w:val="continue"/>
            <w:tcBorders>
              <w:top w:val="single" w:color="auto" w:sz="4" w:space="0"/>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p>
        </w:tc>
        <w:tc>
          <w:tcPr>
            <w:tcW w:w="649" w:type="pct"/>
            <w:vMerge w:val="continue"/>
            <w:tcBorders>
              <w:left w:val="single" w:color="auto" w:sz="4" w:space="0"/>
              <w:bottom w:val="single" w:color="auto" w:sz="4" w:space="0"/>
              <w:right w:val="single" w:color="auto" w:sz="4" w:space="0"/>
            </w:tcBorders>
            <w:vAlign w:val="center"/>
          </w:tcPr>
          <w:p>
            <w:pPr>
              <w:jc w:val="center"/>
              <w:rPr>
                <w:rFonts w:asciiTheme="minorEastAsia" w:hAnsiTheme="minorEastAsia" w:eastAsiaTheme="minorEastAsia" w:cstheme="minorEastAsia"/>
                <w:szCs w:val="21"/>
              </w:rPr>
            </w:pPr>
          </w:p>
        </w:tc>
        <w:tc>
          <w:tcPr>
            <w:tcW w:w="545" w:type="pct"/>
            <w:tcBorders>
              <w:left w:val="single" w:color="auto" w:sz="4" w:space="0"/>
            </w:tcBorders>
            <w:vAlign w:val="center"/>
          </w:tcPr>
          <w:p>
            <w:pPr>
              <w:jc w:val="center"/>
              <w:rPr>
                <w:rFonts w:asciiTheme="minorEastAsia" w:hAnsiTheme="minorEastAsia" w:eastAsiaTheme="minorEastAsia" w:cstheme="minorEastAsia"/>
                <w:szCs w:val="21"/>
              </w:rPr>
            </w:pPr>
          </w:p>
        </w:tc>
        <w:tc>
          <w:tcPr>
            <w:tcW w:w="574" w:type="pct"/>
            <w:vAlign w:val="center"/>
          </w:tcPr>
          <w:p>
            <w:pPr>
              <w:jc w:val="center"/>
              <w:rPr>
                <w:rFonts w:asciiTheme="minorEastAsia" w:hAnsiTheme="minorEastAsia" w:eastAsiaTheme="minorEastAsia" w:cstheme="minorEastAsia"/>
                <w:szCs w:val="21"/>
              </w:rPr>
            </w:pPr>
          </w:p>
        </w:tc>
        <w:tc>
          <w:tcPr>
            <w:tcW w:w="650" w:type="pct"/>
            <w:vAlign w:val="center"/>
          </w:tcPr>
          <w:p>
            <w:pPr>
              <w:jc w:val="center"/>
              <w:rPr>
                <w:rFonts w:asciiTheme="minorEastAsia" w:hAnsiTheme="minorEastAsia" w:eastAsiaTheme="minorEastAsia" w:cstheme="minorEastAsia"/>
                <w:szCs w:val="21"/>
              </w:rPr>
            </w:pPr>
          </w:p>
        </w:tc>
        <w:tc>
          <w:tcPr>
            <w:tcW w:w="345" w:type="pct"/>
            <w:vAlign w:val="center"/>
          </w:tcPr>
          <w:p>
            <w:pPr>
              <w:jc w:val="center"/>
              <w:rPr>
                <w:rFonts w:asciiTheme="minorEastAsia" w:hAnsiTheme="minorEastAsia" w:eastAsiaTheme="minorEastAsia" w:cstheme="minorEastAsia"/>
                <w:szCs w:val="21"/>
              </w:rPr>
            </w:pPr>
          </w:p>
        </w:tc>
        <w:tc>
          <w:tcPr>
            <w:tcW w:w="420" w:type="pct"/>
            <w:vAlign w:val="center"/>
          </w:tcPr>
          <w:p>
            <w:pPr>
              <w:jc w:val="center"/>
              <w:rPr>
                <w:rFonts w:asciiTheme="minorEastAsia" w:hAnsiTheme="minorEastAsia" w:eastAsiaTheme="minorEastAsia" w:cstheme="minorEastAsia"/>
                <w:szCs w:val="21"/>
              </w:rPr>
            </w:pPr>
          </w:p>
        </w:tc>
        <w:tc>
          <w:tcPr>
            <w:tcW w:w="771" w:type="pct"/>
            <w:vAlign w:val="center"/>
          </w:tcPr>
          <w:p>
            <w:pPr>
              <w:jc w:val="center"/>
              <w:rPr>
                <w:rFonts w:asciiTheme="minorEastAsia" w:hAnsiTheme="minorEastAsia" w:eastAsiaTheme="minorEastAsia" w:cstheme="minorEastAsia"/>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3463" w:type="pct"/>
            <w:gridSpan w:val="6"/>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总分</w:t>
            </w:r>
          </w:p>
        </w:tc>
        <w:tc>
          <w:tcPr>
            <w:tcW w:w="345" w:type="pct"/>
            <w:vAlign w:val="center"/>
          </w:tcPr>
          <w:p>
            <w:pPr>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100</w:t>
            </w:r>
          </w:p>
        </w:tc>
        <w:tc>
          <w:tcPr>
            <w:tcW w:w="420" w:type="pct"/>
            <w:vAlign w:val="center"/>
          </w:tcPr>
          <w:p>
            <w:pPr>
              <w:jc w:val="center"/>
              <w:rPr>
                <w:rFonts w:hint="default"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szCs w:val="21"/>
                <w:lang w:val="en-US" w:eastAsia="zh-CN"/>
              </w:rPr>
              <w:t>95.5</w:t>
            </w:r>
          </w:p>
        </w:tc>
        <w:tc>
          <w:tcPr>
            <w:tcW w:w="771" w:type="pct"/>
            <w:vAlign w:val="center"/>
          </w:tcPr>
          <w:p>
            <w:pPr>
              <w:jc w:val="center"/>
              <w:rPr>
                <w:rFonts w:asciiTheme="minorEastAsia" w:hAnsiTheme="minorEastAsia" w:eastAsiaTheme="minorEastAsia" w:cstheme="minorEastAsia"/>
                <w:szCs w:val="21"/>
              </w:rPr>
            </w:pPr>
          </w:p>
        </w:tc>
      </w:tr>
    </w:tbl>
    <w:p>
      <w:r>
        <w:rPr>
          <w:rFonts w:hint="eastAsia"/>
        </w:rPr>
        <w:t>备注：每个一级项目支出一张表。如，业务工作经费，运行维护经费，其他事业发展类资金各一张表。</w:t>
      </w:r>
    </w:p>
    <w:p/>
    <w:p>
      <w:r>
        <w:rPr>
          <w:rFonts w:hint="eastAsia"/>
        </w:rPr>
        <w:t>填表人：        填报日期：            联系电话：      单位负责人签字：</w:t>
      </w:r>
    </w:p>
    <w:p>
      <w:pPr>
        <w:rPr>
          <w:sz w:val="22"/>
          <w:szCs w:val="22"/>
        </w:rPr>
      </w:pPr>
      <w:r>
        <w:rPr>
          <w:sz w:val="22"/>
          <w:szCs w:val="22"/>
        </w:rPr>
        <w:br w:type="page"/>
      </w:r>
    </w:p>
    <w:p>
      <w:pPr>
        <w:pStyle w:val="9"/>
        <w:sectPr>
          <w:footerReference r:id="rId9" w:type="default"/>
          <w:pgSz w:w="11905" w:h="16838"/>
          <w:pgMar w:top="1984" w:right="1701" w:bottom="1984" w:left="1701" w:header="850" w:footer="1587" w:gutter="0"/>
          <w:pgNumType w:fmt="numberInDash"/>
          <w:cols w:space="0" w:num="1"/>
          <w:docGrid w:type="lines" w:linePitch="314" w:charSpace="0"/>
        </w:sectPr>
      </w:pPr>
    </w:p>
    <w:p>
      <w:pPr>
        <w:spacing w:before="181" w:line="171" w:lineRule="auto"/>
        <w:rPr>
          <w:rFonts w:ascii="仿宋_GB2312" w:hAnsi="仿宋_GB2312" w:eastAsia="仿宋_GB2312" w:cs="仿宋_GB2312"/>
          <w:sz w:val="32"/>
          <w:szCs w:val="32"/>
        </w:rPr>
      </w:pPr>
      <w:r>
        <w:rPr>
          <w:rFonts w:hint="eastAsia" w:ascii="仿宋_GB2312" w:hAnsi="仿宋_GB2312" w:eastAsia="仿宋_GB2312" w:cs="仿宋_GB2312"/>
          <w:sz w:val="32"/>
          <w:szCs w:val="32"/>
        </w:rPr>
        <w:t>附表7</w:t>
      </w:r>
    </w:p>
    <w:p>
      <w:pPr>
        <w:spacing w:line="560" w:lineRule="exact"/>
        <w:jc w:val="center"/>
        <w:rPr>
          <w:rFonts w:eastAsia="方正小标宋_GBK"/>
          <w:sz w:val="36"/>
          <w:szCs w:val="36"/>
        </w:rPr>
      </w:pPr>
      <w:r>
        <w:rPr>
          <w:rFonts w:eastAsia="方正小标宋_GBK"/>
          <w:sz w:val="36"/>
          <w:szCs w:val="36"/>
        </w:rPr>
        <w:t>绩效评价结果征求意见的反馈函</w:t>
      </w:r>
    </w:p>
    <w:p>
      <w:pPr>
        <w:spacing w:line="560" w:lineRule="exact"/>
        <w:jc w:val="center"/>
        <w:rPr>
          <w:rFonts w:ascii="楷体" w:hAnsi="楷体" w:eastAsia="楷体" w:cs="楷体"/>
          <w:sz w:val="24"/>
        </w:rPr>
      </w:pPr>
      <w:r>
        <w:rPr>
          <w:rFonts w:hint="eastAsia" w:ascii="楷体" w:hAnsi="楷体" w:eastAsia="楷体" w:cs="楷体"/>
          <w:sz w:val="24"/>
        </w:rPr>
        <w:t>（重点绩效评价项目用）</w:t>
      </w:r>
    </w:p>
    <w:p>
      <w:pPr>
        <w:spacing w:line="560" w:lineRule="exact"/>
        <w:rPr>
          <w:rFonts w:eastAsia="仿宋_GB2312"/>
          <w:sz w:val="28"/>
          <w:szCs w:val="28"/>
        </w:rPr>
      </w:pPr>
      <w:r>
        <w:rPr>
          <w:rFonts w:eastAsia="仿宋_GB2312"/>
          <w:sz w:val="28"/>
          <w:szCs w:val="28"/>
          <w:u w:val="single"/>
        </w:rPr>
        <w:t xml:space="preserve">    </w:t>
      </w:r>
      <w:r>
        <w:rPr>
          <w:rFonts w:hint="eastAsia" w:eastAsia="仿宋_GB2312"/>
          <w:sz w:val="28"/>
          <w:szCs w:val="28"/>
          <w:u w:val="single"/>
        </w:rPr>
        <w:t xml:space="preserve">    </w:t>
      </w:r>
      <w:r>
        <w:rPr>
          <w:rFonts w:eastAsia="仿宋_GB2312"/>
          <w:sz w:val="28"/>
          <w:szCs w:val="28"/>
          <w:u w:val="single"/>
        </w:rPr>
        <w:t xml:space="preserve">    </w:t>
      </w:r>
      <w:r>
        <w:rPr>
          <w:rFonts w:hint="eastAsia" w:eastAsia="仿宋_GB2312"/>
          <w:sz w:val="28"/>
          <w:szCs w:val="28"/>
          <w:u w:val="single"/>
        </w:rPr>
        <w:t xml:space="preserve">   </w:t>
      </w:r>
      <w:r>
        <w:rPr>
          <w:rFonts w:eastAsia="仿宋_GB2312"/>
          <w:sz w:val="28"/>
          <w:szCs w:val="28"/>
          <w:u w:val="single"/>
        </w:rPr>
        <w:t xml:space="preserve">   </w:t>
      </w:r>
      <w:r>
        <w:rPr>
          <w:rFonts w:eastAsia="仿宋_GB2312"/>
          <w:sz w:val="28"/>
          <w:szCs w:val="28"/>
        </w:rPr>
        <w:t>：</w:t>
      </w:r>
    </w:p>
    <w:p>
      <w:pPr>
        <w:spacing w:line="560" w:lineRule="exact"/>
        <w:ind w:firstLine="640" w:firstLineChars="200"/>
        <w:rPr>
          <w:rFonts w:eastAsia="仿宋_GB2312"/>
          <w:sz w:val="32"/>
          <w:szCs w:val="32"/>
        </w:rPr>
      </w:pPr>
      <w:r>
        <w:rPr>
          <w:rFonts w:eastAsia="仿宋_GB2312"/>
          <w:sz w:val="32"/>
          <w:szCs w:val="32"/>
        </w:rPr>
        <w:t>按照相关规定和绩效评价要求，根据贵单位的绩效自评报告和绩效评价工作组的现场评价情况，形成绩效评价报告。现将《×××绩效评价报告》反馈贵单位，请于    年     月   日前提出书面意见或说明，逾期未复，视为无异议。</w:t>
      </w:r>
    </w:p>
    <w:tbl>
      <w:tblPr>
        <w:tblStyle w:val="12"/>
        <w:tblW w:w="89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jc w:val="center"/>
        </w:trPr>
        <w:tc>
          <w:tcPr>
            <w:tcW w:w="8920" w:type="dxa"/>
            <w:vAlign w:val="center"/>
          </w:tcPr>
          <w:p>
            <w:pPr>
              <w:keepNext w:val="0"/>
              <w:keepLines w:val="0"/>
              <w:suppressLineNumbers w:val="0"/>
              <w:spacing w:before="0" w:beforeAutospacing="0" w:after="0" w:afterAutospacing="0" w:line="560" w:lineRule="exact"/>
              <w:ind w:left="0" w:right="0" w:firstLine="560"/>
              <w:jc w:val="center"/>
              <w:rPr>
                <w:rFonts w:hint="default" w:eastAsia="黑体"/>
                <w:sz w:val="28"/>
                <w:szCs w:val="28"/>
              </w:rPr>
            </w:pPr>
            <w:r>
              <w:rPr>
                <w:rFonts w:hint="default" w:eastAsia="楷体_GB2312"/>
                <w:sz w:val="28"/>
                <w:szCs w:val="28"/>
              </w:rPr>
              <w:t>项目实施单位意见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3" w:hRule="atLeast"/>
          <w:jc w:val="center"/>
        </w:trPr>
        <w:tc>
          <w:tcPr>
            <w:tcW w:w="8920" w:type="dxa"/>
          </w:tcPr>
          <w:p>
            <w:pPr>
              <w:keepNext w:val="0"/>
              <w:keepLines w:val="0"/>
              <w:suppressLineNumbers w:val="0"/>
              <w:spacing w:before="0" w:beforeAutospacing="0" w:after="0" w:afterAutospacing="0" w:line="560" w:lineRule="exact"/>
              <w:ind w:left="0" w:right="0" w:firstLine="140" w:firstLineChars="50"/>
              <w:rPr>
                <w:rFonts w:hint="default" w:eastAsia="黑体"/>
                <w:sz w:val="28"/>
                <w:szCs w:val="28"/>
              </w:rPr>
            </w:pPr>
            <w:r>
              <w:rPr>
                <w:rFonts w:hint="default" w:eastAsia="黑体"/>
                <w:sz w:val="28"/>
                <w:szCs w:val="28"/>
              </w:rPr>
              <w:t>一、对报告中“评价结论”的意见</w:t>
            </w:r>
          </w:p>
          <w:p>
            <w:pPr>
              <w:keepNext w:val="0"/>
              <w:keepLines w:val="0"/>
              <w:suppressLineNumbers w:val="0"/>
              <w:spacing w:before="0" w:beforeAutospacing="0" w:after="0" w:afterAutospacing="0" w:line="560" w:lineRule="exact"/>
              <w:ind w:left="0" w:right="0" w:firstLine="560"/>
              <w:rPr>
                <w:rFonts w:hint="default"/>
                <w:sz w:val="28"/>
                <w:szCs w:val="28"/>
              </w:rPr>
            </w:pPr>
          </w:p>
          <w:p>
            <w:pPr>
              <w:keepNext w:val="0"/>
              <w:keepLines w:val="0"/>
              <w:suppressLineNumbers w:val="0"/>
              <w:spacing w:before="0" w:beforeAutospacing="0" w:after="0" w:afterAutospacing="0" w:line="560" w:lineRule="exact"/>
              <w:ind w:left="0" w:right="0" w:firstLine="560"/>
              <w:rPr>
                <w:rFonts w:hint="default"/>
                <w:sz w:val="28"/>
                <w:szCs w:val="28"/>
              </w:rPr>
            </w:pPr>
          </w:p>
          <w:p>
            <w:pPr>
              <w:keepNext w:val="0"/>
              <w:keepLines w:val="0"/>
              <w:suppressLineNumbers w:val="0"/>
              <w:spacing w:before="0" w:beforeAutospacing="0" w:after="0" w:afterAutospacing="0" w:line="560" w:lineRule="exact"/>
              <w:ind w:left="0" w:right="0" w:firstLine="140" w:firstLineChars="50"/>
              <w:rPr>
                <w:rFonts w:hint="default" w:eastAsia="黑体"/>
                <w:sz w:val="28"/>
                <w:szCs w:val="28"/>
              </w:rPr>
            </w:pPr>
            <w:r>
              <w:rPr>
                <w:rFonts w:hint="default" w:eastAsia="黑体"/>
                <w:sz w:val="28"/>
                <w:szCs w:val="28"/>
              </w:rPr>
              <w:t>二、对报告中“问题”和“建议”的意见</w:t>
            </w:r>
          </w:p>
          <w:p>
            <w:pPr>
              <w:keepNext w:val="0"/>
              <w:keepLines w:val="0"/>
              <w:suppressLineNumbers w:val="0"/>
              <w:spacing w:before="0" w:beforeAutospacing="0" w:after="0" w:afterAutospacing="0" w:line="560" w:lineRule="exact"/>
              <w:ind w:left="0" w:right="0" w:firstLine="560"/>
              <w:rPr>
                <w:rFonts w:hint="default"/>
                <w:sz w:val="28"/>
                <w:szCs w:val="28"/>
              </w:rPr>
            </w:pPr>
          </w:p>
          <w:p>
            <w:pPr>
              <w:keepNext w:val="0"/>
              <w:keepLines w:val="0"/>
              <w:suppressLineNumbers w:val="0"/>
              <w:spacing w:before="0" w:beforeAutospacing="0" w:after="0" w:afterAutospacing="0" w:line="560" w:lineRule="exact"/>
              <w:ind w:left="0" w:right="0" w:firstLine="560"/>
              <w:rPr>
                <w:rFonts w:hint="default"/>
                <w:sz w:val="28"/>
                <w:szCs w:val="28"/>
              </w:rPr>
            </w:pPr>
          </w:p>
          <w:p>
            <w:pPr>
              <w:keepNext w:val="0"/>
              <w:keepLines w:val="0"/>
              <w:suppressLineNumbers w:val="0"/>
              <w:spacing w:before="0" w:beforeAutospacing="0" w:after="0" w:afterAutospacing="0" w:line="560" w:lineRule="exact"/>
              <w:ind w:left="0" w:right="0" w:firstLine="560"/>
              <w:rPr>
                <w:rFonts w:hint="default"/>
                <w:sz w:val="28"/>
                <w:szCs w:val="28"/>
              </w:rPr>
            </w:pPr>
          </w:p>
          <w:p>
            <w:pPr>
              <w:keepNext w:val="0"/>
              <w:keepLines w:val="0"/>
              <w:suppressLineNumbers w:val="0"/>
              <w:spacing w:before="0" w:beforeAutospacing="0" w:after="0" w:afterAutospacing="0" w:line="560" w:lineRule="exact"/>
              <w:ind w:left="0" w:right="0" w:firstLine="140" w:firstLineChars="50"/>
              <w:rPr>
                <w:rFonts w:hint="default" w:eastAsia="黑体"/>
                <w:sz w:val="28"/>
                <w:szCs w:val="28"/>
              </w:rPr>
            </w:pPr>
            <w:r>
              <w:rPr>
                <w:rFonts w:hint="default" w:eastAsia="黑体"/>
                <w:sz w:val="28"/>
                <w:szCs w:val="28"/>
              </w:rPr>
              <w:t>三、</w:t>
            </w:r>
            <w:r>
              <w:rPr>
                <w:rFonts w:hint="eastAsia" w:eastAsia="黑体"/>
                <w:sz w:val="28"/>
                <w:szCs w:val="28"/>
              </w:rPr>
              <w:t>其他意见</w:t>
            </w:r>
            <w:r>
              <w:rPr>
                <w:rFonts w:hint="default" w:eastAsia="黑体"/>
                <w:sz w:val="28"/>
                <w:szCs w:val="28"/>
              </w:rPr>
              <w:t>或建议</w:t>
            </w:r>
          </w:p>
          <w:p>
            <w:pPr>
              <w:keepNext w:val="0"/>
              <w:keepLines w:val="0"/>
              <w:suppressLineNumbers w:val="0"/>
              <w:wordWrap w:val="0"/>
              <w:spacing w:before="0" w:beforeAutospacing="0" w:after="0" w:afterAutospacing="0" w:line="560" w:lineRule="exact"/>
              <w:ind w:left="0" w:right="1280"/>
              <w:jc w:val="right"/>
              <w:rPr>
                <w:rFonts w:hint="default" w:eastAsia="仿宋_GB2312"/>
                <w:sz w:val="28"/>
                <w:szCs w:val="28"/>
              </w:rPr>
            </w:pPr>
          </w:p>
          <w:p>
            <w:pPr>
              <w:pStyle w:val="9"/>
              <w:keepNext w:val="0"/>
              <w:keepLines w:val="0"/>
              <w:suppressLineNumbers w:val="0"/>
              <w:spacing w:before="0" w:beforeAutospacing="0" w:after="0" w:afterAutospacing="0"/>
              <w:ind w:left="0" w:right="0"/>
              <w:rPr>
                <w:rFonts w:hint="default" w:eastAsia="仿宋_GB2312"/>
                <w:sz w:val="28"/>
                <w:szCs w:val="28"/>
              </w:rPr>
            </w:pPr>
          </w:p>
          <w:p>
            <w:pPr>
              <w:keepNext w:val="0"/>
              <w:keepLines w:val="0"/>
              <w:suppressLineNumbers w:val="0"/>
              <w:spacing w:before="0" w:beforeAutospacing="0" w:after="0" w:afterAutospacing="0"/>
              <w:ind w:left="0" w:right="0"/>
              <w:rPr>
                <w:rFonts w:hint="default" w:eastAsia="仿宋_GB2312"/>
                <w:sz w:val="28"/>
                <w:szCs w:val="28"/>
              </w:rPr>
            </w:pPr>
          </w:p>
          <w:p>
            <w:pPr>
              <w:pStyle w:val="9"/>
              <w:keepNext w:val="0"/>
              <w:keepLines w:val="0"/>
              <w:suppressLineNumbers w:val="0"/>
              <w:spacing w:before="0" w:beforeAutospacing="0" w:after="0" w:afterAutospacing="0"/>
              <w:ind w:left="0" w:right="0"/>
              <w:rPr>
                <w:rFonts w:hint="default"/>
              </w:rPr>
            </w:pPr>
          </w:p>
          <w:p>
            <w:pPr>
              <w:keepNext w:val="0"/>
              <w:keepLines w:val="0"/>
              <w:suppressLineNumbers w:val="0"/>
              <w:wordWrap w:val="0"/>
              <w:spacing w:before="0" w:beforeAutospacing="0" w:after="0" w:afterAutospacing="0" w:line="560" w:lineRule="exact"/>
              <w:ind w:left="0" w:right="1280"/>
              <w:jc w:val="right"/>
              <w:rPr>
                <w:rFonts w:hint="default" w:eastAsia="仿宋_GB2312"/>
                <w:sz w:val="28"/>
                <w:szCs w:val="28"/>
              </w:rPr>
            </w:pPr>
            <w:r>
              <w:rPr>
                <w:rFonts w:hint="eastAsia" w:eastAsia="仿宋_GB2312"/>
                <w:sz w:val="28"/>
                <w:szCs w:val="28"/>
              </w:rPr>
              <w:t>单</w:t>
            </w:r>
            <w:r>
              <w:rPr>
                <w:rFonts w:hint="default" w:eastAsia="仿宋_GB2312"/>
                <w:sz w:val="28"/>
                <w:szCs w:val="28"/>
              </w:rPr>
              <w:t>位（盖章）</w:t>
            </w:r>
          </w:p>
          <w:p>
            <w:pPr>
              <w:keepNext w:val="0"/>
              <w:keepLines w:val="0"/>
              <w:suppressLineNumbers w:val="0"/>
              <w:wordWrap w:val="0"/>
              <w:spacing w:before="0" w:beforeAutospacing="0" w:after="0" w:afterAutospacing="0" w:line="560" w:lineRule="exact"/>
              <w:ind w:left="0" w:right="1280"/>
              <w:jc w:val="right"/>
              <w:rPr>
                <w:rFonts w:hint="default"/>
                <w:sz w:val="28"/>
                <w:szCs w:val="28"/>
              </w:rPr>
            </w:pPr>
            <w:r>
              <w:rPr>
                <w:rFonts w:hint="default" w:eastAsia="仿宋_GB2312"/>
                <w:sz w:val="28"/>
                <w:szCs w:val="28"/>
              </w:rPr>
              <w:t>年   月   日</w:t>
            </w:r>
          </w:p>
        </w:tc>
      </w:tr>
    </w:tbl>
    <w:p>
      <w:pPr>
        <w:spacing w:line="20" w:lineRule="exact"/>
        <w:rPr>
          <w:rFonts w:ascii="黑体" w:hAnsi="宋体" w:eastAsia="黑体" w:cs="黑体"/>
          <w:color w:val="000000"/>
          <w:kern w:val="0"/>
          <w:sz w:val="32"/>
          <w:szCs w:val="32"/>
        </w:rPr>
      </w:pPr>
      <w:r>
        <w:rPr>
          <w:rFonts w:hint="eastAsia" w:ascii="黑体" w:hAnsi="宋体" w:eastAsia="黑体" w:cs="黑体"/>
          <w:color w:val="000000"/>
          <w:kern w:val="0"/>
          <w:sz w:val="32"/>
          <w:szCs w:val="32"/>
        </w:rPr>
        <w:br w:type="page"/>
      </w:r>
    </w:p>
    <w:p>
      <w:pPr>
        <w:spacing w:before="181" w:line="171" w:lineRule="auto"/>
        <w:rPr>
          <w:rFonts w:ascii="仿宋_GB2312" w:hAnsi="仿宋_GB2312" w:eastAsia="仿宋_GB2312" w:cs="仿宋_GB2312"/>
          <w:sz w:val="32"/>
          <w:szCs w:val="32"/>
        </w:rPr>
      </w:pPr>
      <w:r>
        <w:rPr>
          <w:rFonts w:hint="eastAsia" w:ascii="仿宋_GB2312" w:hAnsi="仿宋_GB2312" w:eastAsia="仿宋_GB2312" w:cs="仿宋_GB2312"/>
          <w:sz w:val="32"/>
          <w:szCs w:val="32"/>
        </w:rPr>
        <w:t>附表8</w:t>
      </w:r>
    </w:p>
    <w:p>
      <w:pPr>
        <w:spacing w:line="560" w:lineRule="exact"/>
        <w:jc w:val="center"/>
        <w:rPr>
          <w:rFonts w:eastAsia="方正小标宋_GBK"/>
          <w:sz w:val="36"/>
          <w:szCs w:val="36"/>
        </w:rPr>
      </w:pPr>
      <w:r>
        <w:rPr>
          <w:rFonts w:eastAsia="方正小标宋_GBK"/>
          <w:sz w:val="36"/>
          <w:szCs w:val="36"/>
        </w:rPr>
        <w:t>绩效评价结果整改报告书</w:t>
      </w:r>
    </w:p>
    <w:p>
      <w:pPr>
        <w:spacing w:line="560" w:lineRule="exact"/>
        <w:jc w:val="center"/>
        <w:rPr>
          <w:sz w:val="28"/>
          <w:szCs w:val="28"/>
        </w:rPr>
      </w:pPr>
      <w:r>
        <w:rPr>
          <w:rFonts w:eastAsia="楷体_GB2312"/>
          <w:sz w:val="32"/>
          <w:szCs w:val="32"/>
        </w:rPr>
        <w:t>（参考格式）</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27"/>
        <w:gridCol w:w="67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1827" w:type="dxa"/>
            <w:vAlign w:val="center"/>
          </w:tcPr>
          <w:p>
            <w:pPr>
              <w:keepNext w:val="0"/>
              <w:keepLines w:val="0"/>
              <w:suppressLineNumbers w:val="0"/>
              <w:spacing w:before="0" w:beforeAutospacing="0" w:after="0" w:afterAutospacing="0" w:line="560" w:lineRule="exact"/>
              <w:ind w:left="0" w:right="0"/>
              <w:jc w:val="center"/>
              <w:rPr>
                <w:rFonts w:hint="default" w:ascii="黑体" w:hAnsi="黑体" w:eastAsia="黑体"/>
                <w:sz w:val="24"/>
              </w:rPr>
            </w:pPr>
            <w:r>
              <w:rPr>
                <w:rFonts w:hint="default" w:ascii="黑体" w:hAnsi="黑体" w:eastAsia="黑体"/>
                <w:sz w:val="24"/>
              </w:rPr>
              <w:t>预算支出名称</w:t>
            </w:r>
          </w:p>
        </w:tc>
        <w:tc>
          <w:tcPr>
            <w:tcW w:w="6773" w:type="dxa"/>
          </w:tcPr>
          <w:p>
            <w:pPr>
              <w:keepNext w:val="0"/>
              <w:keepLines w:val="0"/>
              <w:suppressLineNumbers w:val="0"/>
              <w:spacing w:before="0" w:beforeAutospacing="0" w:after="0" w:afterAutospacing="0" w:line="560" w:lineRule="exact"/>
              <w:ind w:left="0" w:right="0" w:firstLine="560"/>
              <w:rPr>
                <w:rFonts w:hint="default"/>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1827" w:type="dxa"/>
            <w:vAlign w:val="center"/>
          </w:tcPr>
          <w:p>
            <w:pPr>
              <w:keepNext w:val="0"/>
              <w:keepLines w:val="0"/>
              <w:suppressLineNumbers w:val="0"/>
              <w:spacing w:before="0" w:beforeAutospacing="0" w:after="0" w:afterAutospacing="0" w:line="560" w:lineRule="exact"/>
              <w:ind w:left="0" w:right="0"/>
              <w:jc w:val="center"/>
              <w:rPr>
                <w:rFonts w:hint="default" w:ascii="黑体" w:hAnsi="黑体" w:eastAsia="黑体"/>
                <w:sz w:val="24"/>
              </w:rPr>
            </w:pPr>
            <w:r>
              <w:rPr>
                <w:rFonts w:hint="default" w:ascii="黑体" w:hAnsi="黑体" w:eastAsia="黑体"/>
                <w:sz w:val="24"/>
              </w:rPr>
              <w:t>评价内容</w:t>
            </w:r>
          </w:p>
        </w:tc>
        <w:tc>
          <w:tcPr>
            <w:tcW w:w="6773" w:type="dxa"/>
          </w:tcPr>
          <w:p>
            <w:pPr>
              <w:keepNext w:val="0"/>
              <w:keepLines w:val="0"/>
              <w:suppressLineNumbers w:val="0"/>
              <w:spacing w:before="0" w:beforeAutospacing="0" w:after="0" w:afterAutospacing="0" w:line="560" w:lineRule="exact"/>
              <w:ind w:left="0" w:right="0" w:firstLine="560"/>
              <w:rPr>
                <w:rFonts w:hint="default"/>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1827" w:type="dxa"/>
            <w:vAlign w:val="center"/>
          </w:tcPr>
          <w:p>
            <w:pPr>
              <w:keepNext w:val="0"/>
              <w:keepLines w:val="0"/>
              <w:suppressLineNumbers w:val="0"/>
              <w:spacing w:before="0" w:beforeAutospacing="0" w:after="0" w:afterAutospacing="0" w:line="560" w:lineRule="exact"/>
              <w:ind w:left="0" w:right="0"/>
              <w:jc w:val="center"/>
              <w:rPr>
                <w:rFonts w:hint="default" w:ascii="黑体" w:hAnsi="黑体" w:eastAsia="黑体"/>
                <w:sz w:val="24"/>
              </w:rPr>
            </w:pPr>
            <w:r>
              <w:rPr>
                <w:rFonts w:hint="default" w:ascii="黑体" w:hAnsi="黑体" w:eastAsia="黑体"/>
                <w:sz w:val="24"/>
              </w:rPr>
              <w:t>联系人及电话</w:t>
            </w:r>
          </w:p>
        </w:tc>
        <w:tc>
          <w:tcPr>
            <w:tcW w:w="6773" w:type="dxa"/>
          </w:tcPr>
          <w:p>
            <w:pPr>
              <w:keepNext w:val="0"/>
              <w:keepLines w:val="0"/>
              <w:suppressLineNumbers w:val="0"/>
              <w:spacing w:before="0" w:beforeAutospacing="0" w:after="0" w:afterAutospacing="0" w:line="560" w:lineRule="exact"/>
              <w:ind w:left="0" w:right="0" w:firstLine="560"/>
              <w:rPr>
                <w:rFonts w:hint="default"/>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9" w:hRule="atLeast"/>
          <w:jc w:val="center"/>
        </w:trPr>
        <w:tc>
          <w:tcPr>
            <w:tcW w:w="8600" w:type="dxa"/>
            <w:gridSpan w:val="2"/>
          </w:tcPr>
          <w:p>
            <w:pPr>
              <w:keepNext w:val="0"/>
              <w:keepLines w:val="0"/>
              <w:suppressLineNumbers w:val="0"/>
              <w:spacing w:before="0" w:beforeAutospacing="0" w:after="0" w:afterAutospacing="0" w:line="560" w:lineRule="exact"/>
              <w:ind w:left="0" w:right="-27" w:rightChars="-13"/>
              <w:jc w:val="center"/>
              <w:rPr>
                <w:rFonts w:hint="default"/>
                <w:sz w:val="24"/>
              </w:rPr>
            </w:pPr>
            <w:r>
              <w:rPr>
                <w:rFonts w:hint="default"/>
                <w:sz w:val="32"/>
                <w:szCs w:val="32"/>
              </w:rPr>
              <w:t>整改情况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0" w:hRule="atLeast"/>
          <w:jc w:val="center"/>
        </w:trPr>
        <w:tc>
          <w:tcPr>
            <w:tcW w:w="1827" w:type="dxa"/>
            <w:vAlign w:val="center"/>
          </w:tcPr>
          <w:p>
            <w:pPr>
              <w:keepNext w:val="0"/>
              <w:keepLines w:val="0"/>
              <w:suppressLineNumbers w:val="0"/>
              <w:spacing w:before="0" w:beforeAutospacing="0" w:after="0" w:afterAutospacing="0" w:line="560" w:lineRule="exact"/>
              <w:ind w:left="0" w:right="-27" w:rightChars="-13"/>
              <w:jc w:val="center"/>
              <w:rPr>
                <w:rFonts w:hint="default"/>
                <w:sz w:val="24"/>
              </w:rPr>
            </w:pPr>
            <w:r>
              <w:rPr>
                <w:rFonts w:hint="eastAsia"/>
                <w:sz w:val="24"/>
              </w:rPr>
              <w:t>单位意见</w:t>
            </w:r>
          </w:p>
        </w:tc>
        <w:tc>
          <w:tcPr>
            <w:tcW w:w="6773" w:type="dxa"/>
            <w:vAlign w:val="bottom"/>
          </w:tcPr>
          <w:p>
            <w:pPr>
              <w:keepNext w:val="0"/>
              <w:keepLines w:val="0"/>
              <w:suppressLineNumbers w:val="0"/>
              <w:spacing w:before="0" w:beforeAutospacing="0" w:after="0" w:afterAutospacing="0" w:line="560" w:lineRule="exact"/>
              <w:ind w:left="0" w:right="-27" w:rightChars="-13"/>
              <w:jc w:val="center"/>
              <w:rPr>
                <w:rFonts w:hint="default"/>
                <w:sz w:val="24"/>
              </w:rPr>
            </w:pPr>
          </w:p>
          <w:p>
            <w:pPr>
              <w:keepNext w:val="0"/>
              <w:keepLines w:val="0"/>
              <w:suppressLineNumbers w:val="0"/>
              <w:spacing w:before="0" w:beforeAutospacing="0" w:after="0" w:afterAutospacing="0" w:line="560" w:lineRule="exact"/>
              <w:ind w:left="0" w:right="-27" w:rightChars="-13"/>
              <w:rPr>
                <w:rFonts w:hint="default"/>
                <w:sz w:val="24"/>
              </w:rPr>
            </w:pPr>
            <w:r>
              <w:rPr>
                <w:rFonts w:hint="eastAsia"/>
                <w:sz w:val="24"/>
              </w:rPr>
              <w:t>单位负责人签名：     单位（盖章）：      年    月    日</w:t>
            </w:r>
          </w:p>
        </w:tc>
      </w:tr>
    </w:tbl>
    <w:p>
      <w:pPr>
        <w:widowControl/>
        <w:spacing w:line="400" w:lineRule="exact"/>
        <w:rPr>
          <w:rFonts w:ascii="黑体" w:hAnsi="黑体" w:eastAsia="黑体" w:cs="黑体"/>
          <w:szCs w:val="21"/>
        </w:rPr>
      </w:pPr>
      <w:r>
        <w:rPr>
          <w:rFonts w:hint="eastAsia" w:ascii="宋体" w:hAnsi="宋体" w:cs="宋体"/>
          <w:b/>
          <w:szCs w:val="21"/>
        </w:rPr>
        <w:t>注</w:t>
      </w:r>
      <w:r>
        <w:rPr>
          <w:rFonts w:hint="eastAsia" w:ascii="宋体" w:hAnsi="宋体" w:cs="宋体"/>
          <w:bCs/>
          <w:szCs w:val="21"/>
        </w:rPr>
        <w:t>：绩效评价结果整改报告书应在收到绩效评价结果反馈意见后30天内交县财政局绩效管理股。</w:t>
      </w:r>
    </w:p>
    <w:p>
      <w:pPr>
        <w:spacing w:line="580" w:lineRule="exact"/>
        <w:jc w:val="left"/>
        <w:rPr>
          <w:rFonts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附件5</w:t>
      </w:r>
    </w:p>
    <w:p>
      <w:pPr>
        <w:jc w:val="center"/>
        <w:rPr>
          <w:rFonts w:ascii="方正小标宋简体" w:hAnsi="方正小标宋简体" w:eastAsia="方正小标宋简体" w:cs="方正小标宋简体"/>
          <w:sz w:val="44"/>
          <w:szCs w:val="44"/>
        </w:rPr>
      </w:pPr>
    </w:p>
    <w:p>
      <w:pPr>
        <w:keepNext w:val="0"/>
        <w:keepLines w:val="0"/>
        <w:pageBreakBefore w:val="0"/>
        <w:widowControl w:val="0"/>
        <w:kinsoku/>
        <w:wordWrap/>
        <w:overflowPunct/>
        <w:topLinePunct w:val="0"/>
        <w:autoSpaceDE/>
        <w:autoSpaceDN/>
        <w:bidi w:val="0"/>
        <w:adjustRightInd/>
        <w:snapToGrid/>
        <w:spacing w:line="900" w:lineRule="exact"/>
        <w:jc w:val="center"/>
        <w:textAlignment w:val="auto"/>
        <w:rPr>
          <w:rFonts w:hint="eastAsia" w:ascii="方正小标宋简体" w:hAnsi="方正小标宋简体" w:eastAsia="方正小标宋简体" w:cs="方正小标宋简体"/>
          <w:b w:val="0"/>
          <w:bCs w:val="0"/>
          <w:sz w:val="44"/>
          <w:szCs w:val="44"/>
        </w:rPr>
      </w:pPr>
      <w:r>
        <w:rPr>
          <w:rFonts w:hint="eastAsia" w:ascii="方正小标宋简体" w:hAnsi="方正小标宋简体" w:eastAsia="方正小标宋简体" w:cs="方正小标宋简体"/>
          <w:b w:val="0"/>
          <w:bCs w:val="0"/>
          <w:sz w:val="44"/>
          <w:szCs w:val="44"/>
          <w:lang w:val="en-US" w:eastAsia="zh-CN"/>
        </w:rPr>
        <w:t>2023年县农业农村局高标准农田建设</w:t>
      </w:r>
      <w:r>
        <w:rPr>
          <w:rFonts w:hint="eastAsia" w:ascii="方正小标宋简体" w:hAnsi="方正小标宋简体" w:eastAsia="方正小标宋简体" w:cs="方正小标宋简体"/>
          <w:b w:val="0"/>
          <w:bCs w:val="0"/>
          <w:sz w:val="44"/>
          <w:szCs w:val="44"/>
        </w:rPr>
        <w:t>项目</w:t>
      </w:r>
    </w:p>
    <w:p>
      <w:pPr>
        <w:keepNext w:val="0"/>
        <w:keepLines w:val="0"/>
        <w:pageBreakBefore w:val="0"/>
        <w:widowControl w:val="0"/>
        <w:kinsoku/>
        <w:wordWrap/>
        <w:overflowPunct/>
        <w:topLinePunct w:val="0"/>
        <w:autoSpaceDE/>
        <w:autoSpaceDN/>
        <w:bidi w:val="0"/>
        <w:adjustRightInd/>
        <w:snapToGrid/>
        <w:spacing w:line="900" w:lineRule="exact"/>
        <w:jc w:val="center"/>
        <w:textAlignment w:val="auto"/>
        <w:rPr>
          <w:rFonts w:hint="eastAsia" w:ascii="方正小标宋简体" w:hAnsi="方正小标宋简体" w:eastAsia="方正小标宋简体" w:cs="方正小标宋简体"/>
          <w:b w:val="0"/>
          <w:bCs w:val="0"/>
          <w:sz w:val="44"/>
          <w:szCs w:val="44"/>
        </w:rPr>
      </w:pPr>
      <w:r>
        <w:rPr>
          <w:rFonts w:hint="eastAsia" w:ascii="方正小标宋简体" w:hAnsi="方正小标宋简体" w:eastAsia="方正小标宋简体" w:cs="方正小标宋简体"/>
          <w:b w:val="0"/>
          <w:bCs w:val="0"/>
          <w:sz w:val="44"/>
          <w:szCs w:val="44"/>
          <w:lang w:val="en-US" w:eastAsia="zh-CN"/>
        </w:rPr>
        <w:t>支出</w:t>
      </w:r>
      <w:r>
        <w:rPr>
          <w:rFonts w:hint="eastAsia" w:ascii="方正小标宋简体" w:hAnsi="方正小标宋简体" w:eastAsia="方正小标宋简体" w:cs="方正小标宋简体"/>
          <w:b w:val="0"/>
          <w:bCs w:val="0"/>
          <w:sz w:val="44"/>
          <w:szCs w:val="44"/>
        </w:rPr>
        <w:t>绩效</w:t>
      </w:r>
      <w:r>
        <w:rPr>
          <w:rFonts w:hint="eastAsia" w:ascii="方正小标宋简体" w:hAnsi="方正小标宋简体" w:eastAsia="方正小标宋简体" w:cs="方正小标宋简体"/>
          <w:b w:val="0"/>
          <w:bCs w:val="0"/>
          <w:sz w:val="44"/>
          <w:szCs w:val="44"/>
          <w:lang w:eastAsia="zh-CN"/>
        </w:rPr>
        <w:t>自评</w:t>
      </w:r>
      <w:r>
        <w:rPr>
          <w:rFonts w:hint="eastAsia" w:ascii="方正小标宋简体" w:hAnsi="方正小标宋简体" w:eastAsia="方正小标宋简体" w:cs="方正小标宋简体"/>
          <w:b w:val="0"/>
          <w:bCs w:val="0"/>
          <w:sz w:val="44"/>
          <w:szCs w:val="44"/>
        </w:rPr>
        <w:t xml:space="preserve">报告 </w:t>
      </w:r>
    </w:p>
    <w:p>
      <w:pPr>
        <w:jc w:val="center"/>
        <w:rPr>
          <w:rFonts w:eastAsia="方正小标宋_GBK"/>
          <w:b/>
          <w:sz w:val="52"/>
          <w:szCs w:val="52"/>
        </w:rPr>
      </w:pPr>
    </w:p>
    <w:p>
      <w:pPr>
        <w:jc w:val="center"/>
        <w:rPr>
          <w:rFonts w:eastAsia="黑体"/>
          <w:sz w:val="32"/>
          <w:szCs w:val="32"/>
        </w:rPr>
      </w:pPr>
    </w:p>
    <w:p>
      <w:pPr>
        <w:pStyle w:val="9"/>
      </w:pPr>
    </w:p>
    <w:p>
      <w:pPr>
        <w:jc w:val="center"/>
        <w:rPr>
          <w:rFonts w:eastAsia="黑体"/>
          <w:sz w:val="32"/>
          <w:szCs w:val="32"/>
        </w:rPr>
      </w:pPr>
    </w:p>
    <w:p>
      <w:pPr>
        <w:jc w:val="center"/>
        <w:rPr>
          <w:rFonts w:eastAsia="黑体"/>
          <w:sz w:val="32"/>
          <w:szCs w:val="32"/>
        </w:rPr>
      </w:pPr>
    </w:p>
    <w:p>
      <w:pPr>
        <w:jc w:val="center"/>
        <w:rPr>
          <w:rFonts w:eastAsia="黑体"/>
          <w:sz w:val="32"/>
          <w:szCs w:val="32"/>
        </w:rPr>
      </w:pPr>
    </w:p>
    <w:p>
      <w:pPr>
        <w:jc w:val="center"/>
        <w:rPr>
          <w:rFonts w:eastAsia="黑体"/>
          <w:sz w:val="32"/>
          <w:szCs w:val="32"/>
        </w:rPr>
      </w:pPr>
    </w:p>
    <w:p>
      <w:pPr>
        <w:rPr>
          <w:rFonts w:eastAsia="黑体"/>
          <w:sz w:val="32"/>
          <w:szCs w:val="32"/>
        </w:rPr>
      </w:pPr>
    </w:p>
    <w:p>
      <w:pPr>
        <w:pStyle w:val="5"/>
        <w:spacing w:before="100" w:line="221" w:lineRule="auto"/>
        <w:ind w:firstLine="600" w:firstLineChars="200"/>
        <w:rPr>
          <w:rFonts w:ascii="仿宋_GB2312" w:hAnsi="仿宋_GB2312" w:eastAsia="仿宋_GB2312" w:cs="仿宋_GB2312"/>
          <w:sz w:val="32"/>
          <w:szCs w:val="32"/>
        </w:rPr>
      </w:pPr>
      <w:r>
        <w:rPr>
          <w:rFonts w:hint="eastAsia" w:ascii="仿宋_GB2312" w:hAnsi="仿宋_GB2312" w:eastAsia="仿宋_GB2312" w:cs="仿宋_GB2312"/>
          <w:spacing w:val="-10"/>
          <w:sz w:val="32"/>
          <w:szCs w:val="32"/>
        </w:rPr>
        <w:t>部门（单位）名称</w:t>
      </w:r>
      <w:r>
        <w:rPr>
          <w:rFonts w:hint="eastAsia" w:ascii="仿宋_GB2312" w:hAnsi="仿宋_GB2312" w:eastAsia="仿宋_GB2312" w:cs="仿宋_GB2312"/>
          <w:spacing w:val="4"/>
          <w:sz w:val="32"/>
          <w:szCs w:val="32"/>
        </w:rPr>
        <w:t>：</w:t>
      </w:r>
      <w:r>
        <w:rPr>
          <w:rFonts w:hint="eastAsia" w:ascii="仿宋_GB2312" w:hAnsi="仿宋_GB2312" w:eastAsia="仿宋_GB2312" w:cs="仿宋_GB2312"/>
          <w:spacing w:val="4"/>
          <w:sz w:val="32"/>
          <w:szCs w:val="32"/>
          <w:u w:val="single"/>
          <w:lang w:eastAsia="zh-CN"/>
        </w:rPr>
        <w:t>(</w:t>
      </w:r>
      <w:r>
        <w:rPr>
          <w:rFonts w:hint="eastAsia" w:ascii="仿宋_GB2312" w:hAnsi="仿宋_GB2312" w:eastAsia="仿宋_GB2312" w:cs="仿宋_GB2312"/>
          <w:spacing w:val="-118"/>
          <w:sz w:val="32"/>
          <w:szCs w:val="32"/>
          <w:u w:val="single"/>
        </w:rPr>
        <w:t xml:space="preserve"> </w:t>
      </w:r>
      <w:r>
        <w:rPr>
          <w:rFonts w:hint="eastAsia" w:ascii="仿宋_GB2312" w:hAnsi="仿宋_GB2312" w:eastAsia="仿宋_GB2312" w:cs="仿宋_GB2312"/>
          <w:spacing w:val="-75"/>
          <w:sz w:val="32"/>
          <w:szCs w:val="32"/>
          <w:u w:val="single"/>
        </w:rPr>
        <w:t xml:space="preserve"> </w:t>
      </w:r>
      <w:r>
        <w:rPr>
          <w:rFonts w:hint="eastAsia" w:ascii="仿宋_GB2312" w:hAnsi="仿宋_GB2312" w:eastAsia="仿宋_GB2312" w:cs="仿宋_GB2312"/>
          <w:spacing w:val="-10"/>
          <w:sz w:val="32"/>
          <w:szCs w:val="32"/>
          <w:u w:val="single"/>
        </w:rPr>
        <w:t>盖章）</w:t>
      </w:r>
      <w:r>
        <w:rPr>
          <w:rFonts w:hint="eastAsia" w:ascii="仿宋_GB2312" w:hAnsi="仿宋_GB2312" w:eastAsia="仿宋_GB2312" w:cs="仿宋_GB2312"/>
          <w:sz w:val="32"/>
          <w:szCs w:val="32"/>
          <w:u w:val="single"/>
        </w:rPr>
        <w:t xml:space="preserve">       </w:t>
      </w:r>
      <w:r>
        <w:rPr>
          <w:rFonts w:hint="eastAsia" w:ascii="仿宋_GB2312" w:hAnsi="仿宋_GB2312" w:eastAsia="仿宋_GB2312" w:cs="仿宋_GB2312"/>
          <w:sz w:val="32"/>
          <w:szCs w:val="32"/>
          <w:u w:val="single"/>
          <w:lang w:eastAsia="zh-CN"/>
        </w:rPr>
        <w:t xml:space="preserve">     </w:t>
      </w:r>
      <w:r>
        <w:rPr>
          <w:rFonts w:hint="eastAsia" w:ascii="仿宋_GB2312" w:hAnsi="仿宋_GB2312" w:eastAsia="仿宋_GB2312" w:cs="仿宋_GB2312"/>
          <w:sz w:val="32"/>
          <w:szCs w:val="32"/>
          <w:u w:val="single"/>
        </w:rPr>
        <w:t xml:space="preserve">  </w:t>
      </w:r>
    </w:p>
    <w:p>
      <w:pPr>
        <w:spacing w:before="228" w:line="222" w:lineRule="auto"/>
        <w:ind w:firstLine="4560" w:firstLineChars="1500"/>
        <w:rPr>
          <w:rFonts w:ascii="仿宋_GB2312" w:hAnsi="仿宋_GB2312" w:eastAsia="仿宋_GB2312" w:cs="仿宋_GB2312"/>
          <w:sz w:val="32"/>
          <w:szCs w:val="32"/>
        </w:rPr>
      </w:pPr>
      <w:r>
        <w:rPr>
          <w:rFonts w:hint="eastAsia" w:ascii="仿宋_GB2312" w:hAnsi="仿宋_GB2312" w:eastAsia="仿宋_GB2312" w:cs="仿宋_GB2312"/>
          <w:spacing w:val="-8"/>
          <w:sz w:val="32"/>
          <w:szCs w:val="32"/>
        </w:rPr>
        <w:t>2024年</w:t>
      </w:r>
      <w:r>
        <w:rPr>
          <w:rFonts w:hint="eastAsia" w:ascii="仿宋_GB2312" w:hAnsi="仿宋_GB2312" w:eastAsia="仿宋_GB2312" w:cs="仿宋_GB2312"/>
          <w:spacing w:val="21"/>
          <w:sz w:val="32"/>
          <w:szCs w:val="32"/>
        </w:rPr>
        <w:t xml:space="preserve"> 5 </w:t>
      </w:r>
      <w:r>
        <w:rPr>
          <w:rFonts w:hint="eastAsia" w:ascii="仿宋_GB2312" w:hAnsi="仿宋_GB2312" w:eastAsia="仿宋_GB2312" w:cs="仿宋_GB2312"/>
          <w:spacing w:val="-8"/>
          <w:sz w:val="32"/>
          <w:szCs w:val="32"/>
        </w:rPr>
        <w:t>月28</w:t>
      </w:r>
      <w:r>
        <w:rPr>
          <w:rFonts w:hint="eastAsia" w:ascii="仿宋_GB2312" w:hAnsi="仿宋_GB2312" w:eastAsia="仿宋_GB2312" w:cs="仿宋_GB2312"/>
          <w:spacing w:val="43"/>
          <w:sz w:val="32"/>
          <w:szCs w:val="32"/>
        </w:rPr>
        <w:t xml:space="preserve">  </w:t>
      </w:r>
      <w:r>
        <w:rPr>
          <w:rFonts w:hint="eastAsia" w:ascii="仿宋_GB2312" w:hAnsi="仿宋_GB2312" w:eastAsia="仿宋_GB2312" w:cs="仿宋_GB2312"/>
          <w:spacing w:val="-8"/>
          <w:sz w:val="32"/>
          <w:szCs w:val="32"/>
        </w:rPr>
        <w:t>日</w:t>
      </w:r>
    </w:p>
    <w:p>
      <w:pPr>
        <w:spacing w:line="335" w:lineRule="auto"/>
        <w:rPr>
          <w:rFonts w:ascii="仿宋_GB2312" w:hAnsi="仿宋_GB2312" w:eastAsia="仿宋_GB2312" w:cs="仿宋_GB2312"/>
          <w:sz w:val="32"/>
          <w:szCs w:val="32"/>
        </w:rPr>
      </w:pPr>
    </w:p>
    <w:p>
      <w:pPr>
        <w:pStyle w:val="5"/>
        <w:spacing w:before="102" w:line="224" w:lineRule="auto"/>
        <w:ind w:left="3216"/>
        <w:rPr>
          <w:rFonts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（此页为封面）</w:t>
      </w:r>
    </w:p>
    <w:p>
      <w:pPr>
        <w:keepNext w:val="0"/>
        <w:keepLines w:val="0"/>
        <w:pageBreakBefore w:val="0"/>
        <w:kinsoku/>
        <w:wordWrap/>
        <w:topLinePunct w:val="0"/>
        <w:autoSpaceDN/>
        <w:bidi w:val="0"/>
        <w:spacing w:line="580" w:lineRule="exact"/>
        <w:jc w:val="center"/>
        <w:textAlignment w:val="auto"/>
        <w:rPr>
          <w:rFonts w:hint="eastAsia" w:ascii="方正小标宋简体" w:hAnsi="方正小标宋简体" w:eastAsia="方正小标宋简体" w:cs="方正小标宋简体"/>
          <w:b w:val="0"/>
          <w:bCs w:val="0"/>
          <w:sz w:val="44"/>
          <w:szCs w:val="44"/>
          <w:lang w:val="en-US" w:eastAsia="zh-CN"/>
        </w:rPr>
      </w:pPr>
    </w:p>
    <w:p>
      <w:pPr>
        <w:keepNext w:val="0"/>
        <w:keepLines w:val="0"/>
        <w:pageBreakBefore w:val="0"/>
        <w:kinsoku/>
        <w:wordWrap/>
        <w:topLinePunct w:val="0"/>
        <w:autoSpaceDN/>
        <w:bidi w:val="0"/>
        <w:spacing w:line="580" w:lineRule="exact"/>
        <w:jc w:val="center"/>
        <w:textAlignment w:val="auto"/>
        <w:rPr>
          <w:rFonts w:hint="eastAsia" w:ascii="方正小标宋简体" w:hAnsi="方正小标宋简体" w:eastAsia="方正小标宋简体" w:cs="方正小标宋简体"/>
          <w:b w:val="0"/>
          <w:bCs w:val="0"/>
          <w:sz w:val="44"/>
          <w:szCs w:val="44"/>
          <w:lang w:val="en-US" w:eastAsia="zh-CN"/>
        </w:rPr>
      </w:pPr>
    </w:p>
    <w:p>
      <w:pPr>
        <w:keepNext w:val="0"/>
        <w:keepLines w:val="0"/>
        <w:pageBreakBefore w:val="0"/>
        <w:kinsoku/>
        <w:wordWrap/>
        <w:topLinePunct w:val="0"/>
        <w:autoSpaceDN/>
        <w:bidi w:val="0"/>
        <w:spacing w:line="580" w:lineRule="exact"/>
        <w:jc w:val="center"/>
        <w:textAlignment w:val="auto"/>
        <w:rPr>
          <w:rFonts w:hint="eastAsia" w:ascii="方正小标宋简体" w:hAnsi="方正小标宋简体" w:eastAsia="方正小标宋简体" w:cs="方正小标宋简体"/>
          <w:b w:val="0"/>
          <w:bCs w:val="0"/>
          <w:sz w:val="44"/>
          <w:szCs w:val="44"/>
          <w:lang w:val="en-US" w:eastAsia="zh-CN"/>
        </w:rPr>
      </w:pPr>
    </w:p>
    <w:p>
      <w:pPr>
        <w:keepNext w:val="0"/>
        <w:keepLines w:val="0"/>
        <w:pageBreakBefore w:val="0"/>
        <w:kinsoku/>
        <w:wordWrap/>
        <w:topLinePunct w:val="0"/>
        <w:autoSpaceDN/>
        <w:bidi w:val="0"/>
        <w:spacing w:line="580" w:lineRule="exact"/>
        <w:jc w:val="center"/>
        <w:textAlignment w:val="auto"/>
        <w:rPr>
          <w:rFonts w:hint="eastAsia" w:ascii="方正小标宋简体" w:hAnsi="方正小标宋简体" w:eastAsia="方正小标宋简体" w:cs="方正小标宋简体"/>
          <w:b w:val="0"/>
          <w:bCs w:val="0"/>
          <w:sz w:val="44"/>
          <w:szCs w:val="44"/>
        </w:rPr>
      </w:pPr>
      <w:r>
        <w:rPr>
          <w:rFonts w:hint="eastAsia" w:ascii="方正小标宋简体" w:hAnsi="方正小标宋简体" w:eastAsia="方正小标宋简体" w:cs="方正小标宋简体"/>
          <w:b w:val="0"/>
          <w:bCs w:val="0"/>
          <w:sz w:val="44"/>
          <w:szCs w:val="44"/>
          <w:lang w:val="en-US" w:eastAsia="zh-CN"/>
        </w:rPr>
        <w:t>2023年县农业农村局高标准农田建设</w:t>
      </w:r>
      <w:r>
        <w:rPr>
          <w:rFonts w:hint="eastAsia" w:ascii="方正小标宋简体" w:hAnsi="方正小标宋简体" w:eastAsia="方正小标宋简体" w:cs="方正小标宋简体"/>
          <w:b w:val="0"/>
          <w:bCs w:val="0"/>
          <w:sz w:val="44"/>
          <w:szCs w:val="44"/>
        </w:rPr>
        <w:t>项目</w:t>
      </w:r>
    </w:p>
    <w:p>
      <w:pPr>
        <w:keepNext w:val="0"/>
        <w:keepLines w:val="0"/>
        <w:pageBreakBefore w:val="0"/>
        <w:kinsoku/>
        <w:wordWrap/>
        <w:topLinePunct w:val="0"/>
        <w:autoSpaceDN/>
        <w:bidi w:val="0"/>
        <w:spacing w:line="580" w:lineRule="exact"/>
        <w:jc w:val="center"/>
        <w:textAlignment w:val="auto"/>
        <w:rPr>
          <w:rFonts w:hint="eastAsia" w:ascii="方正小标宋简体" w:hAnsi="方正小标宋简体" w:eastAsia="方正小标宋简体" w:cs="方正小标宋简体"/>
          <w:b w:val="0"/>
          <w:bCs w:val="0"/>
          <w:sz w:val="44"/>
          <w:szCs w:val="44"/>
        </w:rPr>
      </w:pPr>
      <w:r>
        <w:rPr>
          <w:rFonts w:hint="eastAsia" w:ascii="方正小标宋简体" w:hAnsi="方正小标宋简体" w:eastAsia="方正小标宋简体" w:cs="方正小标宋简体"/>
          <w:b w:val="0"/>
          <w:bCs w:val="0"/>
          <w:sz w:val="44"/>
          <w:szCs w:val="44"/>
          <w:lang w:val="en-US" w:eastAsia="zh-CN"/>
        </w:rPr>
        <w:t>支出</w:t>
      </w:r>
      <w:r>
        <w:rPr>
          <w:rFonts w:hint="eastAsia" w:ascii="方正小标宋简体" w:hAnsi="方正小标宋简体" w:eastAsia="方正小标宋简体" w:cs="方正小标宋简体"/>
          <w:b w:val="0"/>
          <w:bCs w:val="0"/>
          <w:sz w:val="44"/>
          <w:szCs w:val="44"/>
        </w:rPr>
        <w:t>绩效</w:t>
      </w:r>
      <w:r>
        <w:rPr>
          <w:rFonts w:hint="eastAsia" w:ascii="方正小标宋简体" w:hAnsi="方正小标宋简体" w:eastAsia="方正小标宋简体" w:cs="方正小标宋简体"/>
          <w:b w:val="0"/>
          <w:bCs w:val="0"/>
          <w:sz w:val="44"/>
          <w:szCs w:val="44"/>
          <w:lang w:eastAsia="zh-CN"/>
        </w:rPr>
        <w:t>自评</w:t>
      </w:r>
      <w:r>
        <w:rPr>
          <w:rFonts w:hint="eastAsia" w:ascii="方正小标宋简体" w:hAnsi="方正小标宋简体" w:eastAsia="方正小标宋简体" w:cs="方正小标宋简体"/>
          <w:b w:val="0"/>
          <w:bCs w:val="0"/>
          <w:sz w:val="44"/>
          <w:szCs w:val="44"/>
        </w:rPr>
        <w:t xml:space="preserve">报告 </w:t>
      </w:r>
    </w:p>
    <w:p>
      <w:pPr>
        <w:keepNext w:val="0"/>
        <w:keepLines w:val="0"/>
        <w:pageBreakBefore w:val="0"/>
        <w:kinsoku/>
        <w:wordWrap/>
        <w:topLinePunct w:val="0"/>
        <w:autoSpaceDN/>
        <w:bidi w:val="0"/>
        <w:spacing w:line="560" w:lineRule="exact"/>
        <w:ind w:leftChars="0" w:firstLine="640" w:firstLineChars="200"/>
        <w:textAlignment w:val="auto"/>
        <w:rPr>
          <w:rFonts w:hint="eastAsia" w:ascii="黑体" w:hAnsi="黑体" w:eastAsia="黑体"/>
          <w:sz w:val="32"/>
          <w:szCs w:val="32"/>
        </w:rPr>
      </w:pPr>
    </w:p>
    <w:p>
      <w:pPr>
        <w:keepNext w:val="0"/>
        <w:keepLines w:val="0"/>
        <w:pageBreakBefore w:val="0"/>
        <w:kinsoku/>
        <w:wordWrap/>
        <w:topLinePunct w:val="0"/>
        <w:autoSpaceDN/>
        <w:bidi w:val="0"/>
        <w:spacing w:line="560" w:lineRule="exact"/>
        <w:ind w:leftChars="0" w:firstLine="640" w:firstLineChars="200"/>
        <w:textAlignment w:val="auto"/>
        <w:rPr>
          <w:rFonts w:hint="default" w:ascii="黑体" w:hAnsi="黑体" w:eastAsia="黑体"/>
          <w:sz w:val="32"/>
          <w:szCs w:val="32"/>
          <w:lang w:val="en-US" w:eastAsia="zh-CN"/>
        </w:rPr>
      </w:pPr>
      <w:r>
        <w:rPr>
          <w:rFonts w:hint="eastAsia" w:ascii="黑体" w:hAnsi="黑体" w:eastAsia="黑体"/>
          <w:sz w:val="32"/>
          <w:szCs w:val="32"/>
        </w:rPr>
        <w:t>一、</w:t>
      </w:r>
      <w:r>
        <w:rPr>
          <w:rFonts w:hint="eastAsia" w:ascii="黑体" w:hAnsi="黑体" w:eastAsia="黑体"/>
          <w:sz w:val="32"/>
          <w:szCs w:val="32"/>
          <w:lang w:val="en-US" w:eastAsia="zh-CN"/>
        </w:rPr>
        <w:t>项目概况</w:t>
      </w:r>
    </w:p>
    <w:p>
      <w:pPr>
        <w:keepNext w:val="0"/>
        <w:keepLines w:val="0"/>
        <w:pageBreakBefore w:val="0"/>
        <w:kinsoku/>
        <w:wordWrap/>
        <w:topLinePunct w:val="0"/>
        <w:autoSpaceDN/>
        <w:bidi w:val="0"/>
        <w:spacing w:line="560" w:lineRule="exact"/>
        <w:ind w:leftChars="0" w:firstLine="640" w:firstLineChars="200"/>
        <w:textAlignment w:val="auto"/>
        <w:outlineLvl w:val="0"/>
        <w:rPr>
          <w:rFonts w:hint="eastAsia" w:ascii="仿宋_GB2312" w:hAnsi="Calibri" w:eastAsia="仿宋_GB2312"/>
          <w:szCs w:val="21"/>
          <w:lang w:val="en-US" w:eastAsia="zh-CN"/>
        </w:rPr>
      </w:pPr>
      <w:r>
        <w:rPr>
          <w:rFonts w:hint="eastAsia" w:ascii="仿宋_GB2312" w:eastAsia="仿宋_GB2312"/>
          <w:sz w:val="32"/>
          <w:szCs w:val="32"/>
        </w:rPr>
        <w:t>为</w:t>
      </w:r>
      <w:r>
        <w:rPr>
          <w:rFonts w:hint="eastAsia" w:ascii="仿宋_GB2312" w:eastAsia="仿宋_GB2312"/>
          <w:sz w:val="32"/>
          <w:szCs w:val="32"/>
          <w:lang w:eastAsia="zh-CN"/>
        </w:rPr>
        <w:t>了大力支持农业发展，改善农业生产基本条件，优化农业和农村经济结构，改善农村生产生活条件，增加粮食保障能力，综合开发利用农业资源，提高农业综合生产能力和综合效益，我县农田建设项目服务中心</w:t>
      </w:r>
      <w:r>
        <w:rPr>
          <w:rFonts w:hint="eastAsia" w:ascii="仿宋_GB2312" w:eastAsia="仿宋_GB2312"/>
          <w:sz w:val="32"/>
          <w:szCs w:val="32"/>
          <w:lang w:val="en-US" w:eastAsia="zh-CN"/>
        </w:rPr>
        <w:t>2023年在鲇鱼须镇、三封寺镇、章华镇、禹山镇、操军镇、东山镇、万庾镇、治河渡镇等8个乡镇</w:t>
      </w:r>
      <w:r>
        <w:rPr>
          <w:rFonts w:hint="eastAsia" w:ascii="仿宋_GB2312" w:hAnsi="仿宋_GB2312" w:eastAsia="仿宋_GB2312" w:cs="仿宋_GB2312"/>
          <w:sz w:val="32"/>
          <w:szCs w:val="32"/>
          <w:lang w:val="en-US" w:eastAsia="zh-CN"/>
        </w:rPr>
        <w:t>25个行政村</w:t>
      </w:r>
      <w:r>
        <w:rPr>
          <w:rFonts w:hint="eastAsia" w:ascii="仿宋_GB2312" w:eastAsia="仿宋_GB2312"/>
          <w:sz w:val="32"/>
          <w:szCs w:val="32"/>
          <w:lang w:val="en-US" w:eastAsia="zh-CN"/>
        </w:rPr>
        <w:t>组织开展了高标准农田建设项目，主要用于大力推进高标准农田整治，有效增加耕地数量、提高耕地质量、优化土地资源要素配置</w:t>
      </w:r>
      <w:r>
        <w:rPr>
          <w:rFonts w:hint="eastAsia" w:ascii="仿宋_GB2312" w:eastAsia="仿宋_GB2312"/>
          <w:sz w:val="32"/>
          <w:szCs w:val="32"/>
          <w:lang w:eastAsia="zh-CN"/>
        </w:rPr>
        <w:t>。</w:t>
      </w:r>
    </w:p>
    <w:p>
      <w:pPr>
        <w:keepNext w:val="0"/>
        <w:keepLines w:val="0"/>
        <w:pageBreakBefore w:val="0"/>
        <w:kinsoku/>
        <w:wordWrap/>
        <w:topLinePunct w:val="0"/>
        <w:autoSpaceDN/>
        <w:bidi w:val="0"/>
        <w:spacing w:line="560" w:lineRule="exact"/>
        <w:ind w:leftChars="0" w:firstLine="640" w:firstLineChars="200"/>
        <w:textAlignment w:val="auto"/>
        <w:rPr>
          <w:rFonts w:hint="eastAsia" w:ascii="黑体" w:hAnsi="黑体" w:eastAsia="黑体"/>
          <w:sz w:val="32"/>
          <w:szCs w:val="32"/>
          <w:lang w:eastAsia="zh-CN"/>
        </w:rPr>
      </w:pPr>
      <w:r>
        <w:rPr>
          <w:rFonts w:hint="eastAsia" w:ascii="黑体" w:hAnsi="黑体" w:eastAsia="黑体"/>
          <w:sz w:val="32"/>
          <w:szCs w:val="32"/>
          <w:lang w:val="en-US" w:eastAsia="zh-CN"/>
        </w:rPr>
        <w:t>二、</w:t>
      </w:r>
      <w:r>
        <w:rPr>
          <w:rFonts w:hint="eastAsia" w:ascii="黑体" w:hAnsi="黑体" w:eastAsia="黑体"/>
          <w:sz w:val="32"/>
          <w:szCs w:val="32"/>
          <w:lang w:eastAsia="zh-CN"/>
        </w:rPr>
        <w:t>项目</w:t>
      </w:r>
      <w:r>
        <w:rPr>
          <w:rFonts w:hint="eastAsia" w:ascii="黑体" w:hAnsi="黑体" w:eastAsia="黑体"/>
          <w:sz w:val="32"/>
          <w:szCs w:val="32"/>
          <w:lang w:val="en-US" w:eastAsia="zh-CN"/>
        </w:rPr>
        <w:t>资金使用及管理情况</w:t>
      </w:r>
    </w:p>
    <w:p>
      <w:pPr>
        <w:keepNext w:val="0"/>
        <w:keepLines w:val="0"/>
        <w:pageBreakBefore w:val="0"/>
        <w:kinsoku/>
        <w:wordWrap/>
        <w:topLinePunct w:val="0"/>
        <w:autoSpaceDN/>
        <w:bidi w:val="0"/>
        <w:spacing w:line="560" w:lineRule="exact"/>
        <w:ind w:leftChars="0" w:firstLine="643" w:firstLineChars="200"/>
        <w:textAlignment w:val="auto"/>
        <w:outlineLvl w:val="0"/>
        <w:rPr>
          <w:rFonts w:hint="eastAsia" w:ascii="楷体_GB2312" w:hAnsi="楷体_GB2312" w:eastAsia="楷体_GB2312" w:cs="楷体_GB2312"/>
          <w:b/>
          <w:bCs/>
          <w:sz w:val="32"/>
          <w:szCs w:val="32"/>
          <w:lang w:val="en-US" w:eastAsia="zh-CN"/>
        </w:rPr>
      </w:pPr>
      <w:r>
        <w:rPr>
          <w:rFonts w:hint="eastAsia" w:ascii="楷体_GB2312" w:hAnsi="楷体_GB2312" w:eastAsia="楷体_GB2312" w:cs="楷体_GB2312"/>
          <w:b/>
          <w:bCs/>
          <w:sz w:val="32"/>
          <w:szCs w:val="32"/>
          <w:lang w:val="en-US" w:eastAsia="zh-CN"/>
        </w:rPr>
        <w:t>（一）项目资金（包括财政资金、自筹资金等）安排落实、总投入等情况分析</w:t>
      </w:r>
    </w:p>
    <w:p>
      <w:pPr>
        <w:keepNext w:val="0"/>
        <w:keepLines w:val="0"/>
        <w:pageBreakBefore w:val="0"/>
        <w:widowControl/>
        <w:kinsoku/>
        <w:wordWrap/>
        <w:topLinePunct w:val="0"/>
        <w:autoSpaceDN/>
        <w:bidi w:val="0"/>
        <w:spacing w:line="560" w:lineRule="exact"/>
        <w:ind w:leftChars="0" w:firstLine="640" w:firstLineChars="200"/>
        <w:textAlignment w:val="auto"/>
        <w:rPr>
          <w:rFonts w:hint="eastAsia" w:ascii="仿宋_GB2312" w:eastAsia="仿宋_GB2312"/>
          <w:sz w:val="32"/>
          <w:szCs w:val="32"/>
          <w:lang w:val="en-US" w:eastAsia="zh-CN"/>
        </w:rPr>
      </w:pPr>
      <w:r>
        <w:rPr>
          <w:rFonts w:hint="eastAsia" w:ascii="仿宋_GB2312" w:eastAsia="仿宋_GB2312"/>
          <w:sz w:val="32"/>
          <w:szCs w:val="32"/>
          <w:lang w:eastAsia="zh-CN"/>
        </w:rPr>
        <w:t>华容县</w:t>
      </w:r>
      <w:r>
        <w:rPr>
          <w:rFonts w:hint="eastAsia" w:ascii="仿宋_GB2312" w:eastAsia="仿宋_GB2312"/>
          <w:sz w:val="32"/>
          <w:szCs w:val="32"/>
          <w:lang w:val="en-US" w:eastAsia="zh-CN"/>
        </w:rPr>
        <w:t>2023年高标准农田建设项目总投资12291.31万元，其中中央财政资金7808万元，省级财政资金</w:t>
      </w:r>
      <w:r>
        <w:rPr>
          <w:rFonts w:hint="eastAsia" w:ascii="仿宋_GB2312" w:eastAsia="仿宋_GB2312"/>
          <w:sz w:val="32"/>
          <w:szCs w:val="32"/>
          <w:highlight w:val="none"/>
          <w:lang w:val="en-US" w:eastAsia="zh-CN"/>
        </w:rPr>
        <w:t>1950</w:t>
      </w:r>
      <w:r>
        <w:rPr>
          <w:rFonts w:hint="eastAsia" w:ascii="仿宋_GB2312" w:eastAsia="仿宋_GB2312"/>
          <w:sz w:val="32"/>
          <w:szCs w:val="32"/>
          <w:lang w:val="en-US" w:eastAsia="zh-CN"/>
        </w:rPr>
        <w:t>万元（含管护资金16万元），社会资金2533.31万元，资金已全部到位。</w:t>
      </w:r>
    </w:p>
    <w:p>
      <w:pPr>
        <w:keepNext w:val="0"/>
        <w:keepLines w:val="0"/>
        <w:pageBreakBefore w:val="0"/>
        <w:kinsoku/>
        <w:wordWrap/>
        <w:overflowPunct/>
        <w:topLinePunct w:val="0"/>
        <w:autoSpaceDE/>
        <w:autoSpaceDN/>
        <w:bidi w:val="0"/>
        <w:adjustRightInd/>
        <w:snapToGrid/>
        <w:spacing w:line="600" w:lineRule="exact"/>
        <w:ind w:leftChars="0" w:firstLine="643" w:firstLineChars="200"/>
        <w:textAlignment w:val="auto"/>
        <w:outlineLvl w:val="0"/>
        <w:rPr>
          <w:rFonts w:hint="eastAsia" w:ascii="楷体_GB2312" w:hAnsi="楷体_GB2312" w:eastAsia="楷体_GB2312" w:cs="楷体_GB2312"/>
          <w:b/>
          <w:bCs/>
          <w:sz w:val="32"/>
          <w:szCs w:val="32"/>
          <w:lang w:val="en-US" w:eastAsia="zh-CN"/>
        </w:rPr>
      </w:pPr>
      <w:r>
        <w:rPr>
          <w:rFonts w:hint="eastAsia" w:ascii="楷体_GB2312" w:hAnsi="楷体_GB2312" w:eastAsia="楷体_GB2312" w:cs="楷体_GB2312"/>
          <w:b/>
          <w:bCs/>
          <w:sz w:val="32"/>
          <w:szCs w:val="32"/>
          <w:lang w:val="en-US" w:eastAsia="zh-CN"/>
        </w:rPr>
        <w:t>（二）项目资金实际使用情况分析</w:t>
      </w:r>
    </w:p>
    <w:p>
      <w:pPr>
        <w:keepNext w:val="0"/>
        <w:keepLines w:val="0"/>
        <w:pageBreakBefore w:val="0"/>
        <w:widowControl/>
        <w:numPr>
          <w:ilvl w:val="0"/>
          <w:numId w:val="0"/>
        </w:numPr>
        <w:kinsoku/>
        <w:wordWrap/>
        <w:overflowPunct/>
        <w:topLinePunct w:val="0"/>
        <w:autoSpaceDE/>
        <w:autoSpaceDN/>
        <w:bidi w:val="0"/>
        <w:adjustRightInd/>
        <w:snapToGrid/>
        <w:spacing w:line="600" w:lineRule="exact"/>
        <w:ind w:leftChars="0" w:firstLine="640" w:firstLineChars="200"/>
        <w:textAlignment w:val="auto"/>
        <w:rPr>
          <w:rFonts w:hint="eastAsia" w:ascii="仿宋_GB2312" w:eastAsia="仿宋_GB2312"/>
          <w:sz w:val="32"/>
          <w:szCs w:val="32"/>
          <w:lang w:val="en-US" w:eastAsia="zh-CN"/>
        </w:rPr>
      </w:pPr>
      <w:r>
        <w:rPr>
          <w:rFonts w:hint="eastAsia" w:ascii="仿宋_GB2312" w:eastAsia="仿宋_GB2312"/>
          <w:sz w:val="32"/>
          <w:szCs w:val="32"/>
          <w:lang w:val="en-US" w:eastAsia="zh-CN"/>
        </w:rPr>
        <w:t>华容县2023年高标准农田建设项目计划总投资12291.31万元，其中土壤改良5.488万亩，投资</w:t>
      </w:r>
      <w:r>
        <w:rPr>
          <w:rFonts w:hint="eastAsia" w:ascii="仿宋_GB2312" w:eastAsia="仿宋_GB2312"/>
          <w:sz w:val="32"/>
          <w:szCs w:val="32"/>
          <w:highlight w:val="none"/>
          <w:lang w:val="en-US" w:eastAsia="zh-CN"/>
        </w:rPr>
        <w:t>607.6万元；土地平整6397.48亩，投资1986.03万元；灌溉排水工程总投资5912.08万元，其中塘堰（坝）88座，小型拦河坝4座，泵站56座，疏浚沟渠25.986公里，衬砌明渠91.45公里，渠系建筑物17个，高效节水（管灌）措施1500亩；田间道路77.26km，投资2778.79万元；农田林网工程投资42.51万元；科技推广措施（其中诱蛾灯605台），投资241.23万元。另外，项目管理费189.03万元，勘测设计费288.36万元，工程监理费229.69万元，工程管护费16万元</w:t>
      </w:r>
      <w:r>
        <w:rPr>
          <w:rFonts w:hint="eastAsia" w:ascii="仿宋_GB2312" w:eastAsia="仿宋_GB2312"/>
          <w:sz w:val="32"/>
          <w:szCs w:val="32"/>
          <w:lang w:val="en-US" w:eastAsia="zh-CN"/>
        </w:rPr>
        <w:t>。共计12291.31万元。</w:t>
      </w:r>
    </w:p>
    <w:p>
      <w:pPr>
        <w:keepNext w:val="0"/>
        <w:keepLines w:val="0"/>
        <w:pageBreakBefore w:val="0"/>
        <w:widowControl/>
        <w:kinsoku/>
        <w:wordWrap/>
        <w:overflowPunct/>
        <w:topLinePunct w:val="0"/>
        <w:autoSpaceDE/>
        <w:autoSpaceDN/>
        <w:bidi w:val="0"/>
        <w:adjustRightInd/>
        <w:snapToGrid/>
        <w:spacing w:line="600" w:lineRule="exact"/>
        <w:ind w:leftChars="0" w:firstLine="640" w:firstLineChars="200"/>
        <w:textAlignment w:val="auto"/>
        <w:rPr>
          <w:rFonts w:hint="eastAsia" w:ascii="仿宋_GB2312" w:eastAsia="仿宋_GB2312"/>
          <w:sz w:val="32"/>
          <w:szCs w:val="32"/>
          <w:lang w:val="en-US" w:eastAsia="zh-CN"/>
        </w:rPr>
      </w:pPr>
      <w:r>
        <w:rPr>
          <w:rFonts w:hint="eastAsia" w:ascii="仿宋_GB2312" w:eastAsia="仿宋_GB2312"/>
          <w:sz w:val="32"/>
          <w:szCs w:val="32"/>
          <w:lang w:val="en-US" w:eastAsia="zh-CN"/>
        </w:rPr>
        <w:t>项目实体工程共分3个项目区，自2023年11月10日正式施工，截至到2024年3月14日已完成88%工程量，预计3月底完工。</w:t>
      </w:r>
    </w:p>
    <w:p>
      <w:pPr>
        <w:keepNext w:val="0"/>
        <w:keepLines w:val="0"/>
        <w:pageBreakBefore w:val="0"/>
        <w:kinsoku/>
        <w:wordWrap/>
        <w:overflowPunct/>
        <w:topLinePunct w:val="0"/>
        <w:autoSpaceDE/>
        <w:autoSpaceDN/>
        <w:bidi w:val="0"/>
        <w:adjustRightInd/>
        <w:snapToGrid/>
        <w:spacing w:line="600" w:lineRule="exact"/>
        <w:ind w:leftChars="0" w:firstLine="643" w:firstLineChars="200"/>
        <w:textAlignment w:val="auto"/>
        <w:outlineLvl w:val="0"/>
        <w:rPr>
          <w:rFonts w:hint="default" w:ascii="楷体_GB2312" w:hAnsi="楷体_GB2312" w:eastAsia="楷体_GB2312" w:cs="楷体_GB2312"/>
          <w:b/>
          <w:bCs/>
          <w:sz w:val="32"/>
          <w:szCs w:val="32"/>
          <w:lang w:val="en-US" w:eastAsia="zh-CN"/>
        </w:rPr>
      </w:pPr>
      <w:r>
        <w:rPr>
          <w:rFonts w:hint="eastAsia" w:ascii="楷体_GB2312" w:hAnsi="楷体_GB2312" w:eastAsia="楷体_GB2312" w:cs="楷体_GB2312"/>
          <w:b/>
          <w:bCs/>
          <w:sz w:val="32"/>
          <w:szCs w:val="32"/>
          <w:lang w:val="en-US" w:eastAsia="zh-CN"/>
        </w:rPr>
        <w:t>（三）项目资金管理情况分析</w:t>
      </w:r>
    </w:p>
    <w:p>
      <w:pPr>
        <w:keepNext w:val="0"/>
        <w:keepLines w:val="0"/>
        <w:pageBreakBefore w:val="0"/>
        <w:widowControl/>
        <w:kinsoku/>
        <w:wordWrap/>
        <w:overflowPunct/>
        <w:topLinePunct w:val="0"/>
        <w:autoSpaceDE/>
        <w:autoSpaceDN/>
        <w:bidi w:val="0"/>
        <w:adjustRightInd/>
        <w:snapToGrid/>
        <w:spacing w:line="600" w:lineRule="exact"/>
        <w:ind w:leftChars="0" w:firstLine="640" w:firstLineChars="200"/>
        <w:textAlignment w:val="auto"/>
        <w:rPr>
          <w:rFonts w:hint="eastAsia" w:ascii="仿宋_GB2312" w:eastAsia="仿宋_GB2312"/>
          <w:sz w:val="32"/>
          <w:szCs w:val="32"/>
          <w:lang w:val="en-US" w:eastAsia="zh-CN"/>
        </w:rPr>
      </w:pPr>
      <w:r>
        <w:rPr>
          <w:rFonts w:hint="eastAsia" w:ascii="仿宋_GB2312" w:eastAsia="仿宋_GB2312"/>
          <w:sz w:val="32"/>
          <w:szCs w:val="32"/>
          <w:lang w:val="en-US" w:eastAsia="zh-CN"/>
        </w:rPr>
        <w:t>专项资金管理情况：严格按照相应的业务管理制度，规范专项资金拨付。资金使用规范，符合国家财经法规和财务管理以及有关专项资金管理办法的规定；资金的拨付有完整的审批程序和手续；项目的重大开支经过评估认证，符合项目预算批复或合同规定的用途；不存在截留、挤占、挪用、虚列支出等情况。保障会计核算准确、账务资料完整。</w:t>
      </w:r>
    </w:p>
    <w:p>
      <w:pPr>
        <w:keepNext w:val="0"/>
        <w:keepLines w:val="0"/>
        <w:pageBreakBefore w:val="0"/>
        <w:kinsoku/>
        <w:wordWrap/>
        <w:overflowPunct/>
        <w:topLinePunct w:val="0"/>
        <w:autoSpaceDE/>
        <w:autoSpaceDN/>
        <w:bidi w:val="0"/>
        <w:adjustRightInd/>
        <w:snapToGrid/>
        <w:spacing w:line="600" w:lineRule="exact"/>
        <w:ind w:leftChars="0" w:firstLine="640" w:firstLineChars="200"/>
        <w:textAlignment w:val="auto"/>
        <w:rPr>
          <w:rFonts w:hint="default" w:ascii="黑体" w:hAnsi="黑体" w:eastAsia="黑体"/>
          <w:sz w:val="32"/>
          <w:szCs w:val="32"/>
          <w:lang w:val="en-US" w:eastAsia="zh-CN"/>
        </w:rPr>
      </w:pPr>
      <w:r>
        <w:rPr>
          <w:rFonts w:hint="eastAsia" w:ascii="黑体" w:hAnsi="黑体" w:eastAsia="黑体"/>
          <w:sz w:val="32"/>
          <w:szCs w:val="32"/>
          <w:lang w:val="en-US" w:eastAsia="zh-CN"/>
        </w:rPr>
        <w:t>三、项目组织实施情况分析</w:t>
      </w:r>
    </w:p>
    <w:p>
      <w:pPr>
        <w:keepNext w:val="0"/>
        <w:keepLines w:val="0"/>
        <w:pageBreakBefore w:val="0"/>
        <w:widowControl/>
        <w:kinsoku/>
        <w:wordWrap/>
        <w:topLinePunct w:val="0"/>
        <w:autoSpaceDN/>
        <w:bidi w:val="0"/>
        <w:spacing w:line="560" w:lineRule="exact"/>
        <w:ind w:leftChars="0" w:firstLine="640" w:firstLineChars="200"/>
        <w:textAlignment w:val="auto"/>
        <w:rPr>
          <w:rFonts w:hint="eastAsia" w:ascii="仿宋_GB2312" w:eastAsia="仿宋_GB2312"/>
          <w:sz w:val="32"/>
          <w:szCs w:val="32"/>
          <w:lang w:val="en-US" w:eastAsia="zh-CN"/>
        </w:rPr>
      </w:pPr>
      <w:r>
        <w:rPr>
          <w:rFonts w:hint="eastAsia" w:ascii="仿宋_GB2312" w:eastAsia="仿宋_GB2312"/>
          <w:sz w:val="32"/>
          <w:szCs w:val="32"/>
          <w:lang w:val="en-US" w:eastAsia="zh-CN"/>
        </w:rPr>
        <w:t>项目组织情况：从项目入库到项目实施，从程序上全部按照上级规定要求形成，全部按规定实施，项目2023年11月10日进场施工，目前项目已完成88%工程量，预计3月底完工。</w:t>
      </w:r>
    </w:p>
    <w:p>
      <w:pPr>
        <w:keepNext w:val="0"/>
        <w:keepLines w:val="0"/>
        <w:pageBreakBefore w:val="0"/>
        <w:widowControl/>
        <w:kinsoku/>
        <w:wordWrap/>
        <w:topLinePunct w:val="0"/>
        <w:autoSpaceDN/>
        <w:bidi w:val="0"/>
        <w:spacing w:line="560" w:lineRule="exact"/>
        <w:ind w:leftChars="0" w:firstLine="640" w:firstLineChars="200"/>
        <w:textAlignment w:val="auto"/>
        <w:rPr>
          <w:rFonts w:hint="default" w:ascii="仿宋_GB2312" w:eastAsia="仿宋_GB2312"/>
          <w:sz w:val="32"/>
          <w:szCs w:val="32"/>
          <w:lang w:val="en-US" w:eastAsia="zh-CN"/>
        </w:rPr>
      </w:pPr>
      <w:r>
        <w:rPr>
          <w:rFonts w:hint="eastAsia" w:ascii="仿宋_GB2312" w:eastAsia="仿宋_GB2312"/>
          <w:sz w:val="32"/>
          <w:szCs w:val="32"/>
          <w:lang w:val="en-US" w:eastAsia="zh-CN"/>
        </w:rPr>
        <w:t>项目管理情况：项目实施基本规范，从招投标、合同签订到项目实施管理及后期准备进行的的</w:t>
      </w:r>
      <w:r>
        <w:rPr>
          <w:rFonts w:hint="eastAsia" w:ascii="仿宋_GB2312" w:eastAsia="仿宋_GB2312"/>
          <w:sz w:val="32"/>
          <w:szCs w:val="32"/>
          <w:highlight w:val="none"/>
          <w:lang w:val="en-US" w:eastAsia="zh-CN"/>
        </w:rPr>
        <w:t>完工验收</w:t>
      </w:r>
      <w:r>
        <w:rPr>
          <w:rFonts w:hint="eastAsia" w:ascii="仿宋_GB2312" w:eastAsia="仿宋_GB2312"/>
          <w:sz w:val="32"/>
          <w:szCs w:val="32"/>
          <w:lang w:val="en-US" w:eastAsia="zh-CN"/>
        </w:rPr>
        <w:t>、支付款项工作等均按《高标准农田建设质量管理办法》（农建发〔2021〕1号）和《湖南省农田建设项目管理实施办法》（湘农发〔2020〕61号）有关规定执行。项目质量良好，财务规范。</w:t>
      </w:r>
    </w:p>
    <w:p>
      <w:pPr>
        <w:keepNext w:val="0"/>
        <w:keepLines w:val="0"/>
        <w:pageBreakBefore w:val="0"/>
        <w:kinsoku/>
        <w:wordWrap/>
        <w:topLinePunct w:val="0"/>
        <w:autoSpaceDN/>
        <w:bidi w:val="0"/>
        <w:spacing w:line="560" w:lineRule="exact"/>
        <w:ind w:leftChars="0" w:firstLine="640" w:firstLineChars="200"/>
        <w:textAlignment w:val="auto"/>
        <w:rPr>
          <w:rFonts w:hint="eastAsia" w:ascii="黑体" w:hAnsi="黑体" w:eastAsia="黑体"/>
          <w:sz w:val="32"/>
          <w:szCs w:val="32"/>
          <w:lang w:val="en-US" w:eastAsia="zh-CN"/>
        </w:rPr>
      </w:pPr>
      <w:r>
        <w:rPr>
          <w:rFonts w:hint="eastAsia" w:ascii="黑体" w:hAnsi="黑体" w:eastAsia="黑体"/>
          <w:sz w:val="32"/>
          <w:szCs w:val="32"/>
          <w:lang w:val="en-US" w:eastAsia="zh-CN"/>
        </w:rPr>
        <w:t>四</w:t>
      </w:r>
      <w:r>
        <w:rPr>
          <w:rFonts w:hint="eastAsia" w:ascii="黑体" w:hAnsi="黑体" w:eastAsia="黑体"/>
          <w:sz w:val="32"/>
          <w:szCs w:val="32"/>
        </w:rPr>
        <w:t>、</w:t>
      </w:r>
      <w:r>
        <w:rPr>
          <w:rFonts w:hint="eastAsia" w:ascii="黑体" w:hAnsi="黑体" w:eastAsia="黑体"/>
          <w:sz w:val="32"/>
          <w:szCs w:val="32"/>
          <w:lang w:val="en-US" w:eastAsia="zh-CN"/>
        </w:rPr>
        <w:t>项目</w:t>
      </w:r>
      <w:r>
        <w:rPr>
          <w:rFonts w:hint="eastAsia" w:ascii="黑体" w:hAnsi="黑体" w:eastAsia="黑体"/>
          <w:sz w:val="32"/>
          <w:szCs w:val="32"/>
        </w:rPr>
        <w:t>绩效情况</w:t>
      </w:r>
    </w:p>
    <w:p>
      <w:pPr>
        <w:keepNext w:val="0"/>
        <w:keepLines w:val="0"/>
        <w:pageBreakBefore w:val="0"/>
        <w:widowControl/>
        <w:kinsoku/>
        <w:wordWrap/>
        <w:topLinePunct w:val="0"/>
        <w:autoSpaceDN/>
        <w:bidi w:val="0"/>
        <w:spacing w:line="560" w:lineRule="exact"/>
        <w:ind w:leftChars="0" w:firstLine="643" w:firstLineChars="200"/>
        <w:textAlignment w:val="auto"/>
        <w:rPr>
          <w:rFonts w:hint="eastAsia" w:ascii="楷体_GB2312" w:hAnsi="楷体_GB2312" w:eastAsia="楷体_GB2312" w:cs="楷体_GB2312"/>
          <w:b/>
          <w:bCs/>
          <w:sz w:val="32"/>
          <w:szCs w:val="32"/>
          <w:lang w:val="en-US" w:eastAsia="zh-CN"/>
        </w:rPr>
      </w:pPr>
      <w:r>
        <w:rPr>
          <w:rFonts w:hint="eastAsia" w:ascii="楷体_GB2312" w:hAnsi="楷体_GB2312" w:eastAsia="楷体_GB2312" w:cs="楷体_GB2312"/>
          <w:b/>
          <w:bCs/>
          <w:sz w:val="32"/>
          <w:szCs w:val="32"/>
          <w:lang w:val="en-US" w:eastAsia="zh-CN"/>
        </w:rPr>
        <w:t>（一）产出指标完成情况分析：</w:t>
      </w:r>
    </w:p>
    <w:p>
      <w:pPr>
        <w:keepNext w:val="0"/>
        <w:keepLines w:val="0"/>
        <w:pageBreakBefore w:val="0"/>
        <w:widowControl/>
        <w:kinsoku/>
        <w:wordWrap/>
        <w:topLinePunct w:val="0"/>
        <w:autoSpaceDN/>
        <w:bidi w:val="0"/>
        <w:spacing w:line="560" w:lineRule="exact"/>
        <w:ind w:leftChars="0" w:firstLine="643" w:firstLineChars="200"/>
        <w:textAlignment w:val="auto"/>
        <w:rPr>
          <w:rFonts w:hint="eastAsia" w:ascii="仿宋_GB2312" w:eastAsia="仿宋_GB2312"/>
          <w:b/>
          <w:bCs/>
          <w:sz w:val="32"/>
          <w:szCs w:val="32"/>
          <w:lang w:val="en-US" w:eastAsia="zh-CN"/>
        </w:rPr>
      </w:pPr>
      <w:r>
        <w:rPr>
          <w:rFonts w:hint="eastAsia" w:ascii="仿宋_GB2312" w:eastAsia="仿宋_GB2312"/>
          <w:b/>
          <w:bCs/>
          <w:sz w:val="32"/>
          <w:szCs w:val="32"/>
          <w:lang w:val="en-US" w:eastAsia="zh-CN"/>
        </w:rPr>
        <w:t>（1）数量指标</w:t>
      </w:r>
    </w:p>
    <w:p>
      <w:pPr>
        <w:keepNext w:val="0"/>
        <w:keepLines w:val="0"/>
        <w:pageBreakBefore w:val="0"/>
        <w:widowControl/>
        <w:kinsoku/>
        <w:wordWrap/>
        <w:topLinePunct w:val="0"/>
        <w:autoSpaceDN/>
        <w:bidi w:val="0"/>
        <w:spacing w:line="560" w:lineRule="exact"/>
        <w:ind w:leftChars="0" w:firstLine="640" w:firstLineChars="200"/>
        <w:textAlignment w:val="auto"/>
        <w:rPr>
          <w:rFonts w:hint="default" w:ascii="仿宋_GB2312" w:eastAsia="仿宋_GB2312"/>
          <w:sz w:val="32"/>
          <w:szCs w:val="32"/>
          <w:lang w:val="en-US" w:eastAsia="zh-CN"/>
        </w:rPr>
      </w:pPr>
      <w:r>
        <w:rPr>
          <w:rFonts w:hint="eastAsia" w:ascii="仿宋_GB2312" w:hAnsi="仿宋_GB2312" w:eastAsia="仿宋_GB2312" w:cs="仿宋_GB2312"/>
          <w:sz w:val="32"/>
          <w:szCs w:val="32"/>
          <w:highlight w:val="none"/>
          <w:lang w:val="en-US" w:eastAsia="zh-CN"/>
        </w:rPr>
        <w:t>2023年计划建设面积5.73万亩，其中新建4.73万亩，改造提升1万亩</w:t>
      </w:r>
    </w:p>
    <w:p>
      <w:pPr>
        <w:keepNext w:val="0"/>
        <w:keepLines w:val="0"/>
        <w:pageBreakBefore w:val="0"/>
        <w:widowControl/>
        <w:kinsoku/>
        <w:wordWrap/>
        <w:topLinePunct w:val="0"/>
        <w:autoSpaceDN/>
        <w:bidi w:val="0"/>
        <w:spacing w:line="560" w:lineRule="exact"/>
        <w:ind w:leftChars="0" w:firstLine="643" w:firstLineChars="200"/>
        <w:textAlignment w:val="auto"/>
        <w:rPr>
          <w:rFonts w:hint="eastAsia" w:ascii="仿宋_GB2312" w:eastAsia="仿宋_GB2312"/>
          <w:b/>
          <w:bCs/>
          <w:sz w:val="32"/>
          <w:szCs w:val="32"/>
          <w:lang w:val="en-US" w:eastAsia="zh-CN"/>
        </w:rPr>
      </w:pPr>
      <w:r>
        <w:rPr>
          <w:rFonts w:hint="eastAsia" w:ascii="仿宋_GB2312" w:eastAsia="仿宋_GB2312"/>
          <w:b/>
          <w:bCs/>
          <w:sz w:val="32"/>
          <w:szCs w:val="32"/>
          <w:lang w:val="en-US" w:eastAsia="zh-CN"/>
        </w:rPr>
        <w:t>（2）质量指标</w:t>
      </w:r>
    </w:p>
    <w:p>
      <w:pPr>
        <w:keepNext w:val="0"/>
        <w:keepLines w:val="0"/>
        <w:pageBreakBefore w:val="0"/>
        <w:widowControl/>
        <w:kinsoku/>
        <w:wordWrap/>
        <w:topLinePunct w:val="0"/>
        <w:autoSpaceDN/>
        <w:bidi w:val="0"/>
        <w:spacing w:line="560" w:lineRule="exact"/>
        <w:ind w:leftChars="0" w:firstLine="640" w:firstLineChars="200"/>
        <w:textAlignment w:val="auto"/>
        <w:rPr>
          <w:rFonts w:hint="eastAsia" w:ascii="仿宋_GB2312" w:eastAsia="仿宋_GB2312"/>
          <w:sz w:val="32"/>
          <w:szCs w:val="32"/>
          <w:lang w:val="en-US" w:eastAsia="zh-CN"/>
        </w:rPr>
      </w:pPr>
      <w:r>
        <w:rPr>
          <w:rFonts w:hint="eastAsia" w:ascii="仿宋_GB2312" w:hAnsi="仿宋_GB2312" w:eastAsia="仿宋_GB2312" w:cs="仿宋_GB2312"/>
          <w:sz w:val="32"/>
          <w:szCs w:val="32"/>
          <w:highlight w:val="none"/>
          <w:lang w:val="en-US" w:eastAsia="zh-CN"/>
        </w:rPr>
        <w:t>①土地平整工程达到建设标准，无群众不良反应；②混凝土工程强度、抗渗、抗冻等指标符合要求，按要求设置了“伸缩缝和排水孔”；③田间道路通达率≥90%；④项目建设突出了生态绿色环保理念，按要求种植了农田防护林（桂花树）；⑤工程外观形象好，桥、涵、闸、池、码头、消能等建筑物的设置衔接合理，各类工程施工工艺精细；⑥土地经营者对工程质量满意度达到100%，项目实施以来无群众不良反应；</w:t>
      </w:r>
    </w:p>
    <w:p>
      <w:pPr>
        <w:keepNext w:val="0"/>
        <w:keepLines w:val="0"/>
        <w:pageBreakBefore w:val="0"/>
        <w:widowControl/>
        <w:numPr>
          <w:ilvl w:val="0"/>
          <w:numId w:val="3"/>
        </w:numPr>
        <w:kinsoku/>
        <w:wordWrap/>
        <w:topLinePunct w:val="0"/>
        <w:autoSpaceDN/>
        <w:bidi w:val="0"/>
        <w:spacing w:line="560" w:lineRule="exact"/>
        <w:ind w:leftChars="0" w:firstLine="643" w:firstLineChars="200"/>
        <w:textAlignment w:val="auto"/>
        <w:rPr>
          <w:rFonts w:hint="eastAsia" w:ascii="仿宋_GB2312" w:eastAsia="仿宋_GB2312"/>
          <w:b/>
          <w:bCs/>
          <w:sz w:val="32"/>
          <w:szCs w:val="32"/>
          <w:lang w:val="en-US" w:eastAsia="zh-CN"/>
        </w:rPr>
      </w:pPr>
      <w:r>
        <w:rPr>
          <w:rFonts w:hint="eastAsia" w:ascii="仿宋_GB2312" w:eastAsia="仿宋_GB2312"/>
          <w:b/>
          <w:bCs/>
          <w:sz w:val="32"/>
          <w:szCs w:val="32"/>
          <w:lang w:val="en-US" w:eastAsia="zh-CN"/>
        </w:rPr>
        <w:t>时效指标</w:t>
      </w:r>
    </w:p>
    <w:p>
      <w:pPr>
        <w:keepNext w:val="0"/>
        <w:keepLines w:val="0"/>
        <w:pageBreakBefore w:val="0"/>
        <w:widowControl/>
        <w:numPr>
          <w:ilvl w:val="0"/>
          <w:numId w:val="0"/>
        </w:numPr>
        <w:kinsoku/>
        <w:wordWrap/>
        <w:topLinePunct w:val="0"/>
        <w:autoSpaceDN/>
        <w:bidi w:val="0"/>
        <w:spacing w:line="560" w:lineRule="exact"/>
        <w:ind w:leftChars="0" w:firstLine="640" w:firstLineChars="200"/>
        <w:textAlignment w:val="auto"/>
        <w:rPr>
          <w:rFonts w:hint="default" w:ascii="仿宋_GB2312" w:eastAsia="仿宋_GB2312"/>
          <w:sz w:val="32"/>
          <w:szCs w:val="32"/>
          <w:lang w:val="en-US" w:eastAsia="zh-CN"/>
        </w:rPr>
      </w:pPr>
      <w:r>
        <w:rPr>
          <w:rFonts w:hint="eastAsia" w:ascii="仿宋_GB2312" w:hAnsi="仿宋_GB2312" w:eastAsia="仿宋_GB2312" w:cs="仿宋_GB2312"/>
          <w:sz w:val="32"/>
          <w:szCs w:val="32"/>
          <w:highlight w:val="none"/>
          <w:lang w:val="en-US" w:eastAsia="zh-CN"/>
        </w:rPr>
        <w:t>华容县2023年高标准农田建设项目初步设计、监理、施工、施工图设计均按时在岳阳市公共资源交易网发布了招标公告并下达了中标通知书；项目于2023年11月10日开工后，按时召开了各项目区工作会议、监理会议及技术交底会，目前施工进度为88%，预计2024年3月底完工。</w:t>
      </w:r>
    </w:p>
    <w:p>
      <w:pPr>
        <w:keepNext w:val="0"/>
        <w:keepLines w:val="0"/>
        <w:pageBreakBefore w:val="0"/>
        <w:widowControl/>
        <w:kinsoku/>
        <w:wordWrap/>
        <w:topLinePunct w:val="0"/>
        <w:autoSpaceDN/>
        <w:bidi w:val="0"/>
        <w:spacing w:line="560" w:lineRule="exact"/>
        <w:ind w:leftChars="0" w:firstLine="640" w:firstLineChars="200"/>
        <w:textAlignment w:val="auto"/>
        <w:rPr>
          <w:rFonts w:hint="eastAsia" w:ascii="仿宋_GB2312" w:eastAsia="仿宋_GB2312"/>
          <w:sz w:val="32"/>
          <w:szCs w:val="32"/>
          <w:lang w:val="en-US" w:eastAsia="zh-CN"/>
        </w:rPr>
      </w:pPr>
      <w:r>
        <w:rPr>
          <w:rFonts w:hint="eastAsia" w:ascii="仿宋_GB2312" w:eastAsia="仿宋_GB2312"/>
          <w:sz w:val="32"/>
          <w:szCs w:val="32"/>
          <w:lang w:val="en-US" w:eastAsia="zh-CN"/>
        </w:rPr>
        <w:t>（4）成本指标</w:t>
      </w:r>
    </w:p>
    <w:p>
      <w:pPr>
        <w:keepNext w:val="0"/>
        <w:keepLines w:val="0"/>
        <w:pageBreakBefore w:val="0"/>
        <w:widowControl/>
        <w:kinsoku/>
        <w:wordWrap/>
        <w:topLinePunct w:val="0"/>
        <w:autoSpaceDN/>
        <w:bidi w:val="0"/>
        <w:spacing w:line="560" w:lineRule="exact"/>
        <w:ind w:leftChars="0" w:firstLine="643" w:firstLineChars="200"/>
        <w:textAlignment w:val="auto"/>
        <w:rPr>
          <w:rFonts w:hint="eastAsia" w:ascii="楷体_GB2312" w:hAnsi="楷体_GB2312" w:eastAsia="楷体_GB2312" w:cs="楷体_GB2312"/>
          <w:b/>
          <w:bCs/>
          <w:sz w:val="32"/>
          <w:szCs w:val="32"/>
          <w:lang w:val="en-US" w:eastAsia="zh-CN"/>
        </w:rPr>
      </w:pPr>
      <w:r>
        <w:rPr>
          <w:rFonts w:hint="eastAsia" w:ascii="楷体_GB2312" w:hAnsi="楷体_GB2312" w:eastAsia="楷体_GB2312" w:cs="楷体_GB2312"/>
          <w:b/>
          <w:bCs/>
          <w:sz w:val="32"/>
          <w:szCs w:val="32"/>
          <w:lang w:val="en-US" w:eastAsia="zh-CN"/>
        </w:rPr>
        <w:t>（二）效益指标完成情况分析</w:t>
      </w:r>
    </w:p>
    <w:p>
      <w:pPr>
        <w:keepNext w:val="0"/>
        <w:keepLines w:val="0"/>
        <w:pageBreakBefore w:val="0"/>
        <w:widowControl w:val="0"/>
        <w:suppressLineNumbers w:val="0"/>
        <w:kinsoku/>
        <w:wordWrap/>
        <w:overflowPunct w:val="0"/>
        <w:topLinePunct w:val="0"/>
        <w:autoSpaceDE w:val="0"/>
        <w:autoSpaceDN/>
        <w:bidi w:val="0"/>
        <w:adjustRightInd w:val="0"/>
        <w:snapToGrid w:val="0"/>
        <w:spacing w:line="560" w:lineRule="exact"/>
        <w:ind w:leftChars="0" w:firstLine="622" w:firstLineChars="200"/>
        <w:jc w:val="both"/>
        <w:textAlignment w:val="auto"/>
        <w:rPr>
          <w:rFonts w:hint="default"/>
          <w:color w:val="000000"/>
          <w:sz w:val="28"/>
          <w:szCs w:val="28"/>
          <w:lang w:val="en-US" w:eastAsia="zh-CN"/>
        </w:rPr>
      </w:pPr>
      <w:r>
        <w:rPr>
          <w:rFonts w:hint="eastAsia" w:ascii="仿宋_GB2312" w:hAnsi="宋体" w:eastAsia="仿宋_GB2312" w:cs="仿宋_GB2312"/>
          <w:b/>
          <w:bCs/>
          <w:color w:val="000000"/>
          <w:kern w:val="0"/>
          <w:sz w:val="31"/>
          <w:szCs w:val="31"/>
          <w:lang w:val="en-US" w:eastAsia="zh-CN" w:bidi="ar"/>
        </w:rPr>
        <w:t>（1）</w:t>
      </w:r>
      <w:r>
        <w:rPr>
          <w:rFonts w:ascii="仿宋_GB2312" w:hAnsi="宋体" w:eastAsia="仿宋_GB2312" w:cs="仿宋_GB2312"/>
          <w:b/>
          <w:bCs/>
          <w:color w:val="000000"/>
          <w:kern w:val="0"/>
          <w:sz w:val="31"/>
          <w:szCs w:val="31"/>
          <w:lang w:val="en-US" w:eastAsia="zh-CN" w:bidi="ar"/>
        </w:rPr>
        <w:t>经济效益。</w:t>
      </w:r>
      <w:r>
        <w:rPr>
          <w:rFonts w:hint="default" w:ascii="仿宋_GB2312" w:hAnsi="宋体" w:eastAsia="仿宋_GB2312" w:cs="仿宋_GB2312"/>
          <w:color w:val="000000"/>
          <w:kern w:val="0"/>
          <w:sz w:val="31"/>
          <w:szCs w:val="31"/>
          <w:lang w:val="en-US" w:eastAsia="zh-CN" w:bidi="ar"/>
        </w:rPr>
        <w:t>通过项目实施，</w:t>
      </w:r>
      <w:r>
        <w:rPr>
          <w:rFonts w:hint="eastAsia" w:ascii="仿宋_GB2312" w:hAnsi="仿宋_GB2312" w:eastAsia="仿宋_GB2312" w:cs="仿宋_GB2312"/>
          <w:sz w:val="32"/>
          <w:szCs w:val="32"/>
          <w:lang w:val="en-US" w:eastAsia="zh-CN"/>
        </w:rPr>
        <w:t>农业生产条件得到改善</w:t>
      </w:r>
      <w:r>
        <w:rPr>
          <w:rFonts w:hint="eastAsia" w:ascii="仿宋_GB2312" w:hAnsi="仿宋_GB2312" w:eastAsia="仿宋_GB2312" w:cs="仿宋_GB2312"/>
          <w:color w:val="000000"/>
          <w:kern w:val="0"/>
          <w:sz w:val="32"/>
          <w:szCs w:val="32"/>
          <w:lang w:val="en-US" w:eastAsia="zh-CN" w:bidi="ar"/>
        </w:rPr>
        <w:t>项目区农田基本可实现旱涝保收，</w:t>
      </w:r>
      <w:r>
        <w:rPr>
          <w:rFonts w:hint="eastAsia" w:ascii="仿宋_GB2312" w:hAnsi="仿宋_GB2312" w:eastAsia="仿宋_GB2312" w:cs="仿宋_GB2312"/>
          <w:sz w:val="32"/>
          <w:szCs w:val="32"/>
          <w:highlight w:val="none"/>
          <w:lang w:val="en-US" w:eastAsia="zh-CN"/>
        </w:rPr>
        <w:t>耕地平均增加等级0.38，灌溉水利用率提高18%，预计年新产棉花326.45万公斤，增产油料18.58万公斤.</w:t>
      </w:r>
      <w:r>
        <w:rPr>
          <w:rFonts w:hint="eastAsia" w:ascii="仿宋_GB2312" w:hAnsi="仿宋_GB2312" w:eastAsia="仿宋_GB2312" w:cs="仿宋_GB2312"/>
          <w:color w:val="000000"/>
          <w:kern w:val="0"/>
          <w:sz w:val="32"/>
          <w:szCs w:val="32"/>
          <w:highlight w:val="none"/>
          <w:lang w:val="en-US" w:eastAsia="zh-CN" w:bidi="ar"/>
        </w:rPr>
        <w:t>本项目实施所</w:t>
      </w:r>
      <w:r>
        <w:rPr>
          <w:rFonts w:hint="eastAsia" w:ascii="仿宋_GB2312" w:hAnsi="仿宋_GB2312" w:eastAsia="仿宋_GB2312" w:cs="仿宋_GB2312"/>
          <w:color w:val="000000"/>
          <w:kern w:val="0"/>
          <w:sz w:val="32"/>
          <w:szCs w:val="32"/>
          <w:lang w:val="en-US" w:eastAsia="zh-CN" w:bidi="ar"/>
        </w:rPr>
        <w:t>产生的经济效益是比较大的，生态效益明显，达到了社会效益、经济效益</w:t>
      </w:r>
      <w:r>
        <w:rPr>
          <w:rFonts w:hint="default" w:ascii="仿宋_GB2312" w:hAnsi="宋体" w:eastAsia="仿宋_GB2312" w:cs="仿宋_GB2312"/>
          <w:color w:val="000000"/>
          <w:kern w:val="0"/>
          <w:sz w:val="31"/>
          <w:szCs w:val="31"/>
          <w:lang w:val="en-US" w:eastAsia="zh-CN" w:bidi="ar"/>
        </w:rPr>
        <w:t>与生态效益的统一，符合高标准农田建设的目标。</w:t>
      </w:r>
    </w:p>
    <w:p>
      <w:pPr>
        <w:keepNext w:val="0"/>
        <w:keepLines w:val="0"/>
        <w:pageBreakBefore w:val="0"/>
        <w:widowControl w:val="0"/>
        <w:suppressLineNumbers w:val="0"/>
        <w:kinsoku/>
        <w:wordWrap/>
        <w:overflowPunct w:val="0"/>
        <w:topLinePunct w:val="0"/>
        <w:autoSpaceDE w:val="0"/>
        <w:autoSpaceDN/>
        <w:bidi w:val="0"/>
        <w:adjustRightInd w:val="0"/>
        <w:snapToGrid w:val="0"/>
        <w:spacing w:line="560" w:lineRule="exact"/>
        <w:ind w:leftChars="0" w:firstLine="622" w:firstLineChars="200"/>
        <w:jc w:val="both"/>
        <w:textAlignment w:val="auto"/>
        <w:rPr>
          <w:rFonts w:hint="eastAsia"/>
          <w:color w:val="000000"/>
          <w:sz w:val="28"/>
          <w:szCs w:val="28"/>
          <w:lang w:val="en-US" w:eastAsia="zh-CN"/>
        </w:rPr>
      </w:pPr>
      <w:r>
        <w:rPr>
          <w:rFonts w:hint="eastAsia" w:ascii="仿宋_GB2312" w:hAnsi="宋体" w:eastAsia="仿宋_GB2312" w:cs="仿宋_GB2312"/>
          <w:b/>
          <w:bCs/>
          <w:color w:val="000000"/>
          <w:kern w:val="0"/>
          <w:sz w:val="31"/>
          <w:szCs w:val="31"/>
          <w:lang w:val="en-US" w:eastAsia="zh-CN" w:bidi="ar"/>
        </w:rPr>
        <w:t>（2）</w:t>
      </w:r>
      <w:r>
        <w:rPr>
          <w:rFonts w:hint="default" w:ascii="仿宋_GB2312" w:hAnsi="宋体" w:eastAsia="仿宋_GB2312" w:cs="仿宋_GB2312"/>
          <w:b/>
          <w:bCs/>
          <w:color w:val="000000"/>
          <w:kern w:val="0"/>
          <w:sz w:val="31"/>
          <w:szCs w:val="31"/>
          <w:lang w:val="en-US" w:eastAsia="zh-CN" w:bidi="ar"/>
        </w:rPr>
        <w:t>社会效益。</w:t>
      </w:r>
      <w:r>
        <w:rPr>
          <w:rFonts w:hint="default" w:ascii="仿宋_GB2312" w:hAnsi="宋体" w:eastAsia="仿宋_GB2312" w:cs="仿宋_GB2312"/>
          <w:color w:val="000000"/>
          <w:kern w:val="0"/>
          <w:sz w:val="31"/>
          <w:szCs w:val="31"/>
          <w:lang w:val="en-US" w:eastAsia="zh-CN" w:bidi="ar"/>
        </w:rPr>
        <w:t>本项目的实施促进了社会主义新农村的建设，完善了灌排体系，改造了排水泄洪设施，改善了农业生产条件，提高农业专业化服务和科技化服务水平。提高了农业综合生产能力，粮食产量明显提高，为农业生产现代化建设提供了坚实的基础；带动了该地区经济发展，能够有效地增加农民收入，有效地提高农业的竞争能力，提高人民的生活水平。</w:t>
      </w:r>
    </w:p>
    <w:p>
      <w:pPr>
        <w:keepNext w:val="0"/>
        <w:keepLines w:val="0"/>
        <w:pageBreakBefore w:val="0"/>
        <w:widowControl w:val="0"/>
        <w:suppressLineNumbers w:val="0"/>
        <w:kinsoku/>
        <w:wordWrap/>
        <w:overflowPunct w:val="0"/>
        <w:topLinePunct w:val="0"/>
        <w:autoSpaceDE w:val="0"/>
        <w:autoSpaceDN/>
        <w:bidi w:val="0"/>
        <w:adjustRightInd w:val="0"/>
        <w:snapToGrid w:val="0"/>
        <w:spacing w:line="560" w:lineRule="exact"/>
        <w:ind w:leftChars="0" w:firstLine="622" w:firstLineChars="200"/>
        <w:jc w:val="both"/>
        <w:textAlignment w:val="auto"/>
        <w:rPr>
          <w:rFonts w:hint="default" w:ascii="Times-Roman" w:hAnsi="Times-Roman" w:cs="Times-Roman"/>
        </w:rPr>
      </w:pPr>
      <w:r>
        <w:rPr>
          <w:rFonts w:hint="eastAsia" w:ascii="仿宋_GB2312" w:hAnsi="宋体" w:eastAsia="仿宋_GB2312" w:cs="仿宋_GB2312"/>
          <w:b/>
          <w:bCs/>
          <w:color w:val="000000"/>
          <w:kern w:val="0"/>
          <w:sz w:val="31"/>
          <w:szCs w:val="31"/>
          <w:lang w:val="en-US" w:eastAsia="zh-CN" w:bidi="ar"/>
        </w:rPr>
        <w:t>（3）可持续影响</w:t>
      </w:r>
      <w:r>
        <w:rPr>
          <w:rFonts w:hint="default" w:ascii="仿宋_GB2312" w:hAnsi="宋体" w:eastAsia="仿宋_GB2312" w:cs="仿宋_GB2312"/>
          <w:b/>
          <w:bCs/>
          <w:color w:val="000000"/>
          <w:kern w:val="0"/>
          <w:sz w:val="31"/>
          <w:szCs w:val="31"/>
          <w:lang w:val="en-US" w:eastAsia="zh-CN" w:bidi="ar"/>
        </w:rPr>
        <w:t>。</w:t>
      </w:r>
      <w:r>
        <w:rPr>
          <w:rFonts w:hint="default" w:ascii="仿宋_GB2312" w:hAnsi="宋体" w:eastAsia="仿宋_GB2312" w:cs="仿宋_GB2312"/>
          <w:color w:val="000000"/>
          <w:kern w:val="0"/>
          <w:sz w:val="31"/>
          <w:szCs w:val="31"/>
          <w:lang w:val="en-US" w:eastAsia="zh-CN" w:bidi="ar"/>
        </w:rPr>
        <w:t>工程项目的实施，使得区内有限的水资源得到充分利用，提高水的利用率，改善灌溉条件，为建设“优质、高效、高产”农业的目标奠定基础。大型排渠通过植草砖护砌，维持生态平衡，减少了水土流失，又提高了排涝效益。同时通过渠道防渗，达到节水增收增产的目的，极大程度上减少了干旱等自然灾害农民用水户的负面影响，为项目内农业生产稳定持续</w:t>
      </w:r>
      <w:r>
        <w:rPr>
          <w:rFonts w:hint="eastAsia" w:ascii="仿宋_GB2312" w:hAnsi="宋体" w:eastAsia="仿宋_GB2312" w:cs="仿宋_GB2312"/>
          <w:color w:val="000000"/>
          <w:kern w:val="0"/>
          <w:sz w:val="31"/>
          <w:szCs w:val="31"/>
          <w:lang w:val="en-US" w:eastAsia="zh-CN" w:bidi="ar"/>
        </w:rPr>
        <w:t>发展</w:t>
      </w:r>
      <w:r>
        <w:rPr>
          <w:rFonts w:hint="default" w:ascii="仿宋_GB2312" w:hAnsi="宋体" w:eastAsia="仿宋_GB2312" w:cs="仿宋_GB2312"/>
          <w:color w:val="000000"/>
          <w:kern w:val="0"/>
          <w:sz w:val="31"/>
          <w:szCs w:val="31"/>
          <w:lang w:val="en-US" w:eastAsia="zh-CN" w:bidi="ar"/>
        </w:rPr>
        <w:t>起到了巨大作用</w:t>
      </w:r>
      <w:r>
        <w:rPr>
          <w:rFonts w:hint="eastAsia" w:ascii="仿宋_GB2312" w:hAnsi="宋体" w:eastAsia="仿宋_GB2312" w:cs="仿宋_GB2312"/>
          <w:color w:val="000000"/>
          <w:kern w:val="0"/>
          <w:sz w:val="31"/>
          <w:szCs w:val="31"/>
          <w:lang w:val="en-US" w:eastAsia="zh-CN" w:bidi="ar"/>
        </w:rPr>
        <w:t>。</w:t>
      </w:r>
    </w:p>
    <w:p>
      <w:pPr>
        <w:keepNext w:val="0"/>
        <w:keepLines w:val="0"/>
        <w:pageBreakBefore w:val="0"/>
        <w:widowControl/>
        <w:kinsoku/>
        <w:wordWrap/>
        <w:topLinePunct w:val="0"/>
        <w:autoSpaceDN/>
        <w:bidi w:val="0"/>
        <w:spacing w:line="560" w:lineRule="exact"/>
        <w:ind w:leftChars="0" w:firstLine="643" w:firstLineChars="200"/>
        <w:textAlignment w:val="auto"/>
        <w:rPr>
          <w:rFonts w:hint="eastAsia" w:ascii="楷体_GB2312" w:hAnsi="楷体_GB2312" w:eastAsia="楷体_GB2312" w:cs="楷体_GB2312"/>
          <w:b/>
          <w:bCs/>
          <w:sz w:val="32"/>
          <w:szCs w:val="32"/>
          <w:lang w:val="en-US" w:eastAsia="zh-CN"/>
        </w:rPr>
      </w:pPr>
      <w:r>
        <w:rPr>
          <w:rFonts w:hint="eastAsia" w:ascii="楷体_GB2312" w:hAnsi="楷体_GB2312" w:eastAsia="楷体_GB2312" w:cs="楷体_GB2312"/>
          <w:b/>
          <w:bCs/>
          <w:sz w:val="32"/>
          <w:szCs w:val="32"/>
          <w:lang w:val="en-US" w:eastAsia="zh-CN"/>
        </w:rPr>
        <w:t>（三）满意度指标完成情况分析</w:t>
      </w:r>
    </w:p>
    <w:p>
      <w:pPr>
        <w:keepNext w:val="0"/>
        <w:keepLines w:val="0"/>
        <w:pageBreakBefore w:val="0"/>
        <w:widowControl/>
        <w:kinsoku/>
        <w:wordWrap/>
        <w:topLinePunct w:val="0"/>
        <w:autoSpaceDN/>
        <w:bidi w:val="0"/>
        <w:spacing w:line="560" w:lineRule="exact"/>
        <w:ind w:leftChars="0" w:firstLine="640" w:firstLineChars="200"/>
        <w:textAlignment w:val="auto"/>
        <w:rPr>
          <w:rFonts w:hint="default" w:ascii="仿宋_GB2312" w:eastAsia="仿宋_GB2312"/>
          <w:sz w:val="32"/>
          <w:szCs w:val="32"/>
          <w:lang w:val="en-US" w:eastAsia="zh-CN"/>
        </w:rPr>
      </w:pPr>
      <w:r>
        <w:rPr>
          <w:rFonts w:hint="eastAsia" w:ascii="仿宋_GB2312" w:eastAsia="仿宋_GB2312"/>
          <w:sz w:val="32"/>
          <w:szCs w:val="32"/>
          <w:lang w:val="en-US" w:eastAsia="zh-CN"/>
        </w:rPr>
        <w:t>通过本项目配套与完善项目区农田水利设施，培育基础地力，让项目区农田真正体会到了国家对农业的重视和对农民利益的保护。项目区年直接受益农户数量25725户，年直接受益农业人口数103393人，年直接受益农民年纯收入增加总额1075.71万元，项目区公众满意度100%。</w:t>
      </w:r>
    </w:p>
    <w:p>
      <w:pPr>
        <w:keepNext w:val="0"/>
        <w:keepLines w:val="0"/>
        <w:pageBreakBefore w:val="0"/>
        <w:numPr>
          <w:ilvl w:val="0"/>
          <w:numId w:val="0"/>
        </w:numPr>
        <w:kinsoku/>
        <w:wordWrap/>
        <w:topLinePunct w:val="0"/>
        <w:autoSpaceDN/>
        <w:bidi w:val="0"/>
        <w:spacing w:line="560" w:lineRule="exact"/>
        <w:ind w:leftChars="0" w:firstLine="640" w:firstLineChars="200"/>
        <w:textAlignment w:val="auto"/>
        <w:rPr>
          <w:rFonts w:hint="default" w:ascii="黑体" w:hAnsi="黑体" w:eastAsia="黑体"/>
          <w:sz w:val="32"/>
          <w:szCs w:val="32"/>
          <w:lang w:val="en-US" w:eastAsia="zh-CN"/>
        </w:rPr>
      </w:pPr>
      <w:r>
        <w:rPr>
          <w:rFonts w:hint="eastAsia" w:ascii="黑体" w:hAnsi="黑体" w:eastAsia="黑体"/>
          <w:sz w:val="32"/>
          <w:szCs w:val="32"/>
          <w:lang w:val="en-US" w:eastAsia="zh-CN"/>
        </w:rPr>
        <w:t>五、其他需要说明的问题</w:t>
      </w:r>
    </w:p>
    <w:p>
      <w:pPr>
        <w:keepNext w:val="0"/>
        <w:keepLines w:val="0"/>
        <w:pageBreakBefore w:val="0"/>
        <w:widowControl/>
        <w:kinsoku/>
        <w:wordWrap/>
        <w:topLinePunct w:val="0"/>
        <w:autoSpaceDN/>
        <w:bidi w:val="0"/>
        <w:spacing w:line="560" w:lineRule="exact"/>
        <w:ind w:leftChars="0" w:firstLine="643" w:firstLineChars="200"/>
        <w:textAlignment w:val="auto"/>
        <w:rPr>
          <w:rFonts w:hint="eastAsia" w:ascii="楷体_GB2312" w:hAnsi="楷体_GB2312" w:eastAsia="楷体_GB2312" w:cs="楷体_GB2312"/>
          <w:b/>
          <w:bCs/>
          <w:sz w:val="32"/>
          <w:szCs w:val="32"/>
          <w:lang w:val="en-US" w:eastAsia="zh-CN"/>
        </w:rPr>
      </w:pPr>
      <w:r>
        <w:rPr>
          <w:rFonts w:hint="eastAsia" w:ascii="楷体_GB2312" w:hAnsi="楷体_GB2312" w:eastAsia="楷体_GB2312" w:cs="楷体_GB2312"/>
          <w:b/>
          <w:bCs/>
          <w:sz w:val="32"/>
          <w:szCs w:val="32"/>
          <w:lang w:val="en-US" w:eastAsia="zh-CN"/>
        </w:rPr>
        <w:t>（一）后续工作计划</w:t>
      </w:r>
    </w:p>
    <w:p>
      <w:pPr>
        <w:keepNext w:val="0"/>
        <w:keepLines w:val="0"/>
        <w:pageBreakBefore w:val="0"/>
        <w:widowControl/>
        <w:kinsoku/>
        <w:wordWrap/>
        <w:topLinePunct w:val="0"/>
        <w:autoSpaceDN/>
        <w:bidi w:val="0"/>
        <w:spacing w:line="560" w:lineRule="exact"/>
        <w:ind w:leftChars="0" w:firstLine="640" w:firstLineChars="200"/>
        <w:textAlignment w:val="auto"/>
        <w:rPr>
          <w:rFonts w:hint="default" w:ascii="楷体_GB2312" w:hAnsi="楷体_GB2312" w:eastAsia="楷体_GB2312" w:cs="楷体_GB2312"/>
          <w:b/>
          <w:bCs/>
          <w:sz w:val="32"/>
          <w:szCs w:val="32"/>
          <w:lang w:val="en-US" w:eastAsia="zh-CN"/>
        </w:rPr>
      </w:pPr>
      <w:r>
        <w:rPr>
          <w:rFonts w:hint="eastAsia" w:ascii="仿宋_GB2312" w:hAnsi="华文中宋" w:eastAsia="仿宋_GB2312"/>
          <w:sz w:val="32"/>
          <w:szCs w:val="32"/>
          <w:lang w:val="en-US" w:eastAsia="zh-CN"/>
        </w:rPr>
        <w:t>（1）项目完工后，同步开展验收计量工作，并完成县级初步验收。（2）项目验收后，及时与项目村场签订管护移交责任书，落实管护责任。（3）形成项目结算资料，并向市局申请市级竣工验收。（4）验收合格后，向县财政局申请项目结算评审。</w:t>
      </w:r>
    </w:p>
    <w:p>
      <w:pPr>
        <w:keepNext w:val="0"/>
        <w:keepLines w:val="0"/>
        <w:pageBreakBefore w:val="0"/>
        <w:widowControl/>
        <w:kinsoku/>
        <w:wordWrap/>
        <w:topLinePunct w:val="0"/>
        <w:autoSpaceDN/>
        <w:bidi w:val="0"/>
        <w:spacing w:line="560" w:lineRule="exact"/>
        <w:ind w:leftChars="0" w:firstLine="643" w:firstLineChars="200"/>
        <w:textAlignment w:val="auto"/>
        <w:rPr>
          <w:rFonts w:hint="default" w:ascii="楷体_GB2312" w:hAnsi="楷体_GB2312" w:eastAsia="楷体_GB2312" w:cs="楷体_GB2312"/>
          <w:b/>
          <w:bCs/>
          <w:sz w:val="32"/>
          <w:szCs w:val="32"/>
          <w:lang w:val="en-US" w:eastAsia="zh-CN"/>
        </w:rPr>
      </w:pPr>
      <w:r>
        <w:rPr>
          <w:rFonts w:hint="eastAsia" w:ascii="楷体_GB2312" w:hAnsi="楷体_GB2312" w:eastAsia="楷体_GB2312" w:cs="楷体_GB2312"/>
          <w:b/>
          <w:bCs/>
          <w:sz w:val="32"/>
          <w:szCs w:val="32"/>
          <w:lang w:val="en-US" w:eastAsia="zh-CN"/>
        </w:rPr>
        <w:t>（二）主要经验做法、存在的问题和建议</w:t>
      </w:r>
    </w:p>
    <w:p>
      <w:pPr>
        <w:keepNext w:val="0"/>
        <w:keepLines w:val="0"/>
        <w:pageBreakBefore w:val="0"/>
        <w:numPr>
          <w:ilvl w:val="0"/>
          <w:numId w:val="0"/>
        </w:numPr>
        <w:kinsoku/>
        <w:wordWrap/>
        <w:topLinePunct w:val="0"/>
        <w:autoSpaceDN/>
        <w:bidi w:val="0"/>
        <w:spacing w:line="560" w:lineRule="exact"/>
        <w:ind w:leftChars="0" w:firstLine="643" w:firstLineChars="200"/>
        <w:textAlignment w:val="auto"/>
        <w:rPr>
          <w:rFonts w:hint="eastAsia" w:ascii="仿宋_GB2312" w:hAnsi="仿宋_GB2312" w:eastAsia="仿宋_GB2312" w:cs="仿宋_GB2312"/>
          <w:b w:val="0"/>
          <w:bCs/>
          <w:kern w:val="2"/>
          <w:sz w:val="32"/>
          <w:szCs w:val="40"/>
          <w:lang w:val="en-US" w:eastAsia="zh-CN" w:bidi="ar-SA"/>
        </w:rPr>
      </w:pPr>
      <w:r>
        <w:rPr>
          <w:rFonts w:hint="eastAsia" w:ascii="仿宋_GB2312" w:hAnsi="仿宋_GB2312" w:eastAsia="仿宋_GB2312" w:cs="仿宋_GB2312"/>
          <w:b/>
          <w:bCs w:val="0"/>
          <w:color w:val="000000"/>
          <w:sz w:val="32"/>
          <w:szCs w:val="32"/>
          <w:lang w:eastAsia="zh-CN"/>
        </w:rPr>
        <w:t>（</w:t>
      </w:r>
      <w:r>
        <w:rPr>
          <w:rFonts w:hint="eastAsia" w:ascii="仿宋_GB2312" w:hAnsi="仿宋_GB2312" w:eastAsia="仿宋_GB2312" w:cs="仿宋_GB2312"/>
          <w:b/>
          <w:bCs w:val="0"/>
          <w:color w:val="000000"/>
          <w:sz w:val="32"/>
          <w:szCs w:val="32"/>
          <w:lang w:val="en-US" w:eastAsia="zh-CN"/>
        </w:rPr>
        <w:t>1</w:t>
      </w:r>
      <w:r>
        <w:rPr>
          <w:rFonts w:hint="eastAsia" w:ascii="仿宋_GB2312" w:hAnsi="仿宋_GB2312" w:eastAsia="仿宋_GB2312" w:cs="仿宋_GB2312"/>
          <w:b/>
          <w:bCs w:val="0"/>
          <w:color w:val="000000"/>
          <w:sz w:val="32"/>
          <w:szCs w:val="32"/>
          <w:lang w:eastAsia="zh-CN"/>
        </w:rPr>
        <w:t>）</w:t>
      </w:r>
      <w:r>
        <w:rPr>
          <w:rFonts w:hint="eastAsia" w:ascii="仿宋_GB2312" w:hAnsi="仿宋_GB2312" w:eastAsia="仿宋_GB2312" w:cs="仿宋_GB2312"/>
          <w:b/>
          <w:bCs w:val="0"/>
          <w:color w:val="000000"/>
          <w:sz w:val="32"/>
          <w:szCs w:val="32"/>
        </w:rPr>
        <w:t>创新建设模式</w:t>
      </w:r>
    </w:p>
    <w:p>
      <w:pPr>
        <w:keepNext w:val="0"/>
        <w:keepLines w:val="0"/>
        <w:pageBreakBefore w:val="0"/>
        <w:numPr>
          <w:ilvl w:val="0"/>
          <w:numId w:val="0"/>
        </w:numPr>
        <w:kinsoku/>
        <w:wordWrap/>
        <w:topLinePunct w:val="0"/>
        <w:autoSpaceDN/>
        <w:bidi w:val="0"/>
        <w:spacing w:line="560" w:lineRule="exact"/>
        <w:ind w:leftChars="0" w:firstLine="640" w:firstLineChars="200"/>
        <w:textAlignment w:val="auto"/>
        <w:rPr>
          <w:rFonts w:hint="eastAsia" w:ascii="仿宋_GB2312" w:hAnsi="仿宋_GB2312" w:eastAsia="仿宋_GB2312" w:cs="仿宋_GB2312"/>
          <w:color w:val="000000"/>
          <w:sz w:val="32"/>
          <w:szCs w:val="32"/>
          <w:lang w:val="en-US" w:eastAsia="zh-CN"/>
        </w:rPr>
      </w:pPr>
      <w:r>
        <w:rPr>
          <w:rFonts w:hint="eastAsia" w:ascii="仿宋_GB2312" w:hAnsi="仿宋_GB2312" w:eastAsia="仿宋_GB2312" w:cs="仿宋_GB2312"/>
          <w:b w:val="0"/>
          <w:bCs/>
          <w:kern w:val="2"/>
          <w:sz w:val="32"/>
          <w:szCs w:val="40"/>
          <w:lang w:val="en-US" w:eastAsia="zh-CN" w:bidi="ar-SA"/>
        </w:rPr>
        <w:t>华容县2023年高标准农田建设项目</w:t>
      </w:r>
      <w:r>
        <w:rPr>
          <w:rFonts w:hint="eastAsia" w:ascii="仿宋_GB2312" w:hAnsi="仿宋_GB2312" w:eastAsia="仿宋_GB2312" w:cs="仿宋_GB2312"/>
          <w:color w:val="000000"/>
          <w:sz w:val="32"/>
          <w:szCs w:val="32"/>
        </w:rPr>
        <w:t>探索建立</w:t>
      </w:r>
      <w:r>
        <w:rPr>
          <w:rFonts w:hint="eastAsia" w:ascii="仿宋_GB2312" w:hAnsi="仿宋_GB2312" w:eastAsia="仿宋_GB2312" w:cs="仿宋_GB2312"/>
          <w:color w:val="000000"/>
          <w:sz w:val="32"/>
          <w:szCs w:val="32"/>
          <w:lang w:val="en-US" w:eastAsia="zh-CN"/>
        </w:rPr>
        <w:t>农业新型经营主体投融资模式</w:t>
      </w:r>
      <w:r>
        <w:rPr>
          <w:rFonts w:hint="eastAsia" w:ascii="仿宋_GB2312" w:hAnsi="仿宋_GB2312" w:eastAsia="仿宋_GB2312" w:cs="仿宋_GB2312"/>
          <w:color w:val="000000"/>
          <w:sz w:val="32"/>
          <w:szCs w:val="32"/>
        </w:rPr>
        <w:t>，以“先建后补”的方式鼓励</w:t>
      </w:r>
      <w:r>
        <w:rPr>
          <w:rFonts w:hint="eastAsia" w:ascii="仿宋_GB2312" w:hAnsi="仿宋_GB2312" w:eastAsia="仿宋_GB2312" w:cs="仿宋_GB2312"/>
          <w:color w:val="000000"/>
          <w:sz w:val="32"/>
          <w:szCs w:val="32"/>
          <w:lang w:val="en-US" w:eastAsia="zh-CN"/>
        </w:rPr>
        <w:t>新型经营主体</w:t>
      </w:r>
      <w:r>
        <w:rPr>
          <w:rFonts w:hint="eastAsia" w:ascii="仿宋_GB2312" w:hAnsi="仿宋_GB2312" w:eastAsia="仿宋_GB2312" w:cs="仿宋_GB2312"/>
          <w:color w:val="000000"/>
          <w:sz w:val="32"/>
          <w:szCs w:val="32"/>
        </w:rPr>
        <w:t>参与高标准农田项目建设，</w:t>
      </w:r>
      <w:r>
        <w:rPr>
          <w:rFonts w:hint="eastAsia" w:ascii="仿宋_GB2312" w:hAnsi="仿宋_GB2312" w:eastAsia="仿宋_GB2312" w:cs="仿宋_GB2312"/>
          <w:color w:val="000000"/>
          <w:sz w:val="32"/>
          <w:szCs w:val="32"/>
          <w:lang w:val="en-US" w:eastAsia="zh-CN"/>
        </w:rPr>
        <w:t>提升投资标准并达到3000元/亩以上，2023年高标准农田项目投融资模式实施的面积为6920.25亩。</w:t>
      </w:r>
    </w:p>
    <w:p>
      <w:pPr>
        <w:keepNext w:val="0"/>
        <w:keepLines w:val="0"/>
        <w:pageBreakBefore w:val="0"/>
        <w:numPr>
          <w:ilvl w:val="0"/>
          <w:numId w:val="0"/>
        </w:numPr>
        <w:kinsoku/>
        <w:wordWrap/>
        <w:topLinePunct w:val="0"/>
        <w:autoSpaceDN/>
        <w:bidi w:val="0"/>
        <w:spacing w:line="560" w:lineRule="exact"/>
        <w:ind w:leftChars="0" w:firstLine="643" w:firstLineChars="200"/>
        <w:textAlignment w:val="auto"/>
        <w:rPr>
          <w:rFonts w:hint="eastAsia" w:ascii="仿宋_GB2312" w:hAnsi="仿宋_GB2312" w:eastAsia="仿宋_GB2312" w:cs="仿宋_GB2312"/>
          <w:b/>
          <w:bCs w:val="0"/>
          <w:color w:val="000000"/>
          <w:sz w:val="32"/>
          <w:szCs w:val="32"/>
          <w:lang w:val="en-US" w:eastAsia="zh-CN"/>
        </w:rPr>
      </w:pPr>
      <w:r>
        <w:rPr>
          <w:rFonts w:hint="eastAsia" w:ascii="仿宋_GB2312" w:hAnsi="仿宋_GB2312" w:eastAsia="仿宋_GB2312" w:cs="仿宋_GB2312"/>
          <w:b/>
          <w:bCs w:val="0"/>
          <w:color w:val="000000"/>
          <w:sz w:val="32"/>
          <w:szCs w:val="32"/>
          <w:lang w:val="en-US" w:eastAsia="zh-CN"/>
        </w:rPr>
        <w:t>（2）创新监管模式</w:t>
      </w:r>
    </w:p>
    <w:p>
      <w:pPr>
        <w:keepNext w:val="0"/>
        <w:keepLines w:val="0"/>
        <w:pageBreakBefore w:val="0"/>
        <w:numPr>
          <w:ilvl w:val="0"/>
          <w:numId w:val="0"/>
        </w:numPr>
        <w:kinsoku/>
        <w:wordWrap/>
        <w:topLinePunct w:val="0"/>
        <w:autoSpaceDN/>
        <w:bidi w:val="0"/>
        <w:spacing w:line="560" w:lineRule="exact"/>
        <w:ind w:leftChars="0" w:firstLine="640" w:firstLineChars="200"/>
        <w:textAlignment w:val="auto"/>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lang w:val="en-US" w:eastAsia="zh-CN"/>
        </w:rPr>
        <w:t>华容县2023年高标准农田建设项目</w:t>
      </w:r>
      <w:r>
        <w:rPr>
          <w:rFonts w:hint="eastAsia" w:ascii="仿宋_GB2312" w:hAnsi="仿宋_GB2312" w:eastAsia="仿宋_GB2312" w:cs="仿宋_GB2312"/>
          <w:color w:val="000000"/>
          <w:sz w:val="32"/>
          <w:szCs w:val="32"/>
        </w:rPr>
        <w:t>引入“商业保险公司+监理单位”组成的监管联合体，</w:t>
      </w:r>
      <w:r>
        <w:rPr>
          <w:rFonts w:hint="eastAsia" w:ascii="仿宋_GB2312" w:hAnsi="仿宋_GB2312" w:eastAsia="仿宋_GB2312" w:cs="仿宋_GB2312"/>
          <w:color w:val="000000"/>
          <w:sz w:val="32"/>
          <w:szCs w:val="32"/>
          <w:lang w:val="en-US" w:eastAsia="zh-CN"/>
        </w:rPr>
        <w:t>监理</w:t>
      </w:r>
      <w:r>
        <w:rPr>
          <w:rFonts w:hint="eastAsia" w:ascii="仿宋_GB2312" w:hAnsi="仿宋_GB2312" w:eastAsia="仿宋_GB2312" w:cs="仿宋_GB2312"/>
          <w:color w:val="000000"/>
          <w:sz w:val="32"/>
          <w:szCs w:val="32"/>
        </w:rPr>
        <w:t>工程质量双监理机制，通过购买商业保险由有实力的保险公司主导工程质量监管，保险公司作为第三方机构，对监理公司履职情况进行再监理，后期发现工程质量或缺陷造成的损失则启动保险理赔程序，给农田建设工程质量提供双重保障。</w:t>
      </w:r>
    </w:p>
    <w:p>
      <w:pPr>
        <w:keepNext w:val="0"/>
        <w:keepLines w:val="0"/>
        <w:pageBreakBefore w:val="0"/>
        <w:numPr>
          <w:ilvl w:val="0"/>
          <w:numId w:val="0"/>
        </w:numPr>
        <w:kinsoku/>
        <w:wordWrap/>
        <w:topLinePunct w:val="0"/>
        <w:autoSpaceDN/>
        <w:bidi w:val="0"/>
        <w:spacing w:line="560" w:lineRule="exact"/>
        <w:ind w:leftChars="0" w:firstLine="643" w:firstLineChars="200"/>
        <w:textAlignment w:val="auto"/>
        <w:rPr>
          <w:rFonts w:hint="eastAsia" w:ascii="仿宋_GB2312" w:hAnsi="仿宋_GB2312" w:eastAsia="仿宋_GB2312" w:cs="仿宋_GB2312"/>
          <w:b/>
          <w:bCs/>
          <w:color w:val="000000"/>
          <w:sz w:val="32"/>
          <w:szCs w:val="32"/>
          <w:lang w:val="en-US" w:eastAsia="zh-CN"/>
        </w:rPr>
      </w:pPr>
      <w:r>
        <w:rPr>
          <w:rFonts w:hint="eastAsia" w:ascii="仿宋_GB2312" w:hAnsi="仿宋_GB2312" w:eastAsia="仿宋_GB2312" w:cs="仿宋_GB2312"/>
          <w:b/>
          <w:bCs/>
          <w:color w:val="000000"/>
          <w:sz w:val="32"/>
          <w:szCs w:val="32"/>
          <w:lang w:val="en-US" w:eastAsia="zh-CN"/>
        </w:rPr>
        <w:t>（3）存在的问题</w:t>
      </w:r>
    </w:p>
    <w:p>
      <w:pPr>
        <w:keepNext w:val="0"/>
        <w:keepLines w:val="0"/>
        <w:pageBreakBefore w:val="0"/>
        <w:kinsoku/>
        <w:wordWrap/>
        <w:topLinePunct w:val="0"/>
        <w:autoSpaceDN/>
        <w:bidi w:val="0"/>
        <w:spacing w:line="560" w:lineRule="exact"/>
        <w:ind w:leftChars="0" w:firstLine="640" w:firstLineChars="200"/>
        <w:textAlignment w:val="auto"/>
        <w:rPr>
          <w:rFonts w:hint="eastAsia" w:ascii="仿宋_GB2312" w:hAnsi="仿宋_GB2312" w:eastAsia="仿宋_GB2312" w:cs="仿宋_GB2312"/>
        </w:rPr>
      </w:pPr>
      <w:r>
        <w:rPr>
          <w:rFonts w:hint="eastAsia" w:ascii="仿宋_GB2312" w:hAnsi="仿宋_GB2312" w:eastAsia="仿宋_GB2312" w:cs="仿宋_GB2312"/>
          <w:sz w:val="32"/>
          <w:szCs w:val="32"/>
          <w:lang w:val="en-US" w:eastAsia="zh-CN"/>
        </w:rPr>
        <w:t>①目前高标准农田建设项目建后管护主要依靠受益村场管护，由于受益村场没有管护资金导致管护效果不佳；</w:t>
      </w:r>
    </w:p>
    <w:p>
      <w:pPr>
        <w:keepNext w:val="0"/>
        <w:keepLines w:val="0"/>
        <w:pageBreakBefore w:val="0"/>
        <w:numPr>
          <w:ilvl w:val="0"/>
          <w:numId w:val="0"/>
        </w:numPr>
        <w:kinsoku/>
        <w:wordWrap/>
        <w:topLinePunct w:val="0"/>
        <w:autoSpaceDN/>
        <w:bidi w:val="0"/>
        <w:spacing w:line="560" w:lineRule="exact"/>
        <w:ind w:leftChars="0" w:firstLine="640" w:firstLineChars="200"/>
        <w:textAlignment w:val="auto"/>
        <w:rPr>
          <w:rFonts w:hint="eastAsia" w:ascii="仿宋_GB2312" w:hAnsi="仿宋_GB2312" w:eastAsia="仿宋_GB2312" w:cs="仿宋_GB2312"/>
          <w:color w:val="000000"/>
          <w:sz w:val="32"/>
          <w:szCs w:val="32"/>
          <w:lang w:val="en-US" w:eastAsia="zh-CN"/>
        </w:rPr>
      </w:pPr>
      <w:r>
        <w:rPr>
          <w:rFonts w:hint="eastAsia" w:ascii="仿宋_GB2312" w:hAnsi="仿宋_GB2312" w:eastAsia="仿宋_GB2312" w:cs="仿宋_GB2312"/>
          <w:color w:val="000000"/>
          <w:sz w:val="32"/>
          <w:szCs w:val="32"/>
          <w:lang w:val="en-US" w:eastAsia="zh-CN"/>
        </w:rPr>
        <w:t>②</w:t>
      </w:r>
      <w:r>
        <w:rPr>
          <w:rFonts w:hint="eastAsia" w:ascii="仿宋_GB2312" w:hAnsi="仿宋_GB2312" w:eastAsia="仿宋_GB2312" w:cs="仿宋_GB2312"/>
          <w:sz w:val="32"/>
          <w:szCs w:val="32"/>
          <w:lang w:val="en-US" w:eastAsia="zh-CN"/>
        </w:rPr>
        <w:t>由于县财政困难，资金拨付不到位</w:t>
      </w:r>
    </w:p>
    <w:p>
      <w:pPr>
        <w:keepNext w:val="0"/>
        <w:keepLines w:val="0"/>
        <w:pageBreakBefore w:val="0"/>
        <w:kinsoku/>
        <w:wordWrap/>
        <w:topLinePunct w:val="0"/>
        <w:autoSpaceDN/>
        <w:bidi w:val="0"/>
        <w:spacing w:line="560" w:lineRule="exact"/>
        <w:ind w:leftChars="0" w:firstLine="640" w:firstLineChars="200"/>
        <w:jc w:val="right"/>
        <w:textAlignment w:val="auto"/>
        <w:rPr>
          <w:rFonts w:hint="eastAsia" w:ascii="仿宋_GB2312" w:eastAsia="仿宋_GB2312"/>
          <w:sz w:val="32"/>
          <w:szCs w:val="32"/>
          <w:lang w:val="en-US" w:eastAsia="zh-CN"/>
        </w:rPr>
      </w:pPr>
    </w:p>
    <w:p>
      <w:pPr>
        <w:keepNext w:val="0"/>
        <w:keepLines w:val="0"/>
        <w:pageBreakBefore w:val="0"/>
        <w:kinsoku/>
        <w:wordWrap/>
        <w:topLinePunct w:val="0"/>
        <w:autoSpaceDN/>
        <w:bidi w:val="0"/>
        <w:spacing w:line="560" w:lineRule="exact"/>
        <w:ind w:leftChars="0" w:firstLine="640" w:firstLineChars="200"/>
        <w:jc w:val="right"/>
        <w:textAlignment w:val="auto"/>
        <w:rPr>
          <w:rFonts w:hint="eastAsia" w:ascii="仿宋_GB2312" w:eastAsia="仿宋_GB2312"/>
          <w:sz w:val="32"/>
          <w:szCs w:val="32"/>
          <w:lang w:val="en-US" w:eastAsia="zh-CN"/>
        </w:rPr>
      </w:pPr>
    </w:p>
    <w:p>
      <w:pPr>
        <w:keepNext w:val="0"/>
        <w:keepLines w:val="0"/>
        <w:pageBreakBefore w:val="0"/>
        <w:kinsoku/>
        <w:wordWrap/>
        <w:topLinePunct w:val="0"/>
        <w:autoSpaceDN/>
        <w:bidi w:val="0"/>
        <w:spacing w:line="560" w:lineRule="exact"/>
        <w:ind w:leftChars="0" w:firstLine="640" w:firstLineChars="200"/>
        <w:jc w:val="right"/>
        <w:textAlignment w:val="auto"/>
        <w:rPr>
          <w:rFonts w:hint="eastAsia" w:ascii="仿宋_GB2312" w:eastAsia="仿宋_GB2312"/>
          <w:sz w:val="32"/>
          <w:szCs w:val="32"/>
          <w:lang w:val="en-US" w:eastAsia="zh-CN"/>
        </w:rPr>
      </w:pPr>
    </w:p>
    <w:p>
      <w:pPr>
        <w:keepNext w:val="0"/>
        <w:keepLines w:val="0"/>
        <w:pageBreakBefore w:val="0"/>
        <w:kinsoku/>
        <w:wordWrap/>
        <w:topLinePunct w:val="0"/>
        <w:autoSpaceDN/>
        <w:bidi w:val="0"/>
        <w:spacing w:line="560" w:lineRule="exact"/>
        <w:ind w:leftChars="0" w:firstLine="640" w:firstLineChars="200"/>
        <w:jc w:val="right"/>
        <w:textAlignment w:val="auto"/>
        <w:rPr>
          <w:rFonts w:hint="eastAsia" w:ascii="仿宋_GB2312" w:eastAsia="仿宋_GB2312"/>
          <w:sz w:val="32"/>
          <w:szCs w:val="32"/>
          <w:lang w:val="en-US" w:eastAsia="zh-CN"/>
        </w:rPr>
      </w:pPr>
    </w:p>
    <w:p>
      <w:pPr>
        <w:keepNext w:val="0"/>
        <w:keepLines w:val="0"/>
        <w:pageBreakBefore w:val="0"/>
        <w:kinsoku/>
        <w:wordWrap/>
        <w:topLinePunct w:val="0"/>
        <w:autoSpaceDN/>
        <w:bidi w:val="0"/>
        <w:spacing w:line="560" w:lineRule="exact"/>
        <w:ind w:leftChars="0" w:firstLine="640" w:firstLineChars="200"/>
        <w:jc w:val="right"/>
        <w:textAlignment w:val="auto"/>
        <w:rPr>
          <w:rFonts w:hint="eastAsia" w:ascii="仿宋_GB2312" w:eastAsia="仿宋_GB2312"/>
          <w:sz w:val="32"/>
          <w:szCs w:val="32"/>
          <w:lang w:val="en-US" w:eastAsia="zh-CN"/>
        </w:rPr>
      </w:pPr>
    </w:p>
    <w:p>
      <w:pPr>
        <w:keepNext w:val="0"/>
        <w:keepLines w:val="0"/>
        <w:pageBreakBefore w:val="0"/>
        <w:kinsoku/>
        <w:wordWrap/>
        <w:topLinePunct w:val="0"/>
        <w:autoSpaceDN/>
        <w:bidi w:val="0"/>
        <w:spacing w:line="560" w:lineRule="exact"/>
        <w:ind w:leftChars="0" w:firstLine="640" w:firstLineChars="200"/>
        <w:jc w:val="right"/>
        <w:textAlignment w:val="auto"/>
        <w:rPr>
          <w:rFonts w:hint="eastAsia" w:ascii="仿宋_GB2312" w:eastAsia="仿宋_GB2312"/>
          <w:sz w:val="32"/>
          <w:szCs w:val="32"/>
          <w:lang w:val="en-US" w:eastAsia="zh-CN"/>
        </w:rPr>
      </w:pPr>
    </w:p>
    <w:p>
      <w:pPr>
        <w:keepNext w:val="0"/>
        <w:keepLines w:val="0"/>
        <w:pageBreakBefore w:val="0"/>
        <w:kinsoku/>
        <w:wordWrap/>
        <w:topLinePunct w:val="0"/>
        <w:autoSpaceDN/>
        <w:bidi w:val="0"/>
        <w:spacing w:line="560" w:lineRule="exact"/>
        <w:ind w:leftChars="0" w:firstLine="640" w:firstLineChars="200"/>
        <w:jc w:val="right"/>
        <w:textAlignment w:val="auto"/>
        <w:rPr>
          <w:rFonts w:hint="eastAsia" w:ascii="仿宋_GB2312" w:eastAsia="仿宋_GB2312"/>
          <w:sz w:val="32"/>
          <w:szCs w:val="32"/>
          <w:lang w:val="en-US" w:eastAsia="zh-CN"/>
        </w:rPr>
      </w:pPr>
    </w:p>
    <w:p>
      <w:pPr>
        <w:keepNext w:val="0"/>
        <w:keepLines w:val="0"/>
        <w:pageBreakBefore w:val="0"/>
        <w:kinsoku/>
        <w:wordWrap/>
        <w:topLinePunct w:val="0"/>
        <w:autoSpaceDN/>
        <w:bidi w:val="0"/>
        <w:spacing w:line="560" w:lineRule="exact"/>
        <w:ind w:leftChars="0" w:firstLine="640" w:firstLineChars="200"/>
        <w:jc w:val="right"/>
        <w:textAlignment w:val="auto"/>
        <w:rPr>
          <w:rFonts w:hint="eastAsia" w:ascii="仿宋_GB2312" w:eastAsia="仿宋_GB2312"/>
          <w:sz w:val="32"/>
          <w:szCs w:val="32"/>
          <w:lang w:val="en-US" w:eastAsia="zh-CN"/>
        </w:rPr>
      </w:pPr>
    </w:p>
    <w:p>
      <w:pPr>
        <w:keepNext w:val="0"/>
        <w:keepLines w:val="0"/>
        <w:pageBreakBefore w:val="0"/>
        <w:kinsoku/>
        <w:wordWrap/>
        <w:topLinePunct w:val="0"/>
        <w:autoSpaceDN/>
        <w:bidi w:val="0"/>
        <w:spacing w:line="560" w:lineRule="exact"/>
        <w:ind w:leftChars="0" w:firstLine="640" w:firstLineChars="200"/>
        <w:jc w:val="right"/>
        <w:textAlignment w:val="auto"/>
        <w:rPr>
          <w:rFonts w:hint="eastAsia" w:ascii="仿宋_GB2312" w:eastAsia="仿宋_GB2312"/>
          <w:sz w:val="32"/>
          <w:szCs w:val="32"/>
          <w:lang w:val="en-US" w:eastAsia="zh-CN"/>
        </w:rPr>
      </w:pPr>
    </w:p>
    <w:p>
      <w:pPr>
        <w:keepNext w:val="0"/>
        <w:keepLines w:val="0"/>
        <w:pageBreakBefore w:val="0"/>
        <w:kinsoku/>
        <w:wordWrap/>
        <w:topLinePunct w:val="0"/>
        <w:autoSpaceDN/>
        <w:bidi w:val="0"/>
        <w:spacing w:line="560" w:lineRule="exact"/>
        <w:ind w:leftChars="0" w:firstLine="640" w:firstLineChars="200"/>
        <w:jc w:val="right"/>
        <w:textAlignment w:val="auto"/>
        <w:rPr>
          <w:rFonts w:hint="eastAsia" w:ascii="仿宋_GB2312" w:eastAsia="仿宋_GB2312"/>
          <w:sz w:val="32"/>
          <w:szCs w:val="32"/>
          <w:lang w:val="en-US" w:eastAsia="zh-CN"/>
        </w:rPr>
      </w:pPr>
    </w:p>
    <w:p>
      <w:pPr>
        <w:keepNext w:val="0"/>
        <w:keepLines w:val="0"/>
        <w:pageBreakBefore w:val="0"/>
        <w:kinsoku/>
        <w:wordWrap/>
        <w:topLinePunct w:val="0"/>
        <w:autoSpaceDN/>
        <w:bidi w:val="0"/>
        <w:spacing w:line="560" w:lineRule="exact"/>
        <w:ind w:leftChars="0" w:firstLine="640" w:firstLineChars="200"/>
        <w:jc w:val="right"/>
        <w:textAlignment w:val="auto"/>
        <w:rPr>
          <w:rFonts w:hint="eastAsia" w:ascii="仿宋_GB2312" w:eastAsia="仿宋_GB2312"/>
          <w:sz w:val="32"/>
          <w:szCs w:val="32"/>
          <w:lang w:val="en-US" w:eastAsia="zh-CN"/>
        </w:rPr>
      </w:pPr>
    </w:p>
    <w:p>
      <w:pPr>
        <w:keepNext w:val="0"/>
        <w:keepLines w:val="0"/>
        <w:pageBreakBefore w:val="0"/>
        <w:kinsoku/>
        <w:wordWrap/>
        <w:topLinePunct w:val="0"/>
        <w:autoSpaceDN/>
        <w:bidi w:val="0"/>
        <w:spacing w:line="560" w:lineRule="exact"/>
        <w:ind w:leftChars="0" w:firstLine="640" w:firstLineChars="200"/>
        <w:jc w:val="right"/>
        <w:textAlignment w:val="auto"/>
        <w:rPr>
          <w:rFonts w:hint="eastAsia" w:ascii="仿宋_GB2312" w:eastAsia="仿宋_GB2312"/>
          <w:sz w:val="32"/>
          <w:szCs w:val="32"/>
          <w:lang w:val="en-US" w:eastAsia="zh-CN"/>
        </w:rPr>
      </w:pPr>
    </w:p>
    <w:p>
      <w:pPr>
        <w:spacing w:before="181" w:line="171" w:lineRule="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rPr>
        <w:t>附件</w:t>
      </w:r>
      <w:r>
        <w:rPr>
          <w:rFonts w:hint="eastAsia" w:ascii="仿宋_GB2312" w:hAnsi="仿宋_GB2312" w:eastAsia="仿宋_GB2312" w:cs="仿宋_GB2312"/>
          <w:sz w:val="32"/>
          <w:szCs w:val="32"/>
          <w:lang w:val="en-US" w:eastAsia="zh-CN"/>
        </w:rPr>
        <w:t>6</w:t>
      </w:r>
    </w:p>
    <w:p>
      <w:pPr>
        <w:keepNext w:val="0"/>
        <w:keepLines w:val="0"/>
        <w:pageBreakBefore w:val="0"/>
        <w:widowControl w:val="0"/>
        <w:kinsoku/>
        <w:wordWrap/>
        <w:overflowPunct/>
        <w:topLinePunct w:val="0"/>
        <w:autoSpaceDE/>
        <w:autoSpaceDN/>
        <w:bidi w:val="0"/>
        <w:adjustRightInd/>
        <w:snapToGrid/>
        <w:spacing w:after="158" w:afterLines="50" w:line="580" w:lineRule="exact"/>
        <w:ind w:left="0"/>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pacing w:val="7"/>
          <w:sz w:val="44"/>
          <w:szCs w:val="44"/>
        </w:rPr>
        <w:t>2023年度项目支出绩效自评表</w:t>
      </w:r>
    </w:p>
    <w:tbl>
      <w:tblPr>
        <w:tblStyle w:val="19"/>
        <w:tblW w:w="5065"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896"/>
        <w:gridCol w:w="896"/>
        <w:gridCol w:w="1127"/>
        <w:gridCol w:w="938"/>
        <w:gridCol w:w="993"/>
        <w:gridCol w:w="1141"/>
        <w:gridCol w:w="643"/>
        <w:gridCol w:w="644"/>
        <w:gridCol w:w="1342"/>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9" w:hRule="atLeast"/>
        </w:trPr>
        <w:tc>
          <w:tcPr>
            <w:tcW w:w="1694" w:type="pct"/>
            <w:gridSpan w:val="3"/>
            <w:noWrap w:val="0"/>
            <w:vAlign w:val="center"/>
          </w:tcPr>
          <w:p>
            <w:pPr>
              <w:jc w:val="center"/>
              <w:rPr>
                <w:rFonts w:hint="eastAsia" w:ascii="黑体" w:hAnsi="黑体" w:eastAsia="黑体" w:cs="黑体"/>
                <w:sz w:val="21"/>
                <w:szCs w:val="21"/>
              </w:rPr>
            </w:pPr>
            <w:r>
              <w:rPr>
                <w:rFonts w:hint="eastAsia" w:ascii="黑体" w:hAnsi="黑体" w:eastAsia="黑体" w:cs="黑体"/>
                <w:sz w:val="21"/>
                <w:szCs w:val="21"/>
              </w:rPr>
              <w:t>项目支出名称</w:t>
            </w:r>
          </w:p>
        </w:tc>
        <w:tc>
          <w:tcPr>
            <w:tcW w:w="3305" w:type="pct"/>
            <w:gridSpan w:val="6"/>
            <w:noWrap w:val="0"/>
            <w:vAlign w:val="center"/>
          </w:tcPr>
          <w:p>
            <w:pPr>
              <w:keepNext w:val="0"/>
              <w:keepLines w:val="0"/>
              <w:pageBreakBefore w:val="0"/>
              <w:kinsoku/>
              <w:wordWrap/>
              <w:topLinePunct w:val="0"/>
              <w:autoSpaceDN/>
              <w:bidi w:val="0"/>
              <w:spacing w:line="580" w:lineRule="exact"/>
              <w:jc w:val="center"/>
              <w:textAlignment w:val="auto"/>
              <w:rPr>
                <w:rFonts w:hint="eastAsia" w:ascii="黑体" w:hAnsi="黑体" w:eastAsia="黑体" w:cs="黑体"/>
                <w:sz w:val="21"/>
                <w:szCs w:val="21"/>
              </w:rPr>
            </w:pPr>
            <w:r>
              <w:rPr>
                <w:rFonts w:hint="eastAsia" w:ascii="方正小标宋简体" w:hAnsi="方正小标宋简体" w:eastAsia="方正小标宋简体" w:cs="方正小标宋简体"/>
                <w:b w:val="0"/>
                <w:bCs w:val="0"/>
                <w:sz w:val="21"/>
                <w:szCs w:val="21"/>
                <w:lang w:val="en-US" w:eastAsia="zh-CN"/>
              </w:rPr>
              <w:t>2023年县农业农村局高标准农田建设</w:t>
            </w:r>
            <w:r>
              <w:rPr>
                <w:rFonts w:hint="eastAsia" w:ascii="方正小标宋简体" w:hAnsi="方正小标宋简体" w:eastAsia="方正小标宋简体" w:cs="方正小标宋简体"/>
                <w:b w:val="0"/>
                <w:bCs w:val="0"/>
                <w:sz w:val="21"/>
                <w:szCs w:val="21"/>
              </w:rPr>
              <w:t>项目</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0" w:type="pct"/>
            <w:noWrap w:val="0"/>
            <w:vAlign w:val="center"/>
          </w:tcPr>
          <w:p>
            <w:pPr>
              <w:jc w:val="center"/>
              <w:rPr>
                <w:rFonts w:hint="eastAsia" w:ascii="黑体" w:hAnsi="黑体" w:eastAsia="黑体" w:cs="黑体"/>
                <w:sz w:val="21"/>
                <w:szCs w:val="21"/>
              </w:rPr>
            </w:pPr>
            <w:r>
              <w:rPr>
                <w:rFonts w:hint="eastAsia" w:ascii="黑体" w:hAnsi="黑体" w:eastAsia="黑体" w:cs="黑体"/>
                <w:sz w:val="21"/>
                <w:szCs w:val="21"/>
              </w:rPr>
              <w:t>主管</w:t>
            </w:r>
          </w:p>
          <w:p>
            <w:pPr>
              <w:jc w:val="center"/>
              <w:rPr>
                <w:rFonts w:hint="eastAsia" w:ascii="黑体" w:hAnsi="黑体" w:eastAsia="黑体" w:cs="黑体"/>
                <w:sz w:val="21"/>
                <w:szCs w:val="21"/>
              </w:rPr>
            </w:pPr>
            <w:r>
              <w:rPr>
                <w:rFonts w:hint="eastAsia" w:ascii="黑体" w:hAnsi="黑体" w:eastAsia="黑体" w:cs="黑体"/>
                <w:sz w:val="21"/>
                <w:szCs w:val="21"/>
              </w:rPr>
              <w:t>部门</w:t>
            </w:r>
          </w:p>
        </w:tc>
        <w:tc>
          <w:tcPr>
            <w:tcW w:w="2294" w:type="pct"/>
            <w:gridSpan w:val="4"/>
            <w:noWrap w:val="0"/>
            <w:vAlign w:val="center"/>
          </w:tcPr>
          <w:p>
            <w:pPr>
              <w:jc w:val="center"/>
              <w:rPr>
                <w:rFonts w:hint="eastAsia" w:ascii="黑体" w:hAnsi="黑体" w:eastAsia="黑体" w:cs="黑体"/>
                <w:sz w:val="21"/>
                <w:szCs w:val="21"/>
              </w:rPr>
            </w:pPr>
            <w:r>
              <w:rPr>
                <w:rFonts w:hint="eastAsia" w:ascii="方正小标宋简体" w:hAnsi="方正小标宋简体" w:eastAsia="方正小标宋简体" w:cs="方正小标宋简体"/>
                <w:b w:val="0"/>
                <w:bCs w:val="0"/>
                <w:sz w:val="21"/>
                <w:szCs w:val="21"/>
                <w:lang w:val="en-US" w:eastAsia="zh-CN"/>
              </w:rPr>
              <w:t>农业农村局</w:t>
            </w:r>
          </w:p>
        </w:tc>
        <w:tc>
          <w:tcPr>
            <w:tcW w:w="661" w:type="pct"/>
            <w:noWrap w:val="0"/>
            <w:vAlign w:val="center"/>
          </w:tcPr>
          <w:p>
            <w:pPr>
              <w:jc w:val="center"/>
              <w:rPr>
                <w:rFonts w:hint="eastAsia" w:ascii="黑体" w:hAnsi="黑体" w:eastAsia="黑体" w:cs="黑体"/>
                <w:sz w:val="21"/>
                <w:szCs w:val="21"/>
              </w:rPr>
            </w:pPr>
            <w:r>
              <w:rPr>
                <w:rFonts w:hint="eastAsia" w:ascii="黑体" w:hAnsi="黑体" w:eastAsia="黑体" w:cs="黑体"/>
                <w:sz w:val="21"/>
                <w:szCs w:val="21"/>
              </w:rPr>
              <w:t>实施单位</w:t>
            </w:r>
          </w:p>
        </w:tc>
        <w:tc>
          <w:tcPr>
            <w:tcW w:w="1524" w:type="pct"/>
            <w:gridSpan w:val="3"/>
            <w:noWrap w:val="0"/>
            <w:vAlign w:val="center"/>
          </w:tcPr>
          <w:p>
            <w:pPr>
              <w:jc w:val="center"/>
              <w:rPr>
                <w:rFonts w:hint="eastAsia" w:ascii="黑体" w:hAnsi="黑体" w:eastAsia="黑体" w:cs="黑体"/>
                <w:sz w:val="21"/>
                <w:szCs w:val="21"/>
              </w:rPr>
            </w:pPr>
            <w:r>
              <w:rPr>
                <w:rFonts w:hint="eastAsia" w:ascii="方正小标宋简体" w:hAnsi="方正小标宋简体" w:eastAsia="方正小标宋简体" w:cs="方正小标宋简体"/>
                <w:b w:val="0"/>
                <w:bCs w:val="0"/>
                <w:sz w:val="21"/>
                <w:szCs w:val="21"/>
                <w:lang w:val="en-US" w:eastAsia="zh-CN"/>
              </w:rPr>
              <w:t>农业农村局</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90" w:hRule="atLeast"/>
        </w:trPr>
        <w:tc>
          <w:tcPr>
            <w:tcW w:w="520" w:type="pct"/>
            <w:vMerge w:val="restart"/>
            <w:tcBorders>
              <w:bottom w:val="nil"/>
            </w:tcBorders>
            <w:noWrap w:val="0"/>
            <w:vAlign w:val="center"/>
          </w:tcPr>
          <w:p>
            <w:pPr>
              <w:jc w:val="center"/>
              <w:rPr>
                <w:rFonts w:hint="eastAsia" w:ascii="黑体" w:hAnsi="黑体" w:eastAsia="黑体" w:cs="黑体"/>
                <w:sz w:val="21"/>
                <w:szCs w:val="21"/>
              </w:rPr>
            </w:pPr>
            <w:r>
              <w:rPr>
                <w:rFonts w:hint="eastAsia" w:ascii="黑体" w:hAnsi="黑体" w:eastAsia="黑体" w:cs="黑体"/>
                <w:sz w:val="21"/>
                <w:szCs w:val="21"/>
              </w:rPr>
              <w:t>项目资金（万元）</w:t>
            </w:r>
          </w:p>
        </w:tc>
        <w:tc>
          <w:tcPr>
            <w:tcW w:w="1174" w:type="pct"/>
            <w:gridSpan w:val="2"/>
            <w:noWrap w:val="0"/>
            <w:vAlign w:val="center"/>
          </w:tcPr>
          <w:p>
            <w:pPr>
              <w:jc w:val="center"/>
              <w:rPr>
                <w:rFonts w:hint="eastAsia" w:ascii="黑体" w:hAnsi="黑体" w:eastAsia="黑体" w:cs="黑体"/>
                <w:sz w:val="21"/>
                <w:szCs w:val="21"/>
              </w:rPr>
            </w:pPr>
          </w:p>
        </w:tc>
        <w:tc>
          <w:tcPr>
            <w:tcW w:w="544" w:type="pct"/>
            <w:noWrap w:val="0"/>
            <w:vAlign w:val="center"/>
          </w:tcPr>
          <w:p>
            <w:pPr>
              <w:jc w:val="center"/>
              <w:rPr>
                <w:rFonts w:hint="eastAsia" w:ascii="黑体" w:hAnsi="黑体" w:eastAsia="黑体" w:cs="黑体"/>
                <w:sz w:val="21"/>
                <w:szCs w:val="21"/>
              </w:rPr>
            </w:pPr>
            <w:r>
              <w:rPr>
                <w:rFonts w:hint="eastAsia" w:ascii="黑体" w:hAnsi="黑体" w:eastAsia="黑体" w:cs="黑体"/>
                <w:sz w:val="21"/>
                <w:szCs w:val="21"/>
              </w:rPr>
              <w:t>年初</w:t>
            </w:r>
          </w:p>
          <w:p>
            <w:pPr>
              <w:jc w:val="center"/>
              <w:rPr>
                <w:rFonts w:hint="eastAsia" w:ascii="黑体" w:hAnsi="黑体" w:eastAsia="黑体" w:cs="黑体"/>
                <w:sz w:val="21"/>
                <w:szCs w:val="21"/>
              </w:rPr>
            </w:pPr>
            <w:r>
              <w:rPr>
                <w:rFonts w:hint="eastAsia" w:ascii="黑体" w:hAnsi="黑体" w:eastAsia="黑体" w:cs="黑体"/>
                <w:sz w:val="21"/>
                <w:szCs w:val="21"/>
              </w:rPr>
              <w:t>预算数</w:t>
            </w:r>
          </w:p>
        </w:tc>
        <w:tc>
          <w:tcPr>
            <w:tcW w:w="575" w:type="pct"/>
            <w:noWrap w:val="0"/>
            <w:vAlign w:val="center"/>
          </w:tcPr>
          <w:p>
            <w:pPr>
              <w:jc w:val="center"/>
              <w:rPr>
                <w:rFonts w:hint="eastAsia" w:ascii="黑体" w:hAnsi="黑体" w:eastAsia="黑体" w:cs="黑体"/>
                <w:sz w:val="21"/>
                <w:szCs w:val="21"/>
              </w:rPr>
            </w:pPr>
            <w:r>
              <w:rPr>
                <w:rFonts w:hint="eastAsia" w:ascii="黑体" w:hAnsi="黑体" w:eastAsia="黑体" w:cs="黑体"/>
                <w:sz w:val="21"/>
                <w:szCs w:val="21"/>
              </w:rPr>
              <w:t>全年</w:t>
            </w:r>
          </w:p>
          <w:p>
            <w:pPr>
              <w:jc w:val="center"/>
              <w:rPr>
                <w:rFonts w:hint="eastAsia" w:ascii="黑体" w:hAnsi="黑体" w:eastAsia="黑体" w:cs="黑体"/>
                <w:sz w:val="21"/>
                <w:szCs w:val="21"/>
              </w:rPr>
            </w:pPr>
            <w:r>
              <w:rPr>
                <w:rFonts w:hint="eastAsia" w:ascii="黑体" w:hAnsi="黑体" w:eastAsia="黑体" w:cs="黑体"/>
                <w:sz w:val="21"/>
                <w:szCs w:val="21"/>
              </w:rPr>
              <w:t>预算数</w:t>
            </w:r>
          </w:p>
        </w:tc>
        <w:tc>
          <w:tcPr>
            <w:tcW w:w="661" w:type="pct"/>
            <w:noWrap w:val="0"/>
            <w:vAlign w:val="center"/>
          </w:tcPr>
          <w:p>
            <w:pPr>
              <w:jc w:val="center"/>
              <w:rPr>
                <w:rFonts w:hint="eastAsia" w:ascii="黑体" w:hAnsi="黑体" w:eastAsia="黑体" w:cs="黑体"/>
                <w:sz w:val="21"/>
                <w:szCs w:val="21"/>
              </w:rPr>
            </w:pPr>
            <w:r>
              <w:rPr>
                <w:rFonts w:hint="eastAsia" w:ascii="黑体" w:hAnsi="黑体" w:eastAsia="黑体" w:cs="黑体"/>
                <w:sz w:val="21"/>
                <w:szCs w:val="21"/>
              </w:rPr>
              <w:t>全年</w:t>
            </w:r>
          </w:p>
          <w:p>
            <w:pPr>
              <w:jc w:val="center"/>
              <w:rPr>
                <w:rFonts w:hint="eastAsia" w:ascii="黑体" w:hAnsi="黑体" w:eastAsia="黑体" w:cs="黑体"/>
                <w:sz w:val="21"/>
                <w:szCs w:val="21"/>
              </w:rPr>
            </w:pPr>
            <w:r>
              <w:rPr>
                <w:rFonts w:hint="eastAsia" w:ascii="黑体" w:hAnsi="黑体" w:eastAsia="黑体" w:cs="黑体"/>
                <w:sz w:val="21"/>
                <w:szCs w:val="21"/>
              </w:rPr>
              <w:t>执行数</w:t>
            </w:r>
          </w:p>
        </w:tc>
        <w:tc>
          <w:tcPr>
            <w:tcW w:w="373" w:type="pct"/>
            <w:noWrap w:val="0"/>
            <w:vAlign w:val="center"/>
          </w:tcPr>
          <w:p>
            <w:pPr>
              <w:jc w:val="center"/>
              <w:rPr>
                <w:rFonts w:hint="eastAsia" w:ascii="黑体" w:hAnsi="黑体" w:eastAsia="黑体" w:cs="黑体"/>
                <w:sz w:val="21"/>
                <w:szCs w:val="21"/>
                <w:lang w:eastAsia="zh-CN"/>
              </w:rPr>
            </w:pPr>
            <w:r>
              <w:rPr>
                <w:rFonts w:hint="eastAsia" w:ascii="黑体" w:hAnsi="黑体" w:eastAsia="黑体" w:cs="黑体"/>
                <w:sz w:val="21"/>
                <w:szCs w:val="21"/>
                <w:lang w:eastAsia="zh-CN"/>
              </w:rPr>
              <w:t>分值</w:t>
            </w:r>
          </w:p>
        </w:tc>
        <w:tc>
          <w:tcPr>
            <w:tcW w:w="373" w:type="pct"/>
            <w:noWrap w:val="0"/>
            <w:vAlign w:val="center"/>
          </w:tcPr>
          <w:p>
            <w:pPr>
              <w:jc w:val="center"/>
              <w:rPr>
                <w:rFonts w:hint="eastAsia" w:ascii="黑体" w:hAnsi="黑体" w:eastAsia="黑体" w:cs="黑体"/>
                <w:sz w:val="21"/>
                <w:szCs w:val="21"/>
              </w:rPr>
            </w:pPr>
            <w:r>
              <w:rPr>
                <w:rFonts w:hint="eastAsia" w:ascii="黑体" w:hAnsi="黑体" w:eastAsia="黑体" w:cs="黑体"/>
                <w:sz w:val="21"/>
                <w:szCs w:val="21"/>
              </w:rPr>
              <w:t>执行率</w:t>
            </w:r>
          </w:p>
        </w:tc>
        <w:tc>
          <w:tcPr>
            <w:tcW w:w="777" w:type="pct"/>
            <w:noWrap w:val="0"/>
            <w:vAlign w:val="center"/>
          </w:tcPr>
          <w:p>
            <w:pPr>
              <w:jc w:val="center"/>
              <w:rPr>
                <w:rFonts w:hint="eastAsia" w:ascii="黑体" w:hAnsi="黑体" w:eastAsia="黑体" w:cs="黑体"/>
                <w:sz w:val="21"/>
                <w:szCs w:val="21"/>
              </w:rPr>
            </w:pPr>
            <w:r>
              <w:rPr>
                <w:rFonts w:hint="eastAsia" w:ascii="黑体" w:hAnsi="黑体" w:eastAsia="黑体" w:cs="黑体"/>
                <w:sz w:val="21"/>
                <w:szCs w:val="21"/>
              </w:rPr>
              <w:t>自评得分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0" w:type="pct"/>
            <w:vMerge w:val="continue"/>
            <w:tcBorders>
              <w:top w:val="nil"/>
              <w:bottom w:val="nil"/>
            </w:tcBorders>
            <w:noWrap w:val="0"/>
            <w:vAlign w:val="center"/>
          </w:tcPr>
          <w:p>
            <w:pPr>
              <w:jc w:val="center"/>
              <w:rPr>
                <w:rFonts w:hint="eastAsia" w:ascii="宋体" w:hAnsi="宋体" w:eastAsia="宋体" w:cs="宋体"/>
                <w:sz w:val="21"/>
                <w:szCs w:val="21"/>
              </w:rPr>
            </w:pPr>
          </w:p>
        </w:tc>
        <w:tc>
          <w:tcPr>
            <w:tcW w:w="1174" w:type="pct"/>
            <w:gridSpan w:val="2"/>
            <w:noWrap w:val="0"/>
            <w:vAlign w:val="center"/>
          </w:tcPr>
          <w:p>
            <w:pPr>
              <w:jc w:val="both"/>
              <w:rPr>
                <w:rFonts w:hint="eastAsia" w:ascii="宋体" w:hAnsi="宋体" w:eastAsia="宋体" w:cs="宋体"/>
                <w:sz w:val="21"/>
                <w:szCs w:val="21"/>
              </w:rPr>
            </w:pPr>
            <w:r>
              <w:rPr>
                <w:rFonts w:hint="eastAsia" w:ascii="宋体" w:hAnsi="宋体" w:eastAsia="宋体" w:cs="宋体"/>
                <w:sz w:val="21"/>
                <w:szCs w:val="21"/>
              </w:rPr>
              <w:t>年度资金总额</w:t>
            </w:r>
          </w:p>
        </w:tc>
        <w:tc>
          <w:tcPr>
            <w:tcW w:w="544" w:type="pct"/>
            <w:noWrap w:val="0"/>
            <w:vAlign w:val="center"/>
          </w:tcPr>
          <w:p>
            <w:pPr>
              <w:jc w:val="center"/>
              <w:rPr>
                <w:rFonts w:hint="eastAsia" w:ascii="宋体" w:hAnsi="宋体" w:eastAsia="宋体" w:cs="宋体"/>
                <w:sz w:val="21"/>
                <w:szCs w:val="21"/>
              </w:rPr>
            </w:pPr>
          </w:p>
        </w:tc>
        <w:tc>
          <w:tcPr>
            <w:tcW w:w="575"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12291.31</w:t>
            </w:r>
          </w:p>
        </w:tc>
        <w:tc>
          <w:tcPr>
            <w:tcW w:w="661"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12291.31</w:t>
            </w:r>
          </w:p>
        </w:tc>
        <w:tc>
          <w:tcPr>
            <w:tcW w:w="373" w:type="pct"/>
            <w:noWrap w:val="0"/>
            <w:vAlign w:val="center"/>
          </w:tcPr>
          <w:p>
            <w:pPr>
              <w:jc w:val="center"/>
              <w:rPr>
                <w:rFonts w:hint="eastAsia" w:ascii="宋体" w:hAnsi="宋体" w:eastAsia="宋体" w:cs="宋体"/>
                <w:sz w:val="21"/>
                <w:szCs w:val="21"/>
              </w:rPr>
            </w:pPr>
            <w:r>
              <w:rPr>
                <w:rFonts w:hint="eastAsia" w:ascii="宋体" w:hAnsi="宋体" w:eastAsia="宋体" w:cs="宋体"/>
                <w:sz w:val="21"/>
                <w:szCs w:val="21"/>
              </w:rPr>
              <w:t>10</w:t>
            </w:r>
          </w:p>
        </w:tc>
        <w:tc>
          <w:tcPr>
            <w:tcW w:w="373"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100％</w:t>
            </w:r>
          </w:p>
        </w:tc>
        <w:tc>
          <w:tcPr>
            <w:tcW w:w="777" w:type="pct"/>
            <w:noWrap w:val="0"/>
            <w:vAlign w:val="center"/>
          </w:tcPr>
          <w:p>
            <w:pPr>
              <w:jc w:val="center"/>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0" w:type="pct"/>
            <w:vMerge w:val="continue"/>
            <w:tcBorders>
              <w:top w:val="nil"/>
              <w:bottom w:val="nil"/>
            </w:tcBorders>
            <w:noWrap w:val="0"/>
            <w:vAlign w:val="center"/>
          </w:tcPr>
          <w:p>
            <w:pPr>
              <w:jc w:val="center"/>
              <w:rPr>
                <w:rFonts w:hint="eastAsia" w:ascii="宋体" w:hAnsi="宋体" w:eastAsia="宋体" w:cs="宋体"/>
                <w:sz w:val="21"/>
                <w:szCs w:val="21"/>
              </w:rPr>
            </w:pPr>
          </w:p>
        </w:tc>
        <w:tc>
          <w:tcPr>
            <w:tcW w:w="1174" w:type="pct"/>
            <w:gridSpan w:val="2"/>
            <w:noWrap w:val="0"/>
            <w:vAlign w:val="center"/>
          </w:tcPr>
          <w:p>
            <w:pPr>
              <w:jc w:val="center"/>
              <w:rPr>
                <w:rFonts w:hint="eastAsia" w:ascii="宋体" w:hAnsi="宋体" w:eastAsia="宋体" w:cs="宋体"/>
                <w:sz w:val="21"/>
                <w:szCs w:val="21"/>
              </w:rPr>
            </w:pPr>
            <w:r>
              <w:rPr>
                <w:rFonts w:hint="eastAsia" w:ascii="宋体" w:hAnsi="宋体" w:eastAsia="宋体" w:cs="宋体"/>
                <w:sz w:val="21"/>
                <w:szCs w:val="21"/>
              </w:rPr>
              <w:t>其中：当年财政拨款</w:t>
            </w:r>
          </w:p>
        </w:tc>
        <w:tc>
          <w:tcPr>
            <w:tcW w:w="544" w:type="pct"/>
            <w:noWrap w:val="0"/>
            <w:vAlign w:val="center"/>
          </w:tcPr>
          <w:p>
            <w:pPr>
              <w:jc w:val="center"/>
              <w:rPr>
                <w:rFonts w:hint="eastAsia" w:ascii="宋体" w:hAnsi="宋体" w:eastAsia="宋体" w:cs="宋体"/>
                <w:sz w:val="21"/>
                <w:szCs w:val="21"/>
              </w:rPr>
            </w:pPr>
          </w:p>
        </w:tc>
        <w:tc>
          <w:tcPr>
            <w:tcW w:w="575"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12291.31</w:t>
            </w:r>
          </w:p>
        </w:tc>
        <w:tc>
          <w:tcPr>
            <w:tcW w:w="661"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12291.31</w:t>
            </w:r>
          </w:p>
        </w:tc>
        <w:tc>
          <w:tcPr>
            <w:tcW w:w="373"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10</w:t>
            </w:r>
          </w:p>
        </w:tc>
        <w:tc>
          <w:tcPr>
            <w:tcW w:w="373"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100％</w:t>
            </w:r>
          </w:p>
        </w:tc>
        <w:tc>
          <w:tcPr>
            <w:tcW w:w="777" w:type="pct"/>
            <w:noWrap w:val="0"/>
            <w:vAlign w:val="center"/>
          </w:tcPr>
          <w:p>
            <w:pPr>
              <w:jc w:val="center"/>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0" w:type="pct"/>
            <w:vMerge w:val="continue"/>
            <w:tcBorders>
              <w:top w:val="nil"/>
              <w:bottom w:val="nil"/>
            </w:tcBorders>
            <w:noWrap w:val="0"/>
            <w:vAlign w:val="center"/>
          </w:tcPr>
          <w:p>
            <w:pPr>
              <w:jc w:val="center"/>
              <w:rPr>
                <w:rFonts w:hint="eastAsia" w:ascii="宋体" w:hAnsi="宋体" w:eastAsia="宋体" w:cs="宋体"/>
                <w:sz w:val="21"/>
                <w:szCs w:val="21"/>
              </w:rPr>
            </w:pPr>
          </w:p>
        </w:tc>
        <w:tc>
          <w:tcPr>
            <w:tcW w:w="1174" w:type="pct"/>
            <w:gridSpan w:val="2"/>
            <w:noWrap w:val="0"/>
            <w:vAlign w:val="center"/>
          </w:tcPr>
          <w:p>
            <w:pPr>
              <w:ind w:left="0" w:leftChars="0" w:firstLine="619" w:firstLineChars="295"/>
              <w:jc w:val="both"/>
              <w:rPr>
                <w:rFonts w:hint="eastAsia" w:ascii="宋体" w:hAnsi="宋体" w:eastAsia="宋体" w:cs="宋体"/>
                <w:sz w:val="21"/>
                <w:szCs w:val="21"/>
              </w:rPr>
            </w:pPr>
            <w:r>
              <w:rPr>
                <w:rFonts w:hint="eastAsia" w:ascii="宋体" w:hAnsi="宋体" w:eastAsia="宋体" w:cs="宋体"/>
                <w:sz w:val="21"/>
                <w:szCs w:val="21"/>
              </w:rPr>
              <w:t>上年结转资金</w:t>
            </w:r>
          </w:p>
        </w:tc>
        <w:tc>
          <w:tcPr>
            <w:tcW w:w="544" w:type="pct"/>
            <w:noWrap w:val="0"/>
            <w:vAlign w:val="center"/>
          </w:tcPr>
          <w:p>
            <w:pPr>
              <w:jc w:val="center"/>
              <w:rPr>
                <w:rFonts w:hint="eastAsia" w:ascii="宋体" w:hAnsi="宋体" w:eastAsia="宋体" w:cs="宋体"/>
                <w:sz w:val="21"/>
                <w:szCs w:val="21"/>
              </w:rPr>
            </w:pPr>
          </w:p>
        </w:tc>
        <w:tc>
          <w:tcPr>
            <w:tcW w:w="575" w:type="pct"/>
            <w:noWrap w:val="0"/>
            <w:vAlign w:val="center"/>
          </w:tcPr>
          <w:p>
            <w:pPr>
              <w:jc w:val="center"/>
              <w:rPr>
                <w:rFonts w:hint="eastAsia" w:ascii="宋体" w:hAnsi="宋体" w:eastAsia="宋体" w:cs="宋体"/>
                <w:sz w:val="21"/>
                <w:szCs w:val="21"/>
              </w:rPr>
            </w:pPr>
          </w:p>
        </w:tc>
        <w:tc>
          <w:tcPr>
            <w:tcW w:w="661" w:type="pct"/>
            <w:noWrap w:val="0"/>
            <w:vAlign w:val="center"/>
          </w:tcPr>
          <w:p>
            <w:pPr>
              <w:jc w:val="center"/>
              <w:rPr>
                <w:rFonts w:hint="eastAsia" w:ascii="宋体" w:hAnsi="宋体" w:eastAsia="宋体" w:cs="宋体"/>
                <w:sz w:val="21"/>
                <w:szCs w:val="21"/>
              </w:rPr>
            </w:pPr>
          </w:p>
        </w:tc>
        <w:tc>
          <w:tcPr>
            <w:tcW w:w="373" w:type="pct"/>
            <w:noWrap w:val="0"/>
            <w:vAlign w:val="center"/>
          </w:tcPr>
          <w:p>
            <w:pPr>
              <w:jc w:val="center"/>
              <w:rPr>
                <w:rFonts w:hint="eastAsia" w:ascii="宋体" w:hAnsi="宋体" w:eastAsia="宋体" w:cs="宋体"/>
                <w:sz w:val="21"/>
                <w:szCs w:val="21"/>
              </w:rPr>
            </w:pPr>
          </w:p>
        </w:tc>
        <w:tc>
          <w:tcPr>
            <w:tcW w:w="373" w:type="pct"/>
            <w:noWrap w:val="0"/>
            <w:vAlign w:val="center"/>
          </w:tcPr>
          <w:p>
            <w:pPr>
              <w:jc w:val="center"/>
              <w:rPr>
                <w:rFonts w:hint="eastAsia" w:ascii="宋体" w:hAnsi="宋体" w:eastAsia="宋体" w:cs="宋体"/>
                <w:sz w:val="21"/>
                <w:szCs w:val="21"/>
              </w:rPr>
            </w:pPr>
          </w:p>
        </w:tc>
        <w:tc>
          <w:tcPr>
            <w:tcW w:w="777" w:type="pct"/>
            <w:noWrap w:val="0"/>
            <w:vAlign w:val="center"/>
          </w:tcPr>
          <w:p>
            <w:pPr>
              <w:jc w:val="center"/>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0" w:type="pct"/>
            <w:vMerge w:val="continue"/>
            <w:tcBorders>
              <w:top w:val="nil"/>
            </w:tcBorders>
            <w:noWrap w:val="0"/>
            <w:vAlign w:val="center"/>
          </w:tcPr>
          <w:p>
            <w:pPr>
              <w:jc w:val="center"/>
              <w:rPr>
                <w:rFonts w:hint="eastAsia" w:ascii="宋体" w:hAnsi="宋体" w:eastAsia="宋体" w:cs="宋体"/>
                <w:sz w:val="21"/>
                <w:szCs w:val="21"/>
              </w:rPr>
            </w:pPr>
          </w:p>
        </w:tc>
        <w:tc>
          <w:tcPr>
            <w:tcW w:w="1174" w:type="pct"/>
            <w:gridSpan w:val="2"/>
            <w:noWrap w:val="0"/>
            <w:vAlign w:val="center"/>
          </w:tcPr>
          <w:p>
            <w:pPr>
              <w:ind w:left="0" w:leftChars="0" w:firstLine="619" w:firstLineChars="295"/>
              <w:jc w:val="both"/>
              <w:rPr>
                <w:rFonts w:hint="eastAsia" w:ascii="宋体" w:hAnsi="宋体" w:eastAsia="宋体" w:cs="宋体"/>
                <w:sz w:val="21"/>
                <w:szCs w:val="21"/>
              </w:rPr>
            </w:pPr>
            <w:r>
              <w:rPr>
                <w:rFonts w:hint="eastAsia" w:ascii="宋体" w:hAnsi="宋体" w:eastAsia="宋体" w:cs="宋体"/>
                <w:sz w:val="21"/>
                <w:szCs w:val="21"/>
              </w:rPr>
              <w:t>其他资金</w:t>
            </w:r>
          </w:p>
        </w:tc>
        <w:tc>
          <w:tcPr>
            <w:tcW w:w="544" w:type="pct"/>
            <w:noWrap w:val="0"/>
            <w:vAlign w:val="center"/>
          </w:tcPr>
          <w:p>
            <w:pPr>
              <w:jc w:val="center"/>
              <w:rPr>
                <w:rFonts w:hint="eastAsia" w:ascii="宋体" w:hAnsi="宋体" w:eastAsia="宋体" w:cs="宋体"/>
                <w:sz w:val="21"/>
                <w:szCs w:val="21"/>
              </w:rPr>
            </w:pPr>
          </w:p>
        </w:tc>
        <w:tc>
          <w:tcPr>
            <w:tcW w:w="575" w:type="pct"/>
            <w:noWrap w:val="0"/>
            <w:vAlign w:val="center"/>
          </w:tcPr>
          <w:p>
            <w:pPr>
              <w:jc w:val="center"/>
              <w:rPr>
                <w:rFonts w:hint="eastAsia" w:ascii="宋体" w:hAnsi="宋体" w:eastAsia="宋体" w:cs="宋体"/>
                <w:sz w:val="21"/>
                <w:szCs w:val="21"/>
              </w:rPr>
            </w:pPr>
          </w:p>
        </w:tc>
        <w:tc>
          <w:tcPr>
            <w:tcW w:w="661" w:type="pct"/>
            <w:noWrap w:val="0"/>
            <w:vAlign w:val="center"/>
          </w:tcPr>
          <w:p>
            <w:pPr>
              <w:jc w:val="center"/>
              <w:rPr>
                <w:rFonts w:hint="eastAsia" w:ascii="宋体" w:hAnsi="宋体" w:eastAsia="宋体" w:cs="宋体"/>
                <w:sz w:val="21"/>
                <w:szCs w:val="21"/>
              </w:rPr>
            </w:pPr>
          </w:p>
        </w:tc>
        <w:tc>
          <w:tcPr>
            <w:tcW w:w="373" w:type="pct"/>
            <w:noWrap w:val="0"/>
            <w:vAlign w:val="center"/>
          </w:tcPr>
          <w:p>
            <w:pPr>
              <w:jc w:val="center"/>
              <w:rPr>
                <w:rFonts w:hint="eastAsia" w:ascii="宋体" w:hAnsi="宋体" w:eastAsia="宋体" w:cs="宋体"/>
                <w:sz w:val="21"/>
                <w:szCs w:val="21"/>
              </w:rPr>
            </w:pPr>
          </w:p>
        </w:tc>
        <w:tc>
          <w:tcPr>
            <w:tcW w:w="373" w:type="pct"/>
            <w:noWrap w:val="0"/>
            <w:vAlign w:val="center"/>
          </w:tcPr>
          <w:p>
            <w:pPr>
              <w:jc w:val="center"/>
              <w:rPr>
                <w:rFonts w:hint="eastAsia" w:ascii="宋体" w:hAnsi="宋体" w:eastAsia="宋体" w:cs="宋体"/>
                <w:sz w:val="21"/>
                <w:szCs w:val="21"/>
              </w:rPr>
            </w:pPr>
          </w:p>
        </w:tc>
        <w:tc>
          <w:tcPr>
            <w:tcW w:w="777" w:type="pct"/>
            <w:noWrap w:val="0"/>
            <w:vAlign w:val="center"/>
          </w:tcPr>
          <w:p>
            <w:pPr>
              <w:jc w:val="center"/>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0" w:type="pct"/>
            <w:vMerge w:val="restart"/>
            <w:tcBorders>
              <w:bottom w:val="nil"/>
            </w:tcBorders>
            <w:noWrap w:val="0"/>
            <w:vAlign w:val="center"/>
          </w:tcPr>
          <w:p>
            <w:pPr>
              <w:jc w:val="center"/>
              <w:rPr>
                <w:rFonts w:hint="eastAsia" w:ascii="黑体" w:hAnsi="黑体" w:eastAsia="黑体" w:cs="黑体"/>
                <w:sz w:val="21"/>
                <w:szCs w:val="21"/>
              </w:rPr>
            </w:pPr>
            <w:r>
              <w:rPr>
                <w:rFonts w:hint="eastAsia" w:ascii="黑体" w:hAnsi="黑体" w:eastAsia="黑体" w:cs="黑体"/>
                <w:sz w:val="21"/>
                <w:szCs w:val="21"/>
              </w:rPr>
              <w:t>年度总</w:t>
            </w:r>
          </w:p>
          <w:p>
            <w:pPr>
              <w:jc w:val="center"/>
              <w:rPr>
                <w:rFonts w:hint="eastAsia" w:ascii="黑体" w:hAnsi="黑体" w:eastAsia="黑体" w:cs="黑体"/>
                <w:sz w:val="21"/>
                <w:szCs w:val="21"/>
              </w:rPr>
            </w:pPr>
            <w:r>
              <w:rPr>
                <w:rFonts w:hint="eastAsia" w:ascii="黑体" w:hAnsi="黑体" w:eastAsia="黑体" w:cs="黑体"/>
                <w:sz w:val="21"/>
                <w:szCs w:val="21"/>
                <w:lang w:eastAsia="zh-CN"/>
              </w:rPr>
              <w:t>体</w:t>
            </w:r>
            <w:r>
              <w:rPr>
                <w:rFonts w:hint="eastAsia" w:ascii="黑体" w:hAnsi="黑体" w:eastAsia="黑体" w:cs="黑体"/>
                <w:sz w:val="21"/>
                <w:szCs w:val="21"/>
              </w:rPr>
              <w:t>目标</w:t>
            </w:r>
          </w:p>
        </w:tc>
        <w:tc>
          <w:tcPr>
            <w:tcW w:w="2294" w:type="pct"/>
            <w:gridSpan w:val="4"/>
            <w:noWrap w:val="0"/>
            <w:vAlign w:val="center"/>
          </w:tcPr>
          <w:p>
            <w:pPr>
              <w:jc w:val="center"/>
              <w:rPr>
                <w:rFonts w:hint="eastAsia" w:ascii="黑体" w:hAnsi="黑体" w:eastAsia="黑体" w:cs="黑体"/>
                <w:sz w:val="21"/>
                <w:szCs w:val="21"/>
              </w:rPr>
            </w:pPr>
            <w:r>
              <w:rPr>
                <w:rFonts w:hint="eastAsia" w:ascii="黑体" w:hAnsi="黑体" w:eastAsia="黑体" w:cs="黑体"/>
                <w:sz w:val="21"/>
                <w:szCs w:val="21"/>
              </w:rPr>
              <w:t>预期目标</w:t>
            </w:r>
          </w:p>
        </w:tc>
        <w:tc>
          <w:tcPr>
            <w:tcW w:w="2185" w:type="pct"/>
            <w:gridSpan w:val="4"/>
            <w:noWrap w:val="0"/>
            <w:vAlign w:val="center"/>
          </w:tcPr>
          <w:p>
            <w:pPr>
              <w:jc w:val="center"/>
              <w:rPr>
                <w:rFonts w:hint="eastAsia" w:ascii="黑体" w:hAnsi="黑体" w:eastAsia="黑体" w:cs="黑体"/>
                <w:sz w:val="21"/>
                <w:szCs w:val="21"/>
              </w:rPr>
            </w:pPr>
            <w:r>
              <w:rPr>
                <w:rFonts w:hint="eastAsia" w:ascii="黑体" w:hAnsi="黑体" w:eastAsia="黑体" w:cs="黑体"/>
                <w:sz w:val="21"/>
                <w:szCs w:val="21"/>
              </w:rPr>
              <w:t>实际完成情况</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0" w:type="pct"/>
            <w:vMerge w:val="continue"/>
            <w:tcBorders>
              <w:top w:val="nil"/>
            </w:tcBorders>
            <w:noWrap w:val="0"/>
            <w:vAlign w:val="center"/>
          </w:tcPr>
          <w:p>
            <w:pPr>
              <w:jc w:val="center"/>
              <w:rPr>
                <w:rFonts w:hint="eastAsia" w:ascii="宋体" w:hAnsi="宋体" w:eastAsia="宋体" w:cs="宋体"/>
                <w:sz w:val="21"/>
                <w:szCs w:val="21"/>
              </w:rPr>
            </w:pPr>
          </w:p>
        </w:tc>
        <w:tc>
          <w:tcPr>
            <w:tcW w:w="2294" w:type="pct"/>
            <w:gridSpan w:val="4"/>
            <w:noWrap w:val="0"/>
            <w:vAlign w:val="center"/>
          </w:tcPr>
          <w:p>
            <w:pPr>
              <w:jc w:val="center"/>
              <w:rPr>
                <w:rFonts w:hint="eastAsia" w:ascii="宋体" w:hAnsi="宋体" w:eastAsia="宋体" w:cs="宋体"/>
                <w:sz w:val="21"/>
                <w:szCs w:val="21"/>
              </w:rPr>
            </w:pPr>
          </w:p>
        </w:tc>
        <w:tc>
          <w:tcPr>
            <w:tcW w:w="2185" w:type="pct"/>
            <w:gridSpan w:val="4"/>
            <w:noWrap w:val="0"/>
            <w:vAlign w:val="center"/>
          </w:tcPr>
          <w:p>
            <w:pPr>
              <w:jc w:val="center"/>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520" w:type="pct"/>
            <w:vMerge w:val="restart"/>
            <w:noWrap w:val="0"/>
            <w:vAlign w:val="center"/>
          </w:tcPr>
          <w:p>
            <w:pPr>
              <w:jc w:val="center"/>
              <w:rPr>
                <w:rFonts w:hint="eastAsia" w:ascii="黑体" w:hAnsi="黑体" w:eastAsia="黑体" w:cs="黑体"/>
                <w:sz w:val="21"/>
                <w:szCs w:val="21"/>
              </w:rPr>
            </w:pPr>
            <w:r>
              <w:rPr>
                <w:rFonts w:hint="eastAsia" w:ascii="黑体" w:hAnsi="黑体" w:eastAsia="黑体" w:cs="黑体"/>
                <w:sz w:val="21"/>
                <w:szCs w:val="21"/>
              </w:rPr>
              <w:t>绩</w:t>
            </w:r>
          </w:p>
          <w:p>
            <w:pPr>
              <w:jc w:val="center"/>
              <w:rPr>
                <w:rFonts w:hint="eastAsia" w:ascii="黑体" w:hAnsi="黑体" w:eastAsia="黑体" w:cs="黑体"/>
                <w:sz w:val="21"/>
                <w:szCs w:val="21"/>
              </w:rPr>
            </w:pPr>
            <w:r>
              <w:rPr>
                <w:rFonts w:hint="eastAsia" w:ascii="黑体" w:hAnsi="黑体" w:eastAsia="黑体" w:cs="黑体"/>
                <w:sz w:val="21"/>
                <w:szCs w:val="21"/>
              </w:rPr>
              <w:t>效</w:t>
            </w:r>
          </w:p>
          <w:p>
            <w:pPr>
              <w:jc w:val="center"/>
              <w:rPr>
                <w:rFonts w:hint="eastAsia" w:ascii="黑体" w:hAnsi="黑体" w:eastAsia="黑体" w:cs="黑体"/>
                <w:sz w:val="21"/>
                <w:szCs w:val="21"/>
              </w:rPr>
            </w:pPr>
            <w:r>
              <w:rPr>
                <w:rFonts w:hint="eastAsia" w:ascii="黑体" w:hAnsi="黑体" w:eastAsia="黑体" w:cs="黑体"/>
                <w:sz w:val="21"/>
                <w:szCs w:val="21"/>
              </w:rPr>
              <w:t>指</w:t>
            </w:r>
          </w:p>
          <w:p>
            <w:pPr>
              <w:jc w:val="center"/>
              <w:rPr>
                <w:rFonts w:hint="eastAsia" w:ascii="黑体" w:hAnsi="黑体" w:eastAsia="黑体" w:cs="黑体"/>
                <w:sz w:val="21"/>
                <w:szCs w:val="21"/>
              </w:rPr>
            </w:pPr>
            <w:r>
              <w:rPr>
                <w:rFonts w:hint="eastAsia" w:ascii="黑体" w:hAnsi="黑体" w:eastAsia="黑体" w:cs="黑体"/>
                <w:sz w:val="21"/>
                <w:szCs w:val="21"/>
              </w:rPr>
              <w:t>标</w:t>
            </w:r>
          </w:p>
        </w:tc>
        <w:tc>
          <w:tcPr>
            <w:tcW w:w="520" w:type="pct"/>
            <w:noWrap w:val="0"/>
            <w:vAlign w:val="center"/>
          </w:tcPr>
          <w:p>
            <w:pPr>
              <w:jc w:val="center"/>
              <w:rPr>
                <w:rFonts w:hint="eastAsia" w:ascii="黑体" w:hAnsi="黑体" w:eastAsia="黑体" w:cs="黑体"/>
                <w:sz w:val="21"/>
                <w:szCs w:val="21"/>
              </w:rPr>
            </w:pPr>
            <w:r>
              <w:rPr>
                <w:rFonts w:hint="eastAsia" w:ascii="黑体" w:hAnsi="黑体" w:eastAsia="黑体" w:cs="黑体"/>
                <w:sz w:val="21"/>
                <w:szCs w:val="21"/>
              </w:rPr>
              <w:t>一级指标</w:t>
            </w:r>
          </w:p>
        </w:tc>
        <w:tc>
          <w:tcPr>
            <w:tcW w:w="654" w:type="pct"/>
            <w:noWrap w:val="0"/>
            <w:vAlign w:val="center"/>
          </w:tcPr>
          <w:p>
            <w:pPr>
              <w:jc w:val="center"/>
              <w:rPr>
                <w:rFonts w:hint="eastAsia" w:ascii="黑体" w:hAnsi="黑体" w:eastAsia="黑体" w:cs="黑体"/>
                <w:sz w:val="21"/>
                <w:szCs w:val="21"/>
              </w:rPr>
            </w:pPr>
            <w:r>
              <w:rPr>
                <w:rFonts w:hint="eastAsia" w:ascii="黑体" w:hAnsi="黑体" w:eastAsia="黑体" w:cs="黑体"/>
                <w:sz w:val="21"/>
                <w:szCs w:val="21"/>
              </w:rPr>
              <w:t>二级指标</w:t>
            </w:r>
          </w:p>
        </w:tc>
        <w:tc>
          <w:tcPr>
            <w:tcW w:w="544" w:type="pct"/>
            <w:noWrap w:val="0"/>
            <w:vAlign w:val="center"/>
          </w:tcPr>
          <w:p>
            <w:pPr>
              <w:jc w:val="center"/>
              <w:rPr>
                <w:rFonts w:hint="eastAsia" w:ascii="黑体" w:hAnsi="黑体" w:eastAsia="黑体" w:cs="黑体"/>
                <w:sz w:val="21"/>
                <w:szCs w:val="21"/>
              </w:rPr>
            </w:pPr>
            <w:r>
              <w:rPr>
                <w:rFonts w:hint="eastAsia" w:ascii="黑体" w:hAnsi="黑体" w:eastAsia="黑体" w:cs="黑体"/>
                <w:sz w:val="21"/>
                <w:szCs w:val="21"/>
              </w:rPr>
              <w:t>三级指标</w:t>
            </w:r>
          </w:p>
        </w:tc>
        <w:tc>
          <w:tcPr>
            <w:tcW w:w="575" w:type="pct"/>
            <w:noWrap w:val="0"/>
            <w:vAlign w:val="center"/>
          </w:tcPr>
          <w:p>
            <w:pPr>
              <w:jc w:val="center"/>
              <w:rPr>
                <w:rFonts w:hint="eastAsia" w:ascii="黑体" w:hAnsi="黑体" w:eastAsia="黑体" w:cs="黑体"/>
                <w:sz w:val="21"/>
                <w:szCs w:val="21"/>
              </w:rPr>
            </w:pPr>
            <w:r>
              <w:rPr>
                <w:rFonts w:hint="eastAsia" w:ascii="黑体" w:hAnsi="黑体" w:eastAsia="黑体" w:cs="黑体"/>
                <w:sz w:val="21"/>
                <w:szCs w:val="21"/>
              </w:rPr>
              <w:t>年度</w:t>
            </w:r>
          </w:p>
          <w:p>
            <w:pPr>
              <w:jc w:val="center"/>
              <w:rPr>
                <w:rFonts w:hint="eastAsia" w:ascii="黑体" w:hAnsi="黑体" w:eastAsia="黑体" w:cs="黑体"/>
                <w:sz w:val="21"/>
                <w:szCs w:val="21"/>
              </w:rPr>
            </w:pPr>
            <w:r>
              <w:rPr>
                <w:rFonts w:hint="eastAsia" w:ascii="黑体" w:hAnsi="黑体" w:eastAsia="黑体" w:cs="黑体"/>
                <w:sz w:val="21"/>
                <w:szCs w:val="21"/>
              </w:rPr>
              <w:t>指标值</w:t>
            </w:r>
          </w:p>
        </w:tc>
        <w:tc>
          <w:tcPr>
            <w:tcW w:w="661" w:type="pct"/>
            <w:noWrap w:val="0"/>
            <w:vAlign w:val="center"/>
          </w:tcPr>
          <w:p>
            <w:pPr>
              <w:jc w:val="center"/>
              <w:rPr>
                <w:rFonts w:hint="eastAsia" w:ascii="黑体" w:hAnsi="黑体" w:eastAsia="黑体" w:cs="黑体"/>
                <w:sz w:val="21"/>
                <w:szCs w:val="21"/>
              </w:rPr>
            </w:pPr>
            <w:r>
              <w:rPr>
                <w:rFonts w:hint="eastAsia" w:ascii="黑体" w:hAnsi="黑体" w:eastAsia="黑体" w:cs="黑体"/>
                <w:sz w:val="21"/>
                <w:szCs w:val="21"/>
              </w:rPr>
              <w:t>实际</w:t>
            </w:r>
          </w:p>
          <w:p>
            <w:pPr>
              <w:jc w:val="center"/>
              <w:rPr>
                <w:rFonts w:hint="eastAsia" w:ascii="黑体" w:hAnsi="黑体" w:eastAsia="黑体" w:cs="黑体"/>
                <w:sz w:val="21"/>
                <w:szCs w:val="21"/>
              </w:rPr>
            </w:pPr>
            <w:r>
              <w:rPr>
                <w:rFonts w:hint="eastAsia" w:ascii="黑体" w:hAnsi="黑体" w:eastAsia="黑体" w:cs="黑体"/>
                <w:sz w:val="21"/>
                <w:szCs w:val="21"/>
              </w:rPr>
              <w:t>完成值</w:t>
            </w:r>
          </w:p>
        </w:tc>
        <w:tc>
          <w:tcPr>
            <w:tcW w:w="373" w:type="pct"/>
            <w:noWrap w:val="0"/>
            <w:vAlign w:val="center"/>
          </w:tcPr>
          <w:p>
            <w:pPr>
              <w:jc w:val="center"/>
              <w:rPr>
                <w:rFonts w:hint="eastAsia" w:ascii="黑体" w:hAnsi="黑体" w:eastAsia="黑体" w:cs="黑体"/>
                <w:sz w:val="21"/>
                <w:szCs w:val="21"/>
              </w:rPr>
            </w:pPr>
            <w:r>
              <w:rPr>
                <w:rFonts w:hint="eastAsia" w:ascii="黑体" w:hAnsi="黑体" w:eastAsia="黑体" w:cs="黑体"/>
                <w:sz w:val="21"/>
                <w:szCs w:val="21"/>
              </w:rPr>
              <w:t>分值</w:t>
            </w:r>
          </w:p>
        </w:tc>
        <w:tc>
          <w:tcPr>
            <w:tcW w:w="373" w:type="pct"/>
            <w:noWrap w:val="0"/>
            <w:vAlign w:val="center"/>
          </w:tcPr>
          <w:p>
            <w:pPr>
              <w:jc w:val="center"/>
              <w:rPr>
                <w:rFonts w:hint="eastAsia" w:ascii="黑体" w:hAnsi="黑体" w:eastAsia="黑体" w:cs="黑体"/>
                <w:sz w:val="21"/>
                <w:szCs w:val="21"/>
              </w:rPr>
            </w:pPr>
            <w:r>
              <w:rPr>
                <w:rFonts w:hint="eastAsia" w:ascii="黑体" w:hAnsi="黑体" w:eastAsia="黑体" w:cs="黑体"/>
                <w:sz w:val="21"/>
                <w:szCs w:val="21"/>
              </w:rPr>
              <w:t>自评</w:t>
            </w:r>
          </w:p>
          <w:p>
            <w:pPr>
              <w:jc w:val="center"/>
              <w:rPr>
                <w:rFonts w:hint="eastAsia" w:ascii="黑体" w:hAnsi="黑体" w:eastAsia="黑体" w:cs="黑体"/>
                <w:sz w:val="21"/>
                <w:szCs w:val="21"/>
              </w:rPr>
            </w:pPr>
            <w:r>
              <w:rPr>
                <w:rFonts w:hint="eastAsia" w:ascii="黑体" w:hAnsi="黑体" w:eastAsia="黑体" w:cs="黑体"/>
                <w:sz w:val="21"/>
                <w:szCs w:val="21"/>
              </w:rPr>
              <w:t>得分</w:t>
            </w:r>
          </w:p>
        </w:tc>
        <w:tc>
          <w:tcPr>
            <w:tcW w:w="777" w:type="pct"/>
            <w:noWrap w:val="0"/>
            <w:vAlign w:val="center"/>
          </w:tcPr>
          <w:p>
            <w:pPr>
              <w:jc w:val="center"/>
              <w:rPr>
                <w:rFonts w:hint="eastAsia" w:ascii="黑体" w:hAnsi="黑体" w:eastAsia="黑体" w:cs="黑体"/>
                <w:sz w:val="21"/>
                <w:szCs w:val="21"/>
              </w:rPr>
            </w:pPr>
            <w:r>
              <w:rPr>
                <w:rFonts w:hint="eastAsia" w:ascii="黑体" w:hAnsi="黑体" w:eastAsia="黑体" w:cs="黑体"/>
                <w:sz w:val="21"/>
                <w:szCs w:val="21"/>
              </w:rPr>
              <w:t>偏差原因分析及改进措施</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1" w:hRule="atLeast"/>
        </w:trPr>
        <w:tc>
          <w:tcPr>
            <w:tcW w:w="520" w:type="pct"/>
            <w:vMerge w:val="continue"/>
            <w:noWrap w:val="0"/>
            <w:textDirection w:val="tbRlV"/>
            <w:vAlign w:val="center"/>
          </w:tcPr>
          <w:p>
            <w:pPr>
              <w:jc w:val="center"/>
              <w:rPr>
                <w:rFonts w:hint="eastAsia" w:ascii="黑体" w:hAnsi="黑体" w:eastAsia="黑体" w:cs="黑体"/>
                <w:sz w:val="21"/>
                <w:szCs w:val="21"/>
              </w:rPr>
            </w:pPr>
          </w:p>
        </w:tc>
        <w:tc>
          <w:tcPr>
            <w:tcW w:w="520" w:type="pct"/>
            <w:vMerge w:val="restart"/>
            <w:tcBorders>
              <w:bottom w:val="nil"/>
            </w:tcBorders>
            <w:noWrap w:val="0"/>
            <w:vAlign w:val="center"/>
          </w:tcPr>
          <w:p>
            <w:pPr>
              <w:jc w:val="center"/>
              <w:rPr>
                <w:rFonts w:hint="eastAsia" w:ascii="宋体" w:hAnsi="宋体" w:eastAsia="宋体" w:cs="宋体"/>
                <w:sz w:val="21"/>
                <w:szCs w:val="21"/>
              </w:rPr>
            </w:pPr>
            <w:r>
              <w:rPr>
                <w:rFonts w:hint="eastAsia" w:ascii="宋体" w:hAnsi="宋体" w:eastAsia="宋体" w:cs="宋体"/>
                <w:sz w:val="21"/>
                <w:szCs w:val="21"/>
              </w:rPr>
              <w:t>产</w:t>
            </w:r>
          </w:p>
          <w:p>
            <w:pPr>
              <w:jc w:val="center"/>
              <w:rPr>
                <w:rFonts w:hint="eastAsia" w:ascii="宋体" w:hAnsi="宋体" w:eastAsia="宋体" w:cs="宋体"/>
                <w:sz w:val="21"/>
                <w:szCs w:val="21"/>
              </w:rPr>
            </w:pPr>
            <w:r>
              <w:rPr>
                <w:rFonts w:hint="eastAsia" w:ascii="宋体" w:hAnsi="宋体" w:eastAsia="宋体" w:cs="宋体"/>
                <w:sz w:val="21"/>
                <w:szCs w:val="21"/>
              </w:rPr>
              <w:t>出</w:t>
            </w:r>
          </w:p>
          <w:p>
            <w:pPr>
              <w:jc w:val="center"/>
              <w:rPr>
                <w:rFonts w:hint="eastAsia" w:ascii="宋体" w:hAnsi="宋体" w:eastAsia="宋体" w:cs="宋体"/>
                <w:sz w:val="21"/>
                <w:szCs w:val="21"/>
              </w:rPr>
            </w:pPr>
            <w:r>
              <w:rPr>
                <w:rFonts w:hint="eastAsia" w:ascii="宋体" w:hAnsi="宋体" w:eastAsia="宋体" w:cs="宋体"/>
                <w:sz w:val="21"/>
                <w:szCs w:val="21"/>
              </w:rPr>
              <w:t>指</w:t>
            </w:r>
          </w:p>
          <w:p>
            <w:pPr>
              <w:jc w:val="center"/>
              <w:rPr>
                <w:rFonts w:hint="eastAsia" w:ascii="宋体" w:hAnsi="宋体" w:eastAsia="宋体" w:cs="宋体"/>
                <w:sz w:val="21"/>
                <w:szCs w:val="21"/>
              </w:rPr>
            </w:pPr>
            <w:r>
              <w:rPr>
                <w:rFonts w:hint="eastAsia" w:ascii="宋体" w:hAnsi="宋体" w:eastAsia="宋体" w:cs="宋体"/>
                <w:sz w:val="21"/>
                <w:szCs w:val="21"/>
              </w:rPr>
              <w:t>标</w:t>
            </w:r>
          </w:p>
          <w:p>
            <w:pPr>
              <w:jc w:val="center"/>
              <w:rPr>
                <w:rFonts w:hint="eastAsia" w:ascii="宋体" w:hAnsi="宋体" w:eastAsia="宋体" w:cs="宋体"/>
                <w:sz w:val="21"/>
                <w:szCs w:val="21"/>
              </w:rPr>
            </w:pPr>
            <w:r>
              <w:rPr>
                <w:rFonts w:hint="eastAsia" w:ascii="宋体" w:hAnsi="宋体" w:eastAsia="宋体" w:cs="宋体"/>
                <w:sz w:val="21"/>
                <w:szCs w:val="21"/>
              </w:rPr>
              <w:t>(</w:t>
            </w:r>
            <w:r>
              <w:rPr>
                <w:rFonts w:hint="eastAsia" w:ascii="宋体" w:hAnsi="宋体" w:eastAsia="宋体" w:cs="宋体"/>
                <w:sz w:val="21"/>
                <w:szCs w:val="21"/>
                <w:lang w:val="en-US" w:eastAsia="zh-CN"/>
              </w:rPr>
              <w:t>3</w:t>
            </w:r>
            <w:r>
              <w:rPr>
                <w:rFonts w:hint="eastAsia" w:ascii="宋体" w:hAnsi="宋体" w:eastAsia="宋体" w:cs="宋体"/>
                <w:sz w:val="21"/>
                <w:szCs w:val="21"/>
              </w:rPr>
              <w:t>0分</w:t>
            </w:r>
            <w:r>
              <w:rPr>
                <w:rFonts w:hint="eastAsia" w:ascii="宋体" w:hAnsi="宋体" w:eastAsia="宋体" w:cs="宋体"/>
                <w:sz w:val="21"/>
                <w:szCs w:val="21"/>
                <w:lang w:eastAsia="zh-CN"/>
              </w:rPr>
              <w:t>）</w:t>
            </w:r>
          </w:p>
        </w:tc>
        <w:tc>
          <w:tcPr>
            <w:tcW w:w="654" w:type="pct"/>
            <w:vMerge w:val="restart"/>
            <w:tcBorders>
              <w:bottom w:val="nil"/>
            </w:tcBorders>
            <w:noWrap w:val="0"/>
            <w:vAlign w:val="center"/>
          </w:tcPr>
          <w:p>
            <w:pPr>
              <w:jc w:val="center"/>
              <w:rPr>
                <w:rFonts w:hint="eastAsia" w:ascii="宋体" w:hAnsi="宋体" w:eastAsia="宋体" w:cs="宋体"/>
                <w:sz w:val="21"/>
                <w:szCs w:val="21"/>
              </w:rPr>
            </w:pPr>
            <w:r>
              <w:rPr>
                <w:rFonts w:hint="eastAsia" w:ascii="宋体" w:hAnsi="宋体" w:eastAsia="宋体" w:cs="宋体"/>
                <w:sz w:val="21"/>
                <w:szCs w:val="21"/>
              </w:rPr>
              <w:t>数</w:t>
            </w:r>
          </w:p>
          <w:p>
            <w:pPr>
              <w:jc w:val="center"/>
              <w:rPr>
                <w:rFonts w:hint="eastAsia" w:ascii="宋体" w:hAnsi="宋体" w:eastAsia="宋体" w:cs="宋体"/>
                <w:sz w:val="21"/>
                <w:szCs w:val="21"/>
              </w:rPr>
            </w:pPr>
            <w:r>
              <w:rPr>
                <w:rFonts w:hint="eastAsia" w:ascii="宋体" w:hAnsi="宋体" w:eastAsia="宋体" w:cs="宋体"/>
                <w:sz w:val="21"/>
                <w:szCs w:val="21"/>
              </w:rPr>
              <w:t>量</w:t>
            </w:r>
          </w:p>
          <w:p>
            <w:pPr>
              <w:jc w:val="center"/>
              <w:rPr>
                <w:rFonts w:hint="eastAsia" w:ascii="宋体" w:hAnsi="宋体" w:eastAsia="宋体" w:cs="宋体"/>
                <w:sz w:val="21"/>
                <w:szCs w:val="21"/>
              </w:rPr>
            </w:pPr>
            <w:r>
              <w:rPr>
                <w:rFonts w:hint="eastAsia" w:ascii="宋体" w:hAnsi="宋体" w:eastAsia="宋体" w:cs="宋体"/>
                <w:sz w:val="21"/>
                <w:szCs w:val="21"/>
              </w:rPr>
              <w:t>指</w:t>
            </w:r>
          </w:p>
          <w:p>
            <w:pPr>
              <w:jc w:val="center"/>
              <w:rPr>
                <w:rFonts w:hint="eastAsia" w:ascii="宋体" w:hAnsi="宋体" w:eastAsia="宋体" w:cs="宋体"/>
                <w:sz w:val="21"/>
                <w:szCs w:val="21"/>
              </w:rPr>
            </w:pPr>
            <w:r>
              <w:rPr>
                <w:rFonts w:hint="eastAsia" w:ascii="宋体" w:hAnsi="宋体" w:eastAsia="宋体" w:cs="宋体"/>
                <w:sz w:val="21"/>
                <w:szCs w:val="21"/>
              </w:rPr>
              <w:t>标</w:t>
            </w:r>
          </w:p>
        </w:tc>
        <w:tc>
          <w:tcPr>
            <w:tcW w:w="544"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新建高标准农田面积（万亩）</w:t>
            </w:r>
          </w:p>
        </w:tc>
        <w:tc>
          <w:tcPr>
            <w:tcW w:w="575" w:type="pct"/>
            <w:noWrap w:val="0"/>
            <w:vAlign w:val="center"/>
          </w:tcPr>
          <w:p>
            <w:pPr>
              <w:jc w:val="center"/>
              <w:rPr>
                <w:rFonts w:hint="default" w:ascii="宋体" w:hAnsi="宋体" w:eastAsia="宋体" w:cs="宋体"/>
                <w:sz w:val="21"/>
                <w:szCs w:val="21"/>
                <w:lang w:val="en-US" w:eastAsia="zh-CN"/>
              </w:rPr>
            </w:pPr>
            <w:r>
              <w:rPr>
                <w:rFonts w:hint="default" w:ascii="宋体" w:hAnsi="宋体" w:eastAsia="宋体" w:cs="宋体"/>
                <w:sz w:val="21"/>
                <w:szCs w:val="21"/>
                <w:lang w:val="en-US" w:eastAsia="zh-CN"/>
              </w:rPr>
              <w:t>≥</w:t>
            </w:r>
            <w:r>
              <w:rPr>
                <w:rFonts w:hint="eastAsia" w:ascii="宋体" w:hAnsi="宋体" w:cs="宋体"/>
                <w:sz w:val="21"/>
                <w:szCs w:val="21"/>
                <w:lang w:val="en-US" w:eastAsia="zh-CN"/>
              </w:rPr>
              <w:t>2</w:t>
            </w:r>
            <w:r>
              <w:rPr>
                <w:rFonts w:hint="eastAsia" w:ascii="宋体" w:hAnsi="宋体" w:eastAsia="宋体" w:cs="宋体"/>
                <w:sz w:val="21"/>
                <w:szCs w:val="21"/>
                <w:lang w:val="en-US" w:eastAsia="zh-CN"/>
              </w:rPr>
              <w:t>万亩</w:t>
            </w:r>
          </w:p>
        </w:tc>
        <w:tc>
          <w:tcPr>
            <w:tcW w:w="661" w:type="pct"/>
            <w:noWrap w:val="0"/>
            <w:vAlign w:val="center"/>
          </w:tcPr>
          <w:p>
            <w:pPr>
              <w:jc w:val="center"/>
              <w:rPr>
                <w:rFonts w:hint="default" w:ascii="宋体" w:hAnsi="宋体" w:eastAsia="宋体" w:cs="宋体"/>
                <w:sz w:val="21"/>
                <w:szCs w:val="21"/>
                <w:lang w:val="en-US" w:eastAsia="zh-CN"/>
              </w:rPr>
            </w:pPr>
            <w:r>
              <w:rPr>
                <w:rFonts w:hint="eastAsia" w:ascii="宋体" w:hAnsi="宋体" w:cs="宋体"/>
                <w:sz w:val="21"/>
                <w:szCs w:val="21"/>
                <w:lang w:val="en-US" w:eastAsia="zh-CN"/>
              </w:rPr>
              <w:t>2万亩</w:t>
            </w:r>
          </w:p>
        </w:tc>
        <w:tc>
          <w:tcPr>
            <w:tcW w:w="373"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10分</w:t>
            </w:r>
          </w:p>
        </w:tc>
        <w:tc>
          <w:tcPr>
            <w:tcW w:w="373" w:type="pct"/>
            <w:noWrap w:val="0"/>
            <w:vAlign w:val="center"/>
          </w:tcPr>
          <w:p>
            <w:pPr>
              <w:jc w:val="both"/>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　10</w:t>
            </w:r>
          </w:p>
        </w:tc>
        <w:tc>
          <w:tcPr>
            <w:tcW w:w="777" w:type="pct"/>
            <w:noWrap w:val="0"/>
            <w:vAlign w:val="center"/>
          </w:tcPr>
          <w:p>
            <w:pPr>
              <w:jc w:val="center"/>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1" w:hRule="atLeast"/>
        </w:trPr>
        <w:tc>
          <w:tcPr>
            <w:tcW w:w="520" w:type="pct"/>
            <w:vMerge w:val="continue"/>
            <w:noWrap w:val="0"/>
            <w:textDirection w:val="tbRlV"/>
            <w:vAlign w:val="center"/>
          </w:tcPr>
          <w:p>
            <w:pPr>
              <w:jc w:val="center"/>
              <w:rPr>
                <w:rFonts w:hint="eastAsia" w:ascii="黑体" w:hAnsi="黑体" w:eastAsia="黑体" w:cs="黑体"/>
                <w:sz w:val="21"/>
                <w:szCs w:val="21"/>
              </w:rPr>
            </w:pPr>
          </w:p>
        </w:tc>
        <w:tc>
          <w:tcPr>
            <w:tcW w:w="520" w:type="pct"/>
            <w:vMerge w:val="continue"/>
            <w:tcBorders>
              <w:top w:val="nil"/>
              <w:bottom w:val="nil"/>
            </w:tcBorders>
            <w:noWrap w:val="0"/>
            <w:vAlign w:val="center"/>
          </w:tcPr>
          <w:p>
            <w:pPr>
              <w:jc w:val="center"/>
              <w:rPr>
                <w:rFonts w:hint="eastAsia" w:ascii="宋体" w:hAnsi="宋体" w:eastAsia="宋体" w:cs="宋体"/>
                <w:sz w:val="21"/>
                <w:szCs w:val="21"/>
              </w:rPr>
            </w:pPr>
          </w:p>
        </w:tc>
        <w:tc>
          <w:tcPr>
            <w:tcW w:w="654" w:type="pct"/>
            <w:vMerge w:val="continue"/>
            <w:tcBorders>
              <w:top w:val="nil"/>
              <w:bottom w:val="nil"/>
            </w:tcBorders>
            <w:noWrap w:val="0"/>
            <w:vAlign w:val="center"/>
          </w:tcPr>
          <w:p>
            <w:pPr>
              <w:jc w:val="center"/>
              <w:rPr>
                <w:rFonts w:hint="eastAsia" w:ascii="宋体" w:hAnsi="宋体" w:eastAsia="宋体" w:cs="宋体"/>
                <w:sz w:val="21"/>
                <w:szCs w:val="21"/>
              </w:rPr>
            </w:pPr>
          </w:p>
        </w:tc>
        <w:tc>
          <w:tcPr>
            <w:tcW w:w="544"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改造提升高标准农田面积（万亩）</w:t>
            </w:r>
          </w:p>
        </w:tc>
        <w:tc>
          <w:tcPr>
            <w:tcW w:w="575" w:type="pct"/>
            <w:noWrap w:val="0"/>
            <w:vAlign w:val="center"/>
          </w:tcPr>
          <w:p>
            <w:pPr>
              <w:jc w:val="center"/>
              <w:rPr>
                <w:rFonts w:hint="eastAsia" w:ascii="宋体" w:hAnsi="宋体" w:eastAsia="宋体" w:cs="宋体"/>
                <w:sz w:val="21"/>
                <w:szCs w:val="21"/>
              </w:rPr>
            </w:pPr>
            <w:r>
              <w:rPr>
                <w:rFonts w:hint="default" w:ascii="宋体" w:hAnsi="宋体" w:eastAsia="宋体" w:cs="宋体"/>
                <w:sz w:val="21"/>
                <w:szCs w:val="21"/>
                <w:lang w:val="en-US" w:eastAsia="zh-CN"/>
              </w:rPr>
              <w:t>≥</w:t>
            </w:r>
            <w:r>
              <w:rPr>
                <w:rFonts w:hint="eastAsia" w:ascii="宋体" w:hAnsi="宋体" w:cs="宋体"/>
                <w:sz w:val="21"/>
                <w:szCs w:val="21"/>
                <w:lang w:val="en-US" w:eastAsia="zh-CN"/>
              </w:rPr>
              <w:t>1.5</w:t>
            </w:r>
            <w:r>
              <w:rPr>
                <w:rFonts w:hint="eastAsia" w:ascii="宋体" w:hAnsi="宋体" w:eastAsia="宋体" w:cs="宋体"/>
                <w:sz w:val="21"/>
                <w:szCs w:val="21"/>
                <w:lang w:val="en-US" w:eastAsia="zh-CN"/>
              </w:rPr>
              <w:t>万亩</w:t>
            </w:r>
          </w:p>
        </w:tc>
        <w:tc>
          <w:tcPr>
            <w:tcW w:w="661"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w:t>
            </w:r>
            <w:r>
              <w:rPr>
                <w:rFonts w:hint="eastAsia" w:ascii="宋体" w:hAnsi="宋体" w:cs="宋体"/>
                <w:sz w:val="21"/>
                <w:szCs w:val="21"/>
                <w:lang w:val="en-US" w:eastAsia="zh-CN"/>
              </w:rPr>
              <w:t>.5万亩</w:t>
            </w:r>
          </w:p>
        </w:tc>
        <w:tc>
          <w:tcPr>
            <w:tcW w:w="373"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10分</w:t>
            </w:r>
          </w:p>
        </w:tc>
        <w:tc>
          <w:tcPr>
            <w:tcW w:w="373"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10</w:t>
            </w:r>
          </w:p>
        </w:tc>
        <w:tc>
          <w:tcPr>
            <w:tcW w:w="777" w:type="pct"/>
            <w:noWrap w:val="0"/>
            <w:vAlign w:val="center"/>
          </w:tcPr>
          <w:p>
            <w:pPr>
              <w:jc w:val="center"/>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1" w:hRule="atLeast"/>
        </w:trPr>
        <w:tc>
          <w:tcPr>
            <w:tcW w:w="520" w:type="pct"/>
            <w:vMerge w:val="continue"/>
            <w:noWrap w:val="0"/>
            <w:textDirection w:val="tbRlV"/>
            <w:vAlign w:val="center"/>
          </w:tcPr>
          <w:p>
            <w:pPr>
              <w:jc w:val="center"/>
              <w:rPr>
                <w:rFonts w:hint="eastAsia" w:ascii="黑体" w:hAnsi="黑体" w:eastAsia="黑体" w:cs="黑体"/>
                <w:sz w:val="21"/>
                <w:szCs w:val="21"/>
              </w:rPr>
            </w:pPr>
          </w:p>
        </w:tc>
        <w:tc>
          <w:tcPr>
            <w:tcW w:w="520" w:type="pct"/>
            <w:vMerge w:val="continue"/>
            <w:tcBorders>
              <w:top w:val="nil"/>
              <w:bottom w:val="nil"/>
            </w:tcBorders>
            <w:noWrap w:val="0"/>
            <w:vAlign w:val="center"/>
          </w:tcPr>
          <w:p>
            <w:pPr>
              <w:jc w:val="center"/>
              <w:rPr>
                <w:rFonts w:hint="eastAsia" w:ascii="宋体" w:hAnsi="宋体" w:eastAsia="宋体" w:cs="宋体"/>
                <w:sz w:val="21"/>
                <w:szCs w:val="21"/>
              </w:rPr>
            </w:pPr>
          </w:p>
        </w:tc>
        <w:tc>
          <w:tcPr>
            <w:tcW w:w="654" w:type="pct"/>
            <w:tcBorders>
              <w:bottom w:val="nil"/>
            </w:tcBorders>
            <w:noWrap w:val="0"/>
            <w:vAlign w:val="center"/>
          </w:tcPr>
          <w:p>
            <w:pPr>
              <w:jc w:val="center"/>
              <w:rPr>
                <w:rFonts w:hint="eastAsia" w:ascii="宋体" w:hAnsi="宋体" w:eastAsia="宋体" w:cs="宋体"/>
                <w:sz w:val="21"/>
                <w:szCs w:val="21"/>
              </w:rPr>
            </w:pPr>
            <w:r>
              <w:rPr>
                <w:rFonts w:hint="eastAsia" w:ascii="宋体" w:hAnsi="宋体" w:eastAsia="宋体" w:cs="宋体"/>
                <w:sz w:val="21"/>
                <w:szCs w:val="21"/>
              </w:rPr>
              <w:t>质</w:t>
            </w:r>
          </w:p>
          <w:p>
            <w:pPr>
              <w:jc w:val="center"/>
              <w:rPr>
                <w:rFonts w:hint="eastAsia" w:ascii="宋体" w:hAnsi="宋体" w:eastAsia="宋体" w:cs="宋体"/>
                <w:sz w:val="21"/>
                <w:szCs w:val="21"/>
              </w:rPr>
            </w:pPr>
            <w:r>
              <w:rPr>
                <w:rFonts w:hint="eastAsia" w:ascii="宋体" w:hAnsi="宋体" w:eastAsia="宋体" w:cs="宋体"/>
                <w:sz w:val="21"/>
                <w:szCs w:val="21"/>
              </w:rPr>
              <w:t>量</w:t>
            </w:r>
          </w:p>
          <w:p>
            <w:pPr>
              <w:jc w:val="center"/>
              <w:rPr>
                <w:rFonts w:hint="eastAsia" w:ascii="宋体" w:hAnsi="宋体" w:eastAsia="宋体" w:cs="宋体"/>
                <w:sz w:val="21"/>
                <w:szCs w:val="21"/>
              </w:rPr>
            </w:pPr>
            <w:r>
              <w:rPr>
                <w:rFonts w:hint="eastAsia" w:ascii="宋体" w:hAnsi="宋体" w:eastAsia="宋体" w:cs="宋体"/>
                <w:sz w:val="21"/>
                <w:szCs w:val="21"/>
              </w:rPr>
              <w:t>指</w:t>
            </w:r>
          </w:p>
          <w:p>
            <w:pPr>
              <w:jc w:val="center"/>
              <w:rPr>
                <w:rFonts w:hint="eastAsia" w:ascii="宋体" w:hAnsi="宋体" w:eastAsia="宋体" w:cs="宋体"/>
                <w:sz w:val="21"/>
                <w:szCs w:val="21"/>
              </w:rPr>
            </w:pPr>
            <w:r>
              <w:rPr>
                <w:rFonts w:hint="eastAsia" w:ascii="宋体" w:hAnsi="宋体" w:eastAsia="宋体" w:cs="宋体"/>
                <w:sz w:val="21"/>
                <w:szCs w:val="21"/>
              </w:rPr>
              <w:t>标</w:t>
            </w:r>
          </w:p>
        </w:tc>
        <w:tc>
          <w:tcPr>
            <w:tcW w:w="544"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项目验收合格率</w:t>
            </w:r>
          </w:p>
        </w:tc>
        <w:tc>
          <w:tcPr>
            <w:tcW w:w="575" w:type="pct"/>
            <w:noWrap w:val="0"/>
            <w:vAlign w:val="center"/>
          </w:tcPr>
          <w:p>
            <w:pPr>
              <w:jc w:val="center"/>
              <w:rPr>
                <w:rFonts w:hint="eastAsia" w:ascii="宋体" w:hAnsi="宋体" w:eastAsia="宋体" w:cs="宋体"/>
                <w:sz w:val="21"/>
                <w:szCs w:val="21"/>
              </w:rPr>
            </w:pPr>
            <w:r>
              <w:rPr>
                <w:rFonts w:hint="default" w:ascii="宋体" w:hAnsi="宋体" w:eastAsia="宋体" w:cs="宋体"/>
                <w:sz w:val="21"/>
                <w:szCs w:val="21"/>
                <w:lang w:val="en-US" w:eastAsia="zh-CN"/>
              </w:rPr>
              <w:t>≥</w:t>
            </w:r>
            <w:r>
              <w:rPr>
                <w:rFonts w:hint="eastAsia" w:ascii="宋体" w:hAnsi="宋体" w:eastAsia="宋体" w:cs="宋体"/>
                <w:sz w:val="21"/>
                <w:szCs w:val="21"/>
                <w:lang w:val="en-US" w:eastAsia="zh-CN"/>
              </w:rPr>
              <w:t>95％</w:t>
            </w:r>
          </w:p>
        </w:tc>
        <w:tc>
          <w:tcPr>
            <w:tcW w:w="661"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98％</w:t>
            </w:r>
          </w:p>
        </w:tc>
        <w:tc>
          <w:tcPr>
            <w:tcW w:w="373"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5分</w:t>
            </w:r>
          </w:p>
        </w:tc>
        <w:tc>
          <w:tcPr>
            <w:tcW w:w="373"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5</w:t>
            </w:r>
          </w:p>
        </w:tc>
        <w:tc>
          <w:tcPr>
            <w:tcW w:w="777" w:type="pct"/>
            <w:noWrap w:val="0"/>
            <w:vAlign w:val="center"/>
          </w:tcPr>
          <w:p>
            <w:pPr>
              <w:jc w:val="center"/>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1" w:hRule="atLeast"/>
        </w:trPr>
        <w:tc>
          <w:tcPr>
            <w:tcW w:w="520" w:type="pct"/>
            <w:vMerge w:val="continue"/>
            <w:noWrap w:val="0"/>
            <w:textDirection w:val="tbRlV"/>
            <w:vAlign w:val="center"/>
          </w:tcPr>
          <w:p>
            <w:pPr>
              <w:jc w:val="center"/>
              <w:rPr>
                <w:rFonts w:hint="eastAsia" w:ascii="黑体" w:hAnsi="黑体" w:eastAsia="黑体" w:cs="黑体"/>
                <w:sz w:val="21"/>
                <w:szCs w:val="21"/>
              </w:rPr>
            </w:pPr>
          </w:p>
        </w:tc>
        <w:tc>
          <w:tcPr>
            <w:tcW w:w="520" w:type="pct"/>
            <w:vMerge w:val="continue"/>
            <w:tcBorders>
              <w:top w:val="nil"/>
              <w:bottom w:val="nil"/>
            </w:tcBorders>
            <w:noWrap w:val="0"/>
            <w:vAlign w:val="center"/>
          </w:tcPr>
          <w:p>
            <w:pPr>
              <w:jc w:val="center"/>
              <w:rPr>
                <w:rFonts w:hint="eastAsia" w:ascii="宋体" w:hAnsi="宋体" w:eastAsia="宋体" w:cs="宋体"/>
                <w:sz w:val="21"/>
                <w:szCs w:val="21"/>
              </w:rPr>
            </w:pPr>
          </w:p>
        </w:tc>
        <w:tc>
          <w:tcPr>
            <w:tcW w:w="654" w:type="pct"/>
            <w:tcBorders>
              <w:bottom w:val="nil"/>
            </w:tcBorders>
            <w:noWrap w:val="0"/>
            <w:vAlign w:val="center"/>
          </w:tcPr>
          <w:p>
            <w:pPr>
              <w:jc w:val="center"/>
              <w:rPr>
                <w:rFonts w:hint="eastAsia" w:ascii="宋体" w:hAnsi="宋体" w:eastAsia="宋体" w:cs="宋体"/>
                <w:sz w:val="21"/>
                <w:szCs w:val="21"/>
              </w:rPr>
            </w:pPr>
            <w:r>
              <w:rPr>
                <w:rFonts w:hint="eastAsia" w:ascii="宋体" w:hAnsi="宋体" w:eastAsia="宋体" w:cs="宋体"/>
                <w:sz w:val="21"/>
                <w:szCs w:val="21"/>
              </w:rPr>
              <w:t>时</w:t>
            </w:r>
          </w:p>
          <w:p>
            <w:pPr>
              <w:jc w:val="center"/>
              <w:rPr>
                <w:rFonts w:hint="eastAsia" w:ascii="宋体" w:hAnsi="宋体" w:eastAsia="宋体" w:cs="宋体"/>
                <w:sz w:val="21"/>
                <w:szCs w:val="21"/>
              </w:rPr>
            </w:pPr>
            <w:r>
              <w:rPr>
                <w:rFonts w:hint="eastAsia" w:ascii="宋体" w:hAnsi="宋体" w:eastAsia="宋体" w:cs="宋体"/>
                <w:sz w:val="21"/>
                <w:szCs w:val="21"/>
              </w:rPr>
              <w:t>效</w:t>
            </w:r>
          </w:p>
          <w:p>
            <w:pPr>
              <w:jc w:val="center"/>
              <w:rPr>
                <w:rFonts w:hint="eastAsia" w:ascii="宋体" w:hAnsi="宋体" w:eastAsia="宋体" w:cs="宋体"/>
                <w:sz w:val="21"/>
                <w:szCs w:val="21"/>
              </w:rPr>
            </w:pPr>
            <w:r>
              <w:rPr>
                <w:rFonts w:hint="eastAsia" w:ascii="宋体" w:hAnsi="宋体" w:eastAsia="宋体" w:cs="宋体"/>
                <w:sz w:val="21"/>
                <w:szCs w:val="21"/>
              </w:rPr>
              <w:t>指</w:t>
            </w:r>
          </w:p>
          <w:p>
            <w:pPr>
              <w:jc w:val="center"/>
              <w:rPr>
                <w:rFonts w:hint="eastAsia" w:ascii="宋体" w:hAnsi="宋体" w:eastAsia="宋体" w:cs="宋体"/>
                <w:sz w:val="21"/>
                <w:szCs w:val="21"/>
              </w:rPr>
            </w:pPr>
            <w:r>
              <w:rPr>
                <w:rFonts w:hint="eastAsia" w:ascii="宋体" w:hAnsi="宋体" w:eastAsia="宋体" w:cs="宋体"/>
                <w:sz w:val="21"/>
                <w:szCs w:val="21"/>
              </w:rPr>
              <w:t>标</w:t>
            </w:r>
          </w:p>
        </w:tc>
        <w:tc>
          <w:tcPr>
            <w:tcW w:w="544"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任务完成及时性</w:t>
            </w:r>
          </w:p>
        </w:tc>
        <w:tc>
          <w:tcPr>
            <w:tcW w:w="575"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2年内</w:t>
            </w:r>
          </w:p>
        </w:tc>
        <w:tc>
          <w:tcPr>
            <w:tcW w:w="661"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eastAsia="zh-CN"/>
              </w:rPr>
              <w:t>２</w:t>
            </w:r>
            <w:r>
              <w:rPr>
                <w:rFonts w:hint="eastAsia" w:ascii="宋体" w:hAnsi="宋体" w:eastAsia="宋体" w:cs="宋体"/>
                <w:sz w:val="21"/>
                <w:szCs w:val="21"/>
                <w:lang w:val="en-US" w:eastAsia="zh-CN"/>
              </w:rPr>
              <w:t>年内</w:t>
            </w:r>
          </w:p>
        </w:tc>
        <w:tc>
          <w:tcPr>
            <w:tcW w:w="373"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5分</w:t>
            </w:r>
          </w:p>
        </w:tc>
        <w:tc>
          <w:tcPr>
            <w:tcW w:w="373"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5</w:t>
            </w:r>
          </w:p>
        </w:tc>
        <w:tc>
          <w:tcPr>
            <w:tcW w:w="777" w:type="pct"/>
            <w:noWrap w:val="0"/>
            <w:vAlign w:val="center"/>
          </w:tcPr>
          <w:p>
            <w:pPr>
              <w:jc w:val="center"/>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0" w:type="pct"/>
            <w:vMerge w:val="restart"/>
            <w:noWrap w:val="0"/>
            <w:vAlign w:val="center"/>
          </w:tcPr>
          <w:p>
            <w:pPr>
              <w:jc w:val="center"/>
              <w:rPr>
                <w:rFonts w:hint="eastAsia" w:ascii="黑体" w:hAnsi="黑体" w:eastAsia="黑体" w:cs="黑体"/>
                <w:sz w:val="21"/>
                <w:szCs w:val="21"/>
              </w:rPr>
            </w:pPr>
            <w:r>
              <w:rPr>
                <w:rFonts w:hint="eastAsia" w:ascii="黑体" w:hAnsi="黑体" w:eastAsia="黑体" w:cs="黑体"/>
                <w:sz w:val="21"/>
                <w:szCs w:val="21"/>
              </w:rPr>
              <w:t>绩</w:t>
            </w:r>
          </w:p>
          <w:p>
            <w:pPr>
              <w:jc w:val="center"/>
              <w:rPr>
                <w:rFonts w:hint="eastAsia" w:ascii="黑体" w:hAnsi="黑体" w:eastAsia="黑体" w:cs="黑体"/>
                <w:sz w:val="21"/>
                <w:szCs w:val="21"/>
              </w:rPr>
            </w:pPr>
            <w:r>
              <w:rPr>
                <w:rFonts w:hint="eastAsia" w:ascii="黑体" w:hAnsi="黑体" w:eastAsia="黑体" w:cs="黑体"/>
                <w:sz w:val="21"/>
                <w:szCs w:val="21"/>
              </w:rPr>
              <w:t>效</w:t>
            </w:r>
          </w:p>
          <w:p>
            <w:pPr>
              <w:jc w:val="center"/>
              <w:rPr>
                <w:rFonts w:hint="eastAsia" w:ascii="黑体" w:hAnsi="黑体" w:eastAsia="黑体" w:cs="黑体"/>
                <w:sz w:val="21"/>
                <w:szCs w:val="21"/>
              </w:rPr>
            </w:pPr>
            <w:r>
              <w:rPr>
                <w:rFonts w:hint="eastAsia" w:ascii="黑体" w:hAnsi="黑体" w:eastAsia="黑体" w:cs="黑体"/>
                <w:sz w:val="21"/>
                <w:szCs w:val="21"/>
              </w:rPr>
              <w:t>指</w:t>
            </w:r>
          </w:p>
          <w:p>
            <w:pPr>
              <w:jc w:val="center"/>
              <w:rPr>
                <w:rFonts w:hint="eastAsia" w:ascii="黑体" w:hAnsi="黑体" w:eastAsia="黑体" w:cs="黑体"/>
                <w:sz w:val="21"/>
                <w:szCs w:val="21"/>
              </w:rPr>
            </w:pPr>
            <w:r>
              <w:rPr>
                <w:rFonts w:hint="eastAsia" w:ascii="黑体" w:hAnsi="黑体" w:eastAsia="黑体" w:cs="黑体"/>
                <w:sz w:val="21"/>
                <w:szCs w:val="21"/>
              </w:rPr>
              <w:t>标</w:t>
            </w:r>
          </w:p>
        </w:tc>
        <w:tc>
          <w:tcPr>
            <w:tcW w:w="520" w:type="pct"/>
            <w:vMerge w:val="restart"/>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宋体" w:hAnsi="宋体" w:eastAsia="宋体" w:cs="宋体"/>
                <w:sz w:val="21"/>
                <w:szCs w:val="21"/>
              </w:rPr>
            </w:pPr>
            <w:r>
              <w:rPr>
                <w:rFonts w:hint="eastAsia" w:ascii="宋体" w:hAnsi="宋体" w:eastAsia="宋体" w:cs="宋体"/>
                <w:sz w:val="21"/>
                <w:szCs w:val="21"/>
              </w:rPr>
              <w:t>效</w:t>
            </w:r>
          </w:p>
          <w:p>
            <w:pPr>
              <w:jc w:val="center"/>
              <w:rPr>
                <w:rFonts w:hint="eastAsia" w:ascii="宋体" w:hAnsi="宋体" w:eastAsia="宋体" w:cs="宋体"/>
                <w:sz w:val="21"/>
                <w:szCs w:val="21"/>
              </w:rPr>
            </w:pPr>
            <w:r>
              <w:rPr>
                <w:rFonts w:hint="eastAsia" w:ascii="宋体" w:hAnsi="宋体" w:eastAsia="宋体" w:cs="宋体"/>
                <w:sz w:val="21"/>
                <w:szCs w:val="21"/>
              </w:rPr>
              <w:t>益</w:t>
            </w:r>
          </w:p>
          <w:p>
            <w:pPr>
              <w:jc w:val="center"/>
              <w:rPr>
                <w:rFonts w:hint="eastAsia" w:ascii="宋体" w:hAnsi="宋体" w:eastAsia="宋体" w:cs="宋体"/>
                <w:sz w:val="21"/>
                <w:szCs w:val="21"/>
              </w:rPr>
            </w:pPr>
            <w:r>
              <w:rPr>
                <w:rFonts w:hint="eastAsia" w:ascii="宋体" w:hAnsi="宋体" w:eastAsia="宋体" w:cs="宋体"/>
                <w:sz w:val="21"/>
                <w:szCs w:val="21"/>
              </w:rPr>
              <w:t>指</w:t>
            </w:r>
          </w:p>
          <w:p>
            <w:pPr>
              <w:jc w:val="center"/>
              <w:rPr>
                <w:rFonts w:hint="eastAsia" w:ascii="宋体" w:hAnsi="宋体" w:eastAsia="宋体" w:cs="宋体"/>
                <w:sz w:val="21"/>
                <w:szCs w:val="21"/>
              </w:rPr>
            </w:pPr>
            <w:r>
              <w:rPr>
                <w:rFonts w:hint="eastAsia" w:ascii="宋体" w:hAnsi="宋体" w:eastAsia="宋体" w:cs="宋体"/>
                <w:sz w:val="21"/>
                <w:szCs w:val="21"/>
              </w:rPr>
              <w:t>标</w:t>
            </w:r>
          </w:p>
          <w:p>
            <w:pPr>
              <w:jc w:val="center"/>
              <w:rPr>
                <w:rFonts w:hint="eastAsia" w:ascii="宋体" w:hAnsi="宋体" w:eastAsia="宋体" w:cs="宋体"/>
                <w:sz w:val="21"/>
                <w:szCs w:val="21"/>
              </w:rPr>
            </w:pPr>
            <w:r>
              <w:rPr>
                <w:rFonts w:hint="eastAsia" w:ascii="宋体" w:hAnsi="宋体" w:eastAsia="宋体" w:cs="宋体"/>
                <w:sz w:val="21"/>
                <w:szCs w:val="21"/>
              </w:rPr>
              <w:t>（30分）</w:t>
            </w:r>
          </w:p>
        </w:tc>
        <w:tc>
          <w:tcPr>
            <w:tcW w:w="654" w:type="pct"/>
            <w:tcBorders>
              <w:left w:val="single" w:color="auto" w:sz="4" w:space="0"/>
              <w:bottom w:val="nil"/>
            </w:tcBorders>
            <w:noWrap w:val="0"/>
            <w:vAlign w:val="center"/>
          </w:tcPr>
          <w:p>
            <w:pPr>
              <w:jc w:val="center"/>
              <w:rPr>
                <w:rFonts w:hint="eastAsia" w:ascii="宋体" w:hAnsi="宋体" w:eastAsia="宋体" w:cs="宋体"/>
                <w:sz w:val="21"/>
                <w:szCs w:val="21"/>
              </w:rPr>
            </w:pPr>
            <w:r>
              <w:rPr>
                <w:rFonts w:hint="eastAsia" w:ascii="宋体" w:hAnsi="宋体" w:eastAsia="宋体" w:cs="宋体"/>
                <w:sz w:val="21"/>
                <w:szCs w:val="21"/>
              </w:rPr>
              <w:t>经济</w:t>
            </w:r>
          </w:p>
          <w:p>
            <w:pPr>
              <w:jc w:val="center"/>
              <w:rPr>
                <w:rFonts w:hint="eastAsia" w:ascii="宋体" w:hAnsi="宋体" w:eastAsia="宋体" w:cs="宋体"/>
                <w:sz w:val="21"/>
                <w:szCs w:val="21"/>
              </w:rPr>
            </w:pPr>
            <w:r>
              <w:rPr>
                <w:rFonts w:hint="eastAsia" w:ascii="宋体" w:hAnsi="宋体" w:eastAsia="宋体" w:cs="宋体"/>
                <w:sz w:val="21"/>
                <w:szCs w:val="21"/>
              </w:rPr>
              <w:t>效益</w:t>
            </w:r>
          </w:p>
          <w:p>
            <w:pPr>
              <w:jc w:val="center"/>
              <w:rPr>
                <w:rFonts w:hint="eastAsia" w:ascii="宋体" w:hAnsi="宋体" w:eastAsia="宋体" w:cs="宋体"/>
                <w:sz w:val="21"/>
                <w:szCs w:val="21"/>
              </w:rPr>
            </w:pPr>
            <w:r>
              <w:rPr>
                <w:rFonts w:hint="eastAsia" w:ascii="宋体" w:hAnsi="宋体" w:eastAsia="宋体" w:cs="宋体"/>
                <w:sz w:val="21"/>
                <w:szCs w:val="21"/>
              </w:rPr>
              <w:t>指标</w:t>
            </w:r>
          </w:p>
        </w:tc>
        <w:tc>
          <w:tcPr>
            <w:tcW w:w="544"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完成农产品质量提升率</w:t>
            </w:r>
          </w:p>
        </w:tc>
        <w:tc>
          <w:tcPr>
            <w:tcW w:w="575" w:type="pct"/>
            <w:noWrap w:val="0"/>
            <w:vAlign w:val="center"/>
          </w:tcPr>
          <w:p>
            <w:pPr>
              <w:jc w:val="center"/>
              <w:rPr>
                <w:rFonts w:hint="default" w:ascii="宋体" w:hAnsi="宋体" w:eastAsia="宋体" w:cs="宋体"/>
                <w:sz w:val="21"/>
                <w:szCs w:val="21"/>
                <w:lang w:val="en-US"/>
              </w:rPr>
            </w:pPr>
            <w:r>
              <w:rPr>
                <w:rFonts w:hint="default" w:ascii="宋体" w:hAnsi="宋体" w:eastAsia="宋体" w:cs="宋体"/>
                <w:sz w:val="21"/>
                <w:szCs w:val="21"/>
                <w:lang w:val="en-US" w:eastAsia="zh-CN"/>
              </w:rPr>
              <w:t>≥</w:t>
            </w:r>
            <w:r>
              <w:rPr>
                <w:rFonts w:hint="eastAsia" w:ascii="宋体" w:hAnsi="宋体" w:eastAsia="宋体" w:cs="宋体"/>
                <w:sz w:val="21"/>
                <w:szCs w:val="21"/>
                <w:lang w:val="en-US" w:eastAsia="zh-CN"/>
              </w:rPr>
              <w:t>20％</w:t>
            </w:r>
          </w:p>
        </w:tc>
        <w:tc>
          <w:tcPr>
            <w:tcW w:w="661"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19％</w:t>
            </w:r>
          </w:p>
        </w:tc>
        <w:tc>
          <w:tcPr>
            <w:tcW w:w="373"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10分</w:t>
            </w:r>
          </w:p>
        </w:tc>
        <w:tc>
          <w:tcPr>
            <w:tcW w:w="373"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9.5</w:t>
            </w:r>
          </w:p>
        </w:tc>
        <w:tc>
          <w:tcPr>
            <w:tcW w:w="777" w:type="pct"/>
            <w:noWrap w:val="0"/>
            <w:vAlign w:val="center"/>
          </w:tcPr>
          <w:p>
            <w:pPr>
              <w:jc w:val="center"/>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0" w:type="pct"/>
            <w:vMerge w:val="continue"/>
            <w:noWrap w:val="0"/>
            <w:textDirection w:val="tbRlV"/>
            <w:vAlign w:val="center"/>
          </w:tcPr>
          <w:p>
            <w:pPr>
              <w:jc w:val="center"/>
              <w:rPr>
                <w:rFonts w:hint="eastAsia" w:ascii="宋体" w:hAnsi="宋体" w:eastAsia="宋体" w:cs="宋体"/>
                <w:sz w:val="21"/>
                <w:szCs w:val="21"/>
              </w:rPr>
            </w:pPr>
          </w:p>
        </w:tc>
        <w:tc>
          <w:tcPr>
            <w:tcW w:w="520" w:type="pct"/>
            <w:vMerge w:val="continue"/>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宋体" w:hAnsi="宋体" w:eastAsia="宋体" w:cs="宋体"/>
                <w:sz w:val="21"/>
                <w:szCs w:val="21"/>
              </w:rPr>
            </w:pPr>
          </w:p>
        </w:tc>
        <w:tc>
          <w:tcPr>
            <w:tcW w:w="654" w:type="pct"/>
            <w:tcBorders>
              <w:left w:val="single" w:color="auto" w:sz="4" w:space="0"/>
              <w:bottom w:val="nil"/>
            </w:tcBorders>
            <w:noWrap w:val="0"/>
            <w:vAlign w:val="center"/>
          </w:tcPr>
          <w:p>
            <w:pPr>
              <w:jc w:val="center"/>
              <w:rPr>
                <w:rFonts w:hint="eastAsia" w:ascii="宋体" w:hAnsi="宋体" w:eastAsia="宋体" w:cs="宋体"/>
                <w:sz w:val="21"/>
                <w:szCs w:val="21"/>
              </w:rPr>
            </w:pPr>
            <w:r>
              <w:rPr>
                <w:rFonts w:hint="eastAsia" w:ascii="宋体" w:hAnsi="宋体" w:eastAsia="宋体" w:cs="宋体"/>
                <w:sz w:val="21"/>
                <w:szCs w:val="21"/>
              </w:rPr>
              <w:t>社会</w:t>
            </w:r>
          </w:p>
          <w:p>
            <w:pPr>
              <w:jc w:val="center"/>
              <w:rPr>
                <w:rFonts w:hint="eastAsia" w:ascii="宋体" w:hAnsi="宋体" w:eastAsia="宋体" w:cs="宋体"/>
                <w:sz w:val="21"/>
                <w:szCs w:val="21"/>
              </w:rPr>
            </w:pPr>
            <w:r>
              <w:rPr>
                <w:rFonts w:hint="eastAsia" w:ascii="宋体" w:hAnsi="宋体" w:eastAsia="宋体" w:cs="宋体"/>
                <w:sz w:val="21"/>
                <w:szCs w:val="21"/>
              </w:rPr>
              <w:t>效益</w:t>
            </w:r>
          </w:p>
          <w:p>
            <w:pPr>
              <w:jc w:val="center"/>
              <w:rPr>
                <w:rFonts w:hint="eastAsia" w:ascii="宋体" w:hAnsi="宋体" w:eastAsia="宋体" w:cs="宋体"/>
                <w:sz w:val="21"/>
                <w:szCs w:val="21"/>
              </w:rPr>
            </w:pPr>
            <w:r>
              <w:rPr>
                <w:rFonts w:hint="eastAsia" w:ascii="宋体" w:hAnsi="宋体" w:eastAsia="宋体" w:cs="宋体"/>
                <w:sz w:val="21"/>
                <w:szCs w:val="21"/>
              </w:rPr>
              <w:t>指标</w:t>
            </w:r>
          </w:p>
        </w:tc>
        <w:tc>
          <w:tcPr>
            <w:tcW w:w="544"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田间道路通达度</w:t>
            </w:r>
          </w:p>
        </w:tc>
        <w:tc>
          <w:tcPr>
            <w:tcW w:w="575"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100％</w:t>
            </w:r>
          </w:p>
        </w:tc>
        <w:tc>
          <w:tcPr>
            <w:tcW w:w="661"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95％</w:t>
            </w:r>
          </w:p>
        </w:tc>
        <w:tc>
          <w:tcPr>
            <w:tcW w:w="373"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10分</w:t>
            </w:r>
          </w:p>
        </w:tc>
        <w:tc>
          <w:tcPr>
            <w:tcW w:w="373"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9.5</w:t>
            </w:r>
          </w:p>
        </w:tc>
        <w:tc>
          <w:tcPr>
            <w:tcW w:w="777" w:type="pct"/>
            <w:noWrap w:val="0"/>
            <w:vAlign w:val="center"/>
          </w:tcPr>
          <w:p>
            <w:pPr>
              <w:jc w:val="center"/>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0" w:type="pct"/>
            <w:vMerge w:val="continue"/>
            <w:noWrap w:val="0"/>
            <w:textDirection w:val="tbRlV"/>
            <w:vAlign w:val="center"/>
          </w:tcPr>
          <w:p>
            <w:pPr>
              <w:jc w:val="center"/>
              <w:rPr>
                <w:rFonts w:hint="eastAsia" w:ascii="宋体" w:hAnsi="宋体" w:eastAsia="宋体" w:cs="宋体"/>
                <w:sz w:val="21"/>
                <w:szCs w:val="21"/>
              </w:rPr>
            </w:pPr>
          </w:p>
        </w:tc>
        <w:tc>
          <w:tcPr>
            <w:tcW w:w="520" w:type="pct"/>
            <w:vMerge w:val="continue"/>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宋体" w:hAnsi="宋体" w:eastAsia="宋体" w:cs="宋体"/>
                <w:sz w:val="21"/>
                <w:szCs w:val="21"/>
              </w:rPr>
            </w:pPr>
          </w:p>
        </w:tc>
        <w:tc>
          <w:tcPr>
            <w:tcW w:w="654" w:type="pct"/>
            <w:tcBorders>
              <w:left w:val="single" w:color="auto" w:sz="4" w:space="0"/>
              <w:bottom w:val="nil"/>
            </w:tcBorders>
            <w:noWrap w:val="0"/>
            <w:vAlign w:val="center"/>
          </w:tcPr>
          <w:p>
            <w:pPr>
              <w:jc w:val="center"/>
              <w:rPr>
                <w:rFonts w:hint="eastAsia" w:ascii="宋体" w:hAnsi="宋体" w:eastAsia="宋体" w:cs="宋体"/>
                <w:sz w:val="21"/>
                <w:szCs w:val="21"/>
              </w:rPr>
            </w:pPr>
            <w:r>
              <w:rPr>
                <w:rFonts w:hint="eastAsia" w:ascii="宋体" w:hAnsi="宋体" w:eastAsia="宋体" w:cs="宋体"/>
                <w:sz w:val="21"/>
                <w:szCs w:val="21"/>
              </w:rPr>
              <w:t>生态</w:t>
            </w:r>
          </w:p>
          <w:p>
            <w:pPr>
              <w:jc w:val="center"/>
              <w:rPr>
                <w:rFonts w:hint="eastAsia" w:ascii="宋体" w:hAnsi="宋体" w:eastAsia="宋体" w:cs="宋体"/>
                <w:sz w:val="21"/>
                <w:szCs w:val="21"/>
              </w:rPr>
            </w:pPr>
            <w:r>
              <w:rPr>
                <w:rFonts w:hint="eastAsia" w:ascii="宋体" w:hAnsi="宋体" w:eastAsia="宋体" w:cs="宋体"/>
                <w:sz w:val="21"/>
                <w:szCs w:val="21"/>
              </w:rPr>
              <w:t>效益</w:t>
            </w:r>
          </w:p>
          <w:p>
            <w:pPr>
              <w:jc w:val="center"/>
              <w:rPr>
                <w:rFonts w:hint="eastAsia" w:ascii="宋体" w:hAnsi="宋体" w:eastAsia="宋体" w:cs="宋体"/>
                <w:sz w:val="21"/>
                <w:szCs w:val="21"/>
              </w:rPr>
            </w:pPr>
            <w:r>
              <w:rPr>
                <w:rFonts w:hint="eastAsia" w:ascii="宋体" w:hAnsi="宋体" w:eastAsia="宋体" w:cs="宋体"/>
                <w:sz w:val="21"/>
                <w:szCs w:val="21"/>
              </w:rPr>
              <w:t>指标</w:t>
            </w:r>
          </w:p>
        </w:tc>
        <w:tc>
          <w:tcPr>
            <w:tcW w:w="544"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耕地质量</w:t>
            </w:r>
          </w:p>
        </w:tc>
        <w:tc>
          <w:tcPr>
            <w:tcW w:w="575" w:type="pct"/>
            <w:noWrap w:val="0"/>
            <w:vAlign w:val="center"/>
          </w:tcPr>
          <w:p>
            <w:pPr>
              <w:jc w:val="center"/>
              <w:rPr>
                <w:rFonts w:hint="eastAsia" w:ascii="宋体" w:hAnsi="宋体" w:eastAsia="宋体" w:cs="宋体"/>
                <w:sz w:val="21"/>
                <w:szCs w:val="21"/>
              </w:rPr>
            </w:pPr>
            <w:r>
              <w:rPr>
                <w:rFonts w:hint="default" w:ascii="宋体" w:hAnsi="宋体" w:eastAsia="宋体" w:cs="宋体"/>
                <w:sz w:val="21"/>
                <w:szCs w:val="21"/>
                <w:lang w:val="en-US" w:eastAsia="zh-CN"/>
              </w:rPr>
              <w:t>≥</w:t>
            </w:r>
            <w:r>
              <w:rPr>
                <w:rFonts w:hint="eastAsia" w:ascii="宋体" w:hAnsi="宋体" w:eastAsia="宋体" w:cs="宋体"/>
                <w:sz w:val="21"/>
                <w:szCs w:val="21"/>
                <w:lang w:val="en-US" w:eastAsia="zh-CN"/>
              </w:rPr>
              <w:t>30％</w:t>
            </w:r>
          </w:p>
        </w:tc>
        <w:tc>
          <w:tcPr>
            <w:tcW w:w="661"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28％</w:t>
            </w:r>
          </w:p>
        </w:tc>
        <w:tc>
          <w:tcPr>
            <w:tcW w:w="373"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5分</w:t>
            </w:r>
          </w:p>
        </w:tc>
        <w:tc>
          <w:tcPr>
            <w:tcW w:w="373"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4.7</w:t>
            </w:r>
          </w:p>
        </w:tc>
        <w:tc>
          <w:tcPr>
            <w:tcW w:w="777" w:type="pct"/>
            <w:noWrap w:val="0"/>
            <w:vAlign w:val="center"/>
          </w:tcPr>
          <w:p>
            <w:pPr>
              <w:jc w:val="center"/>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0" w:type="pct"/>
            <w:vMerge w:val="continue"/>
            <w:noWrap w:val="0"/>
            <w:textDirection w:val="tbRlV"/>
            <w:vAlign w:val="center"/>
          </w:tcPr>
          <w:p>
            <w:pPr>
              <w:jc w:val="center"/>
              <w:rPr>
                <w:rFonts w:hint="eastAsia" w:ascii="宋体" w:hAnsi="宋体" w:eastAsia="宋体" w:cs="宋体"/>
                <w:sz w:val="21"/>
                <w:szCs w:val="21"/>
              </w:rPr>
            </w:pPr>
          </w:p>
        </w:tc>
        <w:tc>
          <w:tcPr>
            <w:tcW w:w="520" w:type="pct"/>
            <w:vMerge w:val="continue"/>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宋体" w:hAnsi="宋体" w:eastAsia="宋体" w:cs="宋体"/>
                <w:sz w:val="21"/>
                <w:szCs w:val="21"/>
              </w:rPr>
            </w:pPr>
          </w:p>
        </w:tc>
        <w:tc>
          <w:tcPr>
            <w:tcW w:w="654" w:type="pct"/>
            <w:tcBorders>
              <w:left w:val="single" w:color="auto" w:sz="4" w:space="0"/>
              <w:bottom w:val="nil"/>
            </w:tcBorders>
            <w:noWrap w:val="0"/>
            <w:vAlign w:val="center"/>
          </w:tcPr>
          <w:p>
            <w:pPr>
              <w:jc w:val="center"/>
              <w:rPr>
                <w:rFonts w:hint="eastAsia" w:ascii="宋体" w:hAnsi="宋体" w:eastAsia="宋体" w:cs="宋体"/>
                <w:sz w:val="21"/>
                <w:szCs w:val="21"/>
              </w:rPr>
            </w:pPr>
            <w:r>
              <w:rPr>
                <w:rFonts w:hint="eastAsia" w:ascii="宋体" w:hAnsi="宋体" w:eastAsia="宋体" w:cs="宋体"/>
                <w:sz w:val="21"/>
                <w:szCs w:val="21"/>
              </w:rPr>
              <w:t>可持续</w:t>
            </w:r>
          </w:p>
          <w:p>
            <w:pPr>
              <w:jc w:val="center"/>
              <w:rPr>
                <w:rFonts w:hint="eastAsia" w:ascii="宋体" w:hAnsi="宋体" w:eastAsia="宋体" w:cs="宋体"/>
                <w:sz w:val="21"/>
                <w:szCs w:val="21"/>
              </w:rPr>
            </w:pPr>
            <w:r>
              <w:rPr>
                <w:rFonts w:hint="eastAsia" w:ascii="宋体" w:hAnsi="宋体" w:eastAsia="宋体" w:cs="宋体"/>
                <w:sz w:val="21"/>
                <w:szCs w:val="21"/>
              </w:rPr>
              <w:t>影响</w:t>
            </w:r>
          </w:p>
          <w:p>
            <w:pPr>
              <w:jc w:val="center"/>
              <w:rPr>
                <w:rFonts w:hint="eastAsia" w:ascii="宋体" w:hAnsi="宋体" w:eastAsia="宋体" w:cs="宋体"/>
                <w:sz w:val="21"/>
                <w:szCs w:val="21"/>
              </w:rPr>
            </w:pPr>
            <w:r>
              <w:rPr>
                <w:rFonts w:hint="eastAsia" w:ascii="宋体" w:hAnsi="宋体" w:eastAsia="宋体" w:cs="宋体"/>
                <w:sz w:val="21"/>
                <w:szCs w:val="21"/>
              </w:rPr>
              <w:t>指标</w:t>
            </w:r>
          </w:p>
        </w:tc>
        <w:tc>
          <w:tcPr>
            <w:tcW w:w="544"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水资源利用率</w:t>
            </w:r>
          </w:p>
        </w:tc>
        <w:tc>
          <w:tcPr>
            <w:tcW w:w="575" w:type="pct"/>
            <w:noWrap w:val="0"/>
            <w:vAlign w:val="center"/>
          </w:tcPr>
          <w:p>
            <w:pPr>
              <w:jc w:val="center"/>
              <w:rPr>
                <w:rFonts w:hint="eastAsia" w:ascii="宋体" w:hAnsi="宋体" w:eastAsia="宋体" w:cs="宋体"/>
                <w:sz w:val="21"/>
                <w:szCs w:val="21"/>
              </w:rPr>
            </w:pPr>
            <w:r>
              <w:rPr>
                <w:rFonts w:hint="default" w:ascii="宋体" w:hAnsi="宋体" w:eastAsia="宋体" w:cs="宋体"/>
                <w:sz w:val="21"/>
                <w:szCs w:val="21"/>
                <w:lang w:val="en-US" w:eastAsia="zh-CN"/>
              </w:rPr>
              <w:t>≥</w:t>
            </w:r>
            <w:r>
              <w:rPr>
                <w:rFonts w:hint="eastAsia" w:ascii="宋体" w:hAnsi="宋体" w:eastAsia="宋体" w:cs="宋体"/>
                <w:sz w:val="21"/>
                <w:szCs w:val="21"/>
                <w:lang w:val="en-US" w:eastAsia="zh-CN"/>
              </w:rPr>
              <w:t>20％</w:t>
            </w:r>
          </w:p>
        </w:tc>
        <w:tc>
          <w:tcPr>
            <w:tcW w:w="661"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19％</w:t>
            </w:r>
          </w:p>
        </w:tc>
        <w:tc>
          <w:tcPr>
            <w:tcW w:w="373"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5分</w:t>
            </w:r>
          </w:p>
        </w:tc>
        <w:tc>
          <w:tcPr>
            <w:tcW w:w="373"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4.8</w:t>
            </w:r>
          </w:p>
        </w:tc>
        <w:tc>
          <w:tcPr>
            <w:tcW w:w="777" w:type="pct"/>
            <w:noWrap w:val="0"/>
            <w:vAlign w:val="center"/>
          </w:tcPr>
          <w:p>
            <w:pPr>
              <w:jc w:val="center"/>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0" w:type="pct"/>
            <w:vMerge w:val="continue"/>
            <w:noWrap w:val="0"/>
            <w:textDirection w:val="tbRlV"/>
            <w:vAlign w:val="center"/>
          </w:tcPr>
          <w:p>
            <w:pPr>
              <w:jc w:val="center"/>
              <w:rPr>
                <w:rFonts w:hint="eastAsia" w:ascii="宋体" w:hAnsi="宋体" w:eastAsia="宋体" w:cs="宋体"/>
                <w:sz w:val="21"/>
                <w:szCs w:val="21"/>
              </w:rPr>
            </w:pPr>
          </w:p>
        </w:tc>
        <w:tc>
          <w:tcPr>
            <w:tcW w:w="520" w:type="pct"/>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宋体" w:hAnsi="宋体" w:eastAsia="宋体" w:cs="宋体"/>
                <w:sz w:val="21"/>
                <w:szCs w:val="21"/>
              </w:rPr>
            </w:pPr>
            <w:r>
              <w:rPr>
                <w:rFonts w:hint="eastAsia" w:ascii="宋体" w:hAnsi="宋体" w:eastAsia="宋体" w:cs="宋体"/>
                <w:sz w:val="21"/>
                <w:szCs w:val="21"/>
              </w:rPr>
              <w:t>满意度</w:t>
            </w:r>
          </w:p>
          <w:p>
            <w:pPr>
              <w:jc w:val="center"/>
              <w:rPr>
                <w:rFonts w:hint="eastAsia" w:ascii="宋体" w:hAnsi="宋体" w:eastAsia="宋体" w:cs="宋体"/>
                <w:sz w:val="21"/>
                <w:szCs w:val="21"/>
              </w:rPr>
            </w:pPr>
            <w:r>
              <w:rPr>
                <w:rFonts w:hint="eastAsia" w:ascii="宋体" w:hAnsi="宋体" w:eastAsia="宋体" w:cs="宋体"/>
                <w:sz w:val="21"/>
                <w:szCs w:val="21"/>
              </w:rPr>
              <w:t>指标</w:t>
            </w:r>
          </w:p>
          <w:p>
            <w:pPr>
              <w:jc w:val="center"/>
              <w:rPr>
                <w:rFonts w:hint="eastAsia" w:ascii="宋体" w:hAnsi="宋体" w:eastAsia="宋体" w:cs="宋体"/>
                <w:sz w:val="21"/>
                <w:szCs w:val="21"/>
              </w:rPr>
            </w:pPr>
            <w:r>
              <w:rPr>
                <w:rFonts w:hint="eastAsia" w:ascii="宋体" w:hAnsi="宋体" w:eastAsia="宋体" w:cs="宋体"/>
                <w:sz w:val="21"/>
                <w:szCs w:val="21"/>
              </w:rPr>
              <w:t>（10分）</w:t>
            </w:r>
          </w:p>
        </w:tc>
        <w:tc>
          <w:tcPr>
            <w:tcW w:w="654" w:type="pct"/>
            <w:tcBorders>
              <w:left w:val="single" w:color="auto" w:sz="4" w:space="0"/>
              <w:bottom w:val="nil"/>
            </w:tcBorders>
            <w:noWrap w:val="0"/>
            <w:vAlign w:val="center"/>
          </w:tcPr>
          <w:p>
            <w:pPr>
              <w:jc w:val="center"/>
              <w:rPr>
                <w:rFonts w:hint="eastAsia" w:ascii="宋体" w:hAnsi="宋体" w:eastAsia="宋体" w:cs="宋体"/>
                <w:sz w:val="21"/>
                <w:szCs w:val="21"/>
              </w:rPr>
            </w:pPr>
            <w:r>
              <w:rPr>
                <w:rFonts w:hint="eastAsia" w:ascii="宋体" w:hAnsi="宋体" w:eastAsia="宋体" w:cs="宋体"/>
                <w:sz w:val="21"/>
                <w:szCs w:val="21"/>
              </w:rPr>
              <w:t>服务对象</w:t>
            </w:r>
          </w:p>
          <w:p>
            <w:pPr>
              <w:jc w:val="center"/>
              <w:rPr>
                <w:rFonts w:hint="eastAsia" w:ascii="宋体" w:hAnsi="宋体" w:eastAsia="宋体" w:cs="宋体"/>
                <w:sz w:val="21"/>
                <w:szCs w:val="21"/>
              </w:rPr>
            </w:pPr>
            <w:r>
              <w:rPr>
                <w:rFonts w:hint="eastAsia" w:ascii="宋体" w:hAnsi="宋体" w:eastAsia="宋体" w:cs="宋体"/>
                <w:sz w:val="21"/>
                <w:szCs w:val="21"/>
              </w:rPr>
              <w:t>满意度</w:t>
            </w:r>
          </w:p>
          <w:p>
            <w:pPr>
              <w:jc w:val="center"/>
              <w:rPr>
                <w:rFonts w:hint="eastAsia" w:ascii="宋体" w:hAnsi="宋体" w:eastAsia="宋体" w:cs="宋体"/>
                <w:sz w:val="21"/>
                <w:szCs w:val="21"/>
              </w:rPr>
            </w:pPr>
            <w:r>
              <w:rPr>
                <w:rFonts w:hint="eastAsia" w:ascii="宋体" w:hAnsi="宋体" w:eastAsia="宋体" w:cs="宋体"/>
                <w:sz w:val="21"/>
                <w:szCs w:val="21"/>
              </w:rPr>
              <w:t>指标</w:t>
            </w:r>
          </w:p>
        </w:tc>
        <w:tc>
          <w:tcPr>
            <w:tcW w:w="544"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受益群众满意度</w:t>
            </w:r>
          </w:p>
        </w:tc>
        <w:tc>
          <w:tcPr>
            <w:tcW w:w="575" w:type="pct"/>
            <w:noWrap w:val="0"/>
            <w:vAlign w:val="center"/>
          </w:tcPr>
          <w:p>
            <w:pPr>
              <w:jc w:val="center"/>
              <w:rPr>
                <w:rFonts w:hint="eastAsia" w:ascii="宋体" w:hAnsi="宋体" w:eastAsia="宋体" w:cs="宋体"/>
                <w:sz w:val="21"/>
                <w:szCs w:val="21"/>
              </w:rPr>
            </w:pPr>
            <w:r>
              <w:rPr>
                <w:rFonts w:hint="default" w:ascii="宋体" w:hAnsi="宋体" w:eastAsia="宋体" w:cs="宋体"/>
                <w:sz w:val="21"/>
                <w:szCs w:val="21"/>
                <w:lang w:val="en-US" w:eastAsia="zh-CN"/>
              </w:rPr>
              <w:t>≥</w:t>
            </w:r>
            <w:r>
              <w:rPr>
                <w:rFonts w:hint="eastAsia" w:ascii="宋体" w:hAnsi="宋体" w:eastAsia="宋体" w:cs="宋体"/>
                <w:sz w:val="21"/>
                <w:szCs w:val="21"/>
                <w:lang w:val="en-US" w:eastAsia="zh-CN"/>
              </w:rPr>
              <w:t>9</w:t>
            </w:r>
            <w:r>
              <w:rPr>
                <w:rFonts w:hint="eastAsia" w:ascii="宋体" w:hAnsi="宋体" w:cs="宋体"/>
                <w:sz w:val="21"/>
                <w:szCs w:val="21"/>
                <w:lang w:val="en-US" w:eastAsia="zh-CN"/>
              </w:rPr>
              <w:t>5</w:t>
            </w:r>
            <w:r>
              <w:rPr>
                <w:rFonts w:hint="eastAsia" w:ascii="宋体" w:hAnsi="宋体" w:eastAsia="宋体" w:cs="宋体"/>
                <w:sz w:val="21"/>
                <w:szCs w:val="21"/>
                <w:lang w:val="en-US" w:eastAsia="zh-CN"/>
              </w:rPr>
              <w:t>％</w:t>
            </w:r>
          </w:p>
        </w:tc>
        <w:tc>
          <w:tcPr>
            <w:tcW w:w="661"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95％</w:t>
            </w:r>
          </w:p>
        </w:tc>
        <w:tc>
          <w:tcPr>
            <w:tcW w:w="373"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10分</w:t>
            </w:r>
          </w:p>
        </w:tc>
        <w:tc>
          <w:tcPr>
            <w:tcW w:w="373"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10</w:t>
            </w:r>
          </w:p>
        </w:tc>
        <w:tc>
          <w:tcPr>
            <w:tcW w:w="777" w:type="pct"/>
            <w:noWrap w:val="0"/>
            <w:vAlign w:val="center"/>
          </w:tcPr>
          <w:p>
            <w:pPr>
              <w:jc w:val="center"/>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0" w:type="pct"/>
            <w:vMerge w:val="continue"/>
            <w:noWrap w:val="0"/>
            <w:textDirection w:val="tbRlV"/>
            <w:vAlign w:val="center"/>
          </w:tcPr>
          <w:p>
            <w:pPr>
              <w:jc w:val="center"/>
              <w:rPr>
                <w:rFonts w:hint="eastAsia" w:ascii="宋体" w:hAnsi="宋体" w:eastAsia="宋体" w:cs="宋体"/>
                <w:sz w:val="21"/>
                <w:szCs w:val="21"/>
              </w:rPr>
            </w:pPr>
          </w:p>
        </w:tc>
        <w:tc>
          <w:tcPr>
            <w:tcW w:w="520" w:type="pct"/>
            <w:vMerge w:val="restart"/>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成</w:t>
            </w:r>
          </w:p>
          <w:p>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本</w:t>
            </w:r>
          </w:p>
          <w:p>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指</w:t>
            </w:r>
          </w:p>
          <w:p>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标</w:t>
            </w:r>
          </w:p>
          <w:p>
            <w:pPr>
              <w:jc w:val="center"/>
              <w:rPr>
                <w:rFonts w:hint="eastAsia" w:ascii="宋体" w:hAnsi="宋体" w:eastAsia="宋体" w:cs="宋体"/>
                <w:sz w:val="21"/>
                <w:szCs w:val="21"/>
              </w:rPr>
            </w:pPr>
            <w:r>
              <w:rPr>
                <w:rFonts w:hint="eastAsia" w:ascii="宋体" w:hAnsi="宋体" w:eastAsia="宋体" w:cs="宋体"/>
                <w:sz w:val="21"/>
                <w:szCs w:val="21"/>
                <w:lang w:val="en-US" w:eastAsia="zh-CN"/>
              </w:rPr>
              <w:t>（2</w:t>
            </w:r>
            <w:r>
              <w:rPr>
                <w:rFonts w:hint="eastAsia" w:ascii="宋体" w:hAnsi="宋体" w:eastAsia="宋体" w:cs="宋体"/>
                <w:sz w:val="21"/>
                <w:szCs w:val="21"/>
              </w:rPr>
              <w:t>0分</w:t>
            </w:r>
            <w:r>
              <w:rPr>
                <w:rFonts w:hint="eastAsia" w:ascii="宋体" w:hAnsi="宋体" w:eastAsia="宋体" w:cs="宋体"/>
                <w:sz w:val="21"/>
                <w:szCs w:val="21"/>
                <w:lang w:val="en-US" w:eastAsia="zh-CN"/>
              </w:rPr>
              <w:t>）</w:t>
            </w:r>
          </w:p>
        </w:tc>
        <w:tc>
          <w:tcPr>
            <w:tcW w:w="654" w:type="pct"/>
            <w:tcBorders>
              <w:top w:val="single" w:color="auto" w:sz="4" w:space="0"/>
              <w:left w:val="single" w:color="auto" w:sz="4" w:space="0"/>
              <w:right w:val="single" w:color="auto" w:sz="4" w:space="0"/>
            </w:tcBorders>
            <w:noWrap w:val="0"/>
            <w:vAlign w:val="center"/>
          </w:tcPr>
          <w:p>
            <w:pPr>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经济</w:t>
            </w:r>
          </w:p>
          <w:p>
            <w:pPr>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成本</w:t>
            </w:r>
          </w:p>
          <w:p>
            <w:pPr>
              <w:jc w:val="center"/>
              <w:rPr>
                <w:rFonts w:hint="eastAsia" w:ascii="宋体" w:hAnsi="宋体" w:eastAsia="宋体" w:cs="宋体"/>
                <w:sz w:val="21"/>
                <w:szCs w:val="21"/>
                <w:lang w:val="en-US" w:eastAsia="zh-CN"/>
              </w:rPr>
            </w:pPr>
            <w:r>
              <w:rPr>
                <w:rFonts w:hint="eastAsia" w:ascii="宋体" w:hAnsi="宋体" w:eastAsia="宋体" w:cs="宋体"/>
                <w:sz w:val="21"/>
                <w:szCs w:val="21"/>
                <w:lang w:eastAsia="zh-CN"/>
              </w:rPr>
              <w:t>指标</w:t>
            </w:r>
          </w:p>
        </w:tc>
        <w:tc>
          <w:tcPr>
            <w:tcW w:w="544" w:type="pct"/>
            <w:tcBorders>
              <w:left w:val="single" w:color="auto" w:sz="4" w:space="0"/>
            </w:tcBorders>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2024年高标准农田建设项目</w:t>
            </w:r>
          </w:p>
        </w:tc>
        <w:tc>
          <w:tcPr>
            <w:tcW w:w="575"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rPr>
              <w:t>≤</w:t>
            </w:r>
            <w:r>
              <w:rPr>
                <w:rFonts w:hint="eastAsia" w:ascii="宋体" w:hAnsi="宋体" w:eastAsia="宋体" w:cs="宋体"/>
                <w:sz w:val="21"/>
                <w:szCs w:val="21"/>
                <w:lang w:val="en-US" w:eastAsia="zh-CN"/>
              </w:rPr>
              <w:t>12291.31万元</w:t>
            </w:r>
          </w:p>
        </w:tc>
        <w:tc>
          <w:tcPr>
            <w:tcW w:w="661" w:type="pct"/>
            <w:noWrap w:val="0"/>
            <w:vAlign w:val="center"/>
          </w:tcPr>
          <w:p>
            <w:pPr>
              <w:jc w:val="center"/>
              <w:rPr>
                <w:rFonts w:hint="eastAsia" w:ascii="宋体" w:hAnsi="宋体" w:eastAsia="宋体" w:cs="宋体"/>
                <w:sz w:val="21"/>
                <w:szCs w:val="21"/>
                <w:lang w:val="en-US" w:eastAsia="zh-CN"/>
              </w:rPr>
            </w:pPr>
            <w:r>
              <w:rPr>
                <w:rFonts w:hint="eastAsia" w:ascii="宋体" w:hAnsi="宋体" w:eastAsia="宋体" w:cs="宋体"/>
                <w:sz w:val="21"/>
                <w:szCs w:val="21"/>
              </w:rPr>
              <w:t>≤</w:t>
            </w:r>
            <w:r>
              <w:rPr>
                <w:rFonts w:hint="eastAsia" w:ascii="宋体" w:hAnsi="宋体" w:eastAsia="宋体" w:cs="宋体"/>
                <w:sz w:val="21"/>
                <w:szCs w:val="21"/>
                <w:lang w:val="en-US" w:eastAsia="zh-CN"/>
              </w:rPr>
              <w:t>12291.31万元</w:t>
            </w:r>
          </w:p>
        </w:tc>
        <w:tc>
          <w:tcPr>
            <w:tcW w:w="373" w:type="pct"/>
            <w:noWrap w:val="0"/>
            <w:vAlign w:val="center"/>
          </w:tcPr>
          <w:p>
            <w:pPr>
              <w:jc w:val="center"/>
              <w:rPr>
                <w:rFonts w:hint="eastAsia" w:ascii="宋体" w:hAnsi="宋体" w:eastAsia="宋体" w:cs="宋体"/>
                <w:sz w:val="21"/>
                <w:szCs w:val="21"/>
              </w:rPr>
            </w:pPr>
            <w:r>
              <w:rPr>
                <w:rFonts w:hint="eastAsia" w:ascii="宋体" w:hAnsi="宋体" w:eastAsia="宋体" w:cs="宋体"/>
                <w:sz w:val="21"/>
                <w:szCs w:val="21"/>
                <w:lang w:val="en-US" w:eastAsia="zh-CN"/>
              </w:rPr>
              <w:t>10分</w:t>
            </w:r>
          </w:p>
        </w:tc>
        <w:tc>
          <w:tcPr>
            <w:tcW w:w="373"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10</w:t>
            </w:r>
          </w:p>
        </w:tc>
        <w:tc>
          <w:tcPr>
            <w:tcW w:w="777" w:type="pct"/>
            <w:noWrap w:val="0"/>
            <w:vAlign w:val="center"/>
          </w:tcPr>
          <w:p>
            <w:pPr>
              <w:jc w:val="center"/>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0" w:type="pct"/>
            <w:vMerge w:val="continue"/>
            <w:noWrap w:val="0"/>
            <w:textDirection w:val="tbRlV"/>
            <w:vAlign w:val="center"/>
          </w:tcPr>
          <w:p>
            <w:pPr>
              <w:jc w:val="center"/>
              <w:rPr>
                <w:rFonts w:hint="eastAsia" w:ascii="宋体" w:hAnsi="宋体" w:eastAsia="宋体" w:cs="宋体"/>
                <w:sz w:val="21"/>
                <w:szCs w:val="21"/>
              </w:rPr>
            </w:pPr>
          </w:p>
        </w:tc>
        <w:tc>
          <w:tcPr>
            <w:tcW w:w="520" w:type="pct"/>
            <w:vMerge w:val="continue"/>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宋体" w:hAnsi="宋体" w:eastAsia="宋体" w:cs="宋体"/>
                <w:sz w:val="21"/>
                <w:szCs w:val="21"/>
              </w:rPr>
            </w:pPr>
          </w:p>
        </w:tc>
        <w:tc>
          <w:tcPr>
            <w:tcW w:w="654" w:type="pct"/>
            <w:tcBorders>
              <w:top w:val="single" w:color="auto" w:sz="4" w:space="0"/>
              <w:left w:val="single" w:color="auto" w:sz="4" w:space="0"/>
              <w:right w:val="single" w:color="auto" w:sz="4" w:space="0"/>
            </w:tcBorders>
            <w:noWrap w:val="0"/>
            <w:vAlign w:val="center"/>
          </w:tcPr>
          <w:p>
            <w:pPr>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社会</w:t>
            </w:r>
          </w:p>
          <w:p>
            <w:pPr>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成本</w:t>
            </w:r>
          </w:p>
          <w:p>
            <w:pPr>
              <w:jc w:val="center"/>
              <w:rPr>
                <w:rFonts w:hint="eastAsia" w:ascii="宋体" w:hAnsi="宋体" w:eastAsia="宋体" w:cs="宋体"/>
                <w:sz w:val="21"/>
                <w:szCs w:val="21"/>
                <w:lang w:val="en-US" w:eastAsia="zh-CN"/>
              </w:rPr>
            </w:pPr>
            <w:r>
              <w:rPr>
                <w:rFonts w:hint="eastAsia" w:ascii="宋体" w:hAnsi="宋体" w:eastAsia="宋体" w:cs="宋体"/>
                <w:sz w:val="21"/>
                <w:szCs w:val="21"/>
                <w:lang w:eastAsia="zh-CN"/>
              </w:rPr>
              <w:t>指标</w:t>
            </w:r>
          </w:p>
        </w:tc>
        <w:tc>
          <w:tcPr>
            <w:tcW w:w="544" w:type="pct"/>
            <w:tcBorders>
              <w:left w:val="single" w:color="auto" w:sz="4" w:space="0"/>
            </w:tcBorders>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粮食生产综合能力</w:t>
            </w:r>
          </w:p>
        </w:tc>
        <w:tc>
          <w:tcPr>
            <w:tcW w:w="575" w:type="pct"/>
            <w:noWrap w:val="0"/>
            <w:vAlign w:val="center"/>
          </w:tcPr>
          <w:p>
            <w:pPr>
              <w:jc w:val="center"/>
              <w:rPr>
                <w:rFonts w:hint="eastAsia" w:ascii="宋体" w:hAnsi="宋体" w:eastAsia="宋体" w:cs="宋体"/>
                <w:sz w:val="21"/>
                <w:szCs w:val="21"/>
              </w:rPr>
            </w:pPr>
            <w:r>
              <w:rPr>
                <w:rFonts w:hint="default" w:ascii="宋体" w:hAnsi="宋体" w:eastAsia="宋体" w:cs="宋体"/>
                <w:sz w:val="21"/>
                <w:szCs w:val="21"/>
                <w:lang w:val="en-US" w:eastAsia="zh-CN"/>
              </w:rPr>
              <w:t>≥</w:t>
            </w:r>
            <w:r>
              <w:rPr>
                <w:rFonts w:hint="eastAsia" w:ascii="宋体" w:hAnsi="宋体" w:eastAsia="宋体" w:cs="宋体"/>
                <w:sz w:val="21"/>
                <w:szCs w:val="21"/>
                <w:lang w:val="en-US" w:eastAsia="zh-CN"/>
              </w:rPr>
              <w:t>10％</w:t>
            </w:r>
          </w:p>
        </w:tc>
        <w:tc>
          <w:tcPr>
            <w:tcW w:w="661" w:type="pct"/>
            <w:noWrap w:val="0"/>
            <w:vAlign w:val="center"/>
          </w:tcPr>
          <w:p>
            <w:pPr>
              <w:jc w:val="center"/>
              <w:rPr>
                <w:rFonts w:hint="default" w:ascii="宋体" w:hAnsi="宋体" w:eastAsia="宋体" w:cs="宋体"/>
                <w:sz w:val="21"/>
                <w:szCs w:val="21"/>
                <w:lang w:val="en-US" w:eastAsia="zh-CN"/>
              </w:rPr>
            </w:pPr>
            <w:r>
              <w:rPr>
                <w:rFonts w:hint="eastAsia" w:ascii="宋体" w:hAnsi="宋体" w:cs="宋体"/>
                <w:sz w:val="21"/>
                <w:szCs w:val="21"/>
                <w:lang w:val="en-US" w:eastAsia="zh-CN"/>
              </w:rPr>
              <w:t>8</w:t>
            </w:r>
            <w:r>
              <w:rPr>
                <w:rFonts w:hint="eastAsia" w:ascii="宋体" w:hAnsi="宋体" w:eastAsia="宋体" w:cs="宋体"/>
                <w:sz w:val="21"/>
                <w:szCs w:val="21"/>
                <w:lang w:val="en-US" w:eastAsia="zh-CN"/>
              </w:rPr>
              <w:t>％</w:t>
            </w:r>
          </w:p>
        </w:tc>
        <w:tc>
          <w:tcPr>
            <w:tcW w:w="373" w:type="pct"/>
            <w:noWrap w:val="0"/>
            <w:vAlign w:val="center"/>
          </w:tcPr>
          <w:p>
            <w:pPr>
              <w:jc w:val="center"/>
              <w:rPr>
                <w:rFonts w:hint="eastAsia" w:ascii="宋体" w:hAnsi="宋体" w:eastAsia="宋体" w:cs="宋体"/>
                <w:sz w:val="21"/>
                <w:szCs w:val="21"/>
              </w:rPr>
            </w:pPr>
            <w:r>
              <w:rPr>
                <w:rFonts w:hint="eastAsia" w:ascii="宋体" w:hAnsi="宋体" w:eastAsia="宋体" w:cs="宋体"/>
                <w:sz w:val="21"/>
                <w:szCs w:val="21"/>
                <w:lang w:val="en-US" w:eastAsia="zh-CN"/>
              </w:rPr>
              <w:t>5分</w:t>
            </w:r>
          </w:p>
        </w:tc>
        <w:tc>
          <w:tcPr>
            <w:tcW w:w="373" w:type="pct"/>
            <w:noWrap w:val="0"/>
            <w:vAlign w:val="center"/>
          </w:tcPr>
          <w:p>
            <w:pPr>
              <w:jc w:val="center"/>
              <w:rPr>
                <w:rFonts w:hint="default" w:ascii="宋体" w:hAnsi="宋体" w:eastAsia="宋体" w:cs="宋体"/>
                <w:sz w:val="21"/>
                <w:szCs w:val="21"/>
                <w:lang w:val="en-US" w:eastAsia="zh-CN"/>
              </w:rPr>
            </w:pPr>
            <w:r>
              <w:rPr>
                <w:rFonts w:hint="eastAsia" w:ascii="宋体" w:hAnsi="宋体" w:cs="宋体"/>
                <w:sz w:val="21"/>
                <w:szCs w:val="21"/>
                <w:lang w:val="en-US" w:eastAsia="zh-CN"/>
              </w:rPr>
              <w:t>4</w:t>
            </w:r>
          </w:p>
        </w:tc>
        <w:tc>
          <w:tcPr>
            <w:tcW w:w="777" w:type="pct"/>
            <w:noWrap w:val="0"/>
            <w:vAlign w:val="center"/>
          </w:tcPr>
          <w:p>
            <w:pPr>
              <w:jc w:val="center"/>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0" w:type="pct"/>
            <w:vMerge w:val="continue"/>
            <w:noWrap w:val="0"/>
            <w:textDirection w:val="tbRlV"/>
            <w:vAlign w:val="center"/>
          </w:tcPr>
          <w:p>
            <w:pPr>
              <w:jc w:val="center"/>
              <w:rPr>
                <w:rFonts w:hint="eastAsia" w:ascii="宋体" w:hAnsi="宋体" w:eastAsia="宋体" w:cs="宋体"/>
                <w:sz w:val="21"/>
                <w:szCs w:val="21"/>
              </w:rPr>
            </w:pPr>
          </w:p>
        </w:tc>
        <w:tc>
          <w:tcPr>
            <w:tcW w:w="520" w:type="pct"/>
            <w:vMerge w:val="continue"/>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宋体" w:hAnsi="宋体" w:eastAsia="宋体" w:cs="宋体"/>
                <w:sz w:val="21"/>
                <w:szCs w:val="21"/>
              </w:rPr>
            </w:pPr>
          </w:p>
        </w:tc>
        <w:tc>
          <w:tcPr>
            <w:tcW w:w="654" w:type="pct"/>
            <w:tcBorders>
              <w:top w:val="single" w:color="auto" w:sz="4" w:space="0"/>
              <w:left w:val="single" w:color="auto" w:sz="4" w:space="0"/>
              <w:right w:val="single" w:color="auto" w:sz="4" w:space="0"/>
            </w:tcBorders>
            <w:noWrap w:val="0"/>
            <w:vAlign w:val="center"/>
          </w:tcPr>
          <w:p>
            <w:pPr>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生态</w:t>
            </w:r>
          </w:p>
          <w:p>
            <w:pPr>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环境</w:t>
            </w:r>
          </w:p>
          <w:p>
            <w:pPr>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成本</w:t>
            </w:r>
          </w:p>
          <w:p>
            <w:pPr>
              <w:jc w:val="center"/>
              <w:rPr>
                <w:rFonts w:hint="eastAsia" w:ascii="宋体" w:hAnsi="宋体" w:eastAsia="宋体" w:cs="宋体"/>
                <w:sz w:val="21"/>
                <w:szCs w:val="21"/>
                <w:lang w:val="en-US" w:eastAsia="zh-CN"/>
              </w:rPr>
            </w:pPr>
            <w:r>
              <w:rPr>
                <w:rFonts w:hint="eastAsia" w:ascii="宋体" w:hAnsi="宋体" w:eastAsia="宋体" w:cs="宋体"/>
                <w:sz w:val="21"/>
                <w:szCs w:val="21"/>
                <w:lang w:eastAsia="zh-CN"/>
              </w:rPr>
              <w:t>指标</w:t>
            </w:r>
          </w:p>
        </w:tc>
        <w:tc>
          <w:tcPr>
            <w:tcW w:w="544" w:type="pct"/>
            <w:tcBorders>
              <w:left w:val="single" w:color="auto" w:sz="4" w:space="0"/>
            </w:tcBorders>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耕地质量提升</w:t>
            </w:r>
          </w:p>
        </w:tc>
        <w:tc>
          <w:tcPr>
            <w:tcW w:w="575" w:type="pct"/>
            <w:noWrap w:val="0"/>
            <w:vAlign w:val="center"/>
          </w:tcPr>
          <w:p>
            <w:pPr>
              <w:jc w:val="center"/>
              <w:rPr>
                <w:rFonts w:hint="eastAsia" w:ascii="宋体" w:hAnsi="宋体" w:eastAsia="宋体" w:cs="宋体"/>
                <w:sz w:val="21"/>
                <w:szCs w:val="21"/>
              </w:rPr>
            </w:pPr>
            <w:r>
              <w:rPr>
                <w:rFonts w:hint="default" w:ascii="宋体" w:hAnsi="宋体" w:eastAsia="宋体" w:cs="宋体"/>
                <w:sz w:val="21"/>
                <w:szCs w:val="21"/>
                <w:lang w:val="en-US" w:eastAsia="zh-CN"/>
              </w:rPr>
              <w:t>≥</w:t>
            </w:r>
            <w:r>
              <w:rPr>
                <w:rFonts w:hint="eastAsia" w:ascii="宋体" w:hAnsi="宋体" w:eastAsia="宋体" w:cs="宋体"/>
                <w:sz w:val="21"/>
                <w:szCs w:val="21"/>
                <w:lang w:val="en-US" w:eastAsia="zh-CN"/>
              </w:rPr>
              <w:t>30％</w:t>
            </w:r>
          </w:p>
        </w:tc>
        <w:tc>
          <w:tcPr>
            <w:tcW w:w="661" w:type="pct"/>
            <w:noWrap w:val="0"/>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2</w:t>
            </w:r>
            <w:r>
              <w:rPr>
                <w:rFonts w:hint="eastAsia" w:ascii="宋体" w:hAnsi="宋体" w:cs="宋体"/>
                <w:sz w:val="21"/>
                <w:szCs w:val="21"/>
                <w:lang w:val="en-US" w:eastAsia="zh-CN"/>
              </w:rPr>
              <w:t>5</w:t>
            </w:r>
            <w:r>
              <w:rPr>
                <w:rFonts w:hint="eastAsia" w:ascii="宋体" w:hAnsi="宋体" w:eastAsia="宋体" w:cs="宋体"/>
                <w:sz w:val="21"/>
                <w:szCs w:val="21"/>
                <w:lang w:val="en-US" w:eastAsia="zh-CN"/>
              </w:rPr>
              <w:t>％</w:t>
            </w:r>
          </w:p>
        </w:tc>
        <w:tc>
          <w:tcPr>
            <w:tcW w:w="373" w:type="pct"/>
            <w:noWrap w:val="0"/>
            <w:vAlign w:val="center"/>
          </w:tcPr>
          <w:p>
            <w:pPr>
              <w:jc w:val="center"/>
              <w:rPr>
                <w:rFonts w:hint="eastAsia" w:ascii="宋体" w:hAnsi="宋体" w:eastAsia="宋体" w:cs="宋体"/>
                <w:sz w:val="21"/>
                <w:szCs w:val="21"/>
              </w:rPr>
            </w:pPr>
            <w:r>
              <w:rPr>
                <w:rFonts w:hint="eastAsia" w:ascii="宋体" w:hAnsi="宋体" w:eastAsia="宋体" w:cs="宋体"/>
                <w:sz w:val="21"/>
                <w:szCs w:val="21"/>
                <w:lang w:val="en-US" w:eastAsia="zh-CN"/>
              </w:rPr>
              <w:t>5分</w:t>
            </w:r>
          </w:p>
        </w:tc>
        <w:tc>
          <w:tcPr>
            <w:tcW w:w="373" w:type="pct"/>
            <w:noWrap w:val="0"/>
            <w:vAlign w:val="center"/>
          </w:tcPr>
          <w:p>
            <w:pPr>
              <w:jc w:val="center"/>
              <w:rPr>
                <w:rFonts w:hint="default" w:ascii="宋体" w:hAnsi="宋体" w:eastAsia="宋体" w:cs="宋体"/>
                <w:sz w:val="21"/>
                <w:szCs w:val="21"/>
                <w:lang w:val="en-US" w:eastAsia="zh-CN"/>
              </w:rPr>
            </w:pPr>
            <w:r>
              <w:rPr>
                <w:rFonts w:hint="eastAsia" w:ascii="宋体" w:hAnsi="宋体" w:cs="宋体"/>
                <w:sz w:val="21"/>
                <w:szCs w:val="21"/>
                <w:lang w:val="en-US" w:eastAsia="zh-CN"/>
              </w:rPr>
              <w:t>4.2</w:t>
            </w:r>
          </w:p>
        </w:tc>
        <w:tc>
          <w:tcPr>
            <w:tcW w:w="777" w:type="pct"/>
            <w:noWrap w:val="0"/>
            <w:vAlign w:val="center"/>
          </w:tcPr>
          <w:p>
            <w:pPr>
              <w:jc w:val="center"/>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3475" w:type="pct"/>
            <w:gridSpan w:val="6"/>
            <w:noWrap w:val="0"/>
            <w:vAlign w:val="center"/>
          </w:tcPr>
          <w:p>
            <w:pPr>
              <w:jc w:val="center"/>
              <w:rPr>
                <w:rFonts w:hint="eastAsia" w:ascii="宋体" w:hAnsi="宋体" w:eastAsia="宋体" w:cs="宋体"/>
                <w:sz w:val="21"/>
                <w:szCs w:val="21"/>
              </w:rPr>
            </w:pPr>
            <w:r>
              <w:rPr>
                <w:rFonts w:hint="eastAsia" w:ascii="宋体" w:hAnsi="宋体" w:eastAsia="宋体" w:cs="宋体"/>
                <w:sz w:val="21"/>
                <w:szCs w:val="21"/>
              </w:rPr>
              <w:t>总分</w:t>
            </w:r>
          </w:p>
        </w:tc>
        <w:tc>
          <w:tcPr>
            <w:tcW w:w="373" w:type="pct"/>
            <w:noWrap w:val="0"/>
            <w:vAlign w:val="center"/>
          </w:tcPr>
          <w:p>
            <w:pPr>
              <w:jc w:val="center"/>
              <w:rPr>
                <w:rFonts w:hint="eastAsia" w:ascii="宋体" w:hAnsi="宋体" w:eastAsia="宋体" w:cs="宋体"/>
                <w:sz w:val="21"/>
                <w:szCs w:val="21"/>
              </w:rPr>
            </w:pPr>
            <w:r>
              <w:rPr>
                <w:rFonts w:hint="eastAsia" w:ascii="宋体" w:hAnsi="宋体" w:eastAsia="宋体" w:cs="宋体"/>
                <w:sz w:val="21"/>
                <w:szCs w:val="21"/>
              </w:rPr>
              <w:t>100</w:t>
            </w:r>
          </w:p>
        </w:tc>
        <w:tc>
          <w:tcPr>
            <w:tcW w:w="373" w:type="pct"/>
            <w:noWrap w:val="0"/>
            <w:vAlign w:val="center"/>
          </w:tcPr>
          <w:p>
            <w:pPr>
              <w:jc w:val="center"/>
              <w:rPr>
                <w:rFonts w:hint="default" w:ascii="宋体" w:hAnsi="宋体" w:eastAsia="宋体" w:cs="宋体"/>
                <w:sz w:val="21"/>
                <w:szCs w:val="21"/>
                <w:lang w:val="en-US" w:eastAsia="zh-CN"/>
              </w:rPr>
            </w:pPr>
            <w:r>
              <w:rPr>
                <w:rFonts w:hint="eastAsia" w:ascii="宋体" w:hAnsi="宋体" w:cs="宋体"/>
                <w:sz w:val="21"/>
                <w:szCs w:val="21"/>
                <w:lang w:val="en-US" w:eastAsia="zh-CN"/>
              </w:rPr>
              <w:t>96.7</w:t>
            </w:r>
          </w:p>
        </w:tc>
        <w:tc>
          <w:tcPr>
            <w:tcW w:w="777" w:type="pct"/>
            <w:noWrap w:val="0"/>
            <w:vAlign w:val="center"/>
          </w:tcPr>
          <w:p>
            <w:pPr>
              <w:jc w:val="center"/>
              <w:rPr>
                <w:rFonts w:hint="eastAsia" w:ascii="宋体" w:hAnsi="宋体" w:eastAsia="宋体" w:cs="宋体"/>
                <w:sz w:val="21"/>
                <w:szCs w:val="21"/>
              </w:rPr>
            </w:pPr>
          </w:p>
        </w:tc>
      </w:tr>
    </w:tbl>
    <w:p>
      <w:pPr>
        <w:rPr>
          <w:rFonts w:hint="eastAsia"/>
        </w:rPr>
      </w:pPr>
      <w:r>
        <w:rPr>
          <w:rFonts w:hint="eastAsia"/>
        </w:rPr>
        <w:t>备注：每个一级项目支出一张表。如，业务工作经费，运行维护经费，其他事业发展类资金各一张表。</w:t>
      </w:r>
    </w:p>
    <w:p>
      <w:pPr>
        <w:rPr>
          <w:rFonts w:hint="eastAsia"/>
        </w:rPr>
      </w:pPr>
    </w:p>
    <w:p>
      <w:pPr>
        <w:rPr>
          <w:rFonts w:hint="eastAsia"/>
        </w:rPr>
      </w:pPr>
      <w:r>
        <w:rPr>
          <w:rFonts w:hint="eastAsia"/>
        </w:rPr>
        <w:t xml:space="preserve">填表人：        填报日期：            联系电话：      </w:t>
      </w:r>
      <w:r>
        <w:rPr>
          <w:rFonts w:hint="eastAsia"/>
          <w:lang w:eastAsia="zh-CN"/>
        </w:rPr>
        <w:t>　</w:t>
      </w:r>
      <w:r>
        <w:rPr>
          <w:rFonts w:hint="eastAsia"/>
        </w:rPr>
        <w:t>单位负责人签字：</w:t>
      </w:r>
    </w:p>
    <w:p>
      <w:pPr>
        <w:sectPr>
          <w:footerReference r:id="rId10" w:type="default"/>
          <w:pgSz w:w="11905" w:h="16838"/>
          <w:pgMar w:top="1984" w:right="1701" w:bottom="1984" w:left="1701" w:header="850" w:footer="1587" w:gutter="0"/>
          <w:pgNumType w:fmt="numberInDash"/>
          <w:cols w:space="720" w:num="1"/>
          <w:rtlGutter w:val="0"/>
          <w:docGrid w:type="lines" w:linePitch="314" w:charSpace="0"/>
        </w:sectPr>
      </w:pPr>
      <w:r>
        <w:rPr>
          <w:sz w:val="22"/>
          <w:szCs w:val="22"/>
        </w:rPr>
        <w:br w:type="page"/>
      </w:r>
    </w:p>
    <w:p>
      <w:pPr>
        <w:spacing w:before="181" w:line="171" w:lineRule="auto"/>
        <w:rPr>
          <w:rFonts w:ascii="仿宋_GB2312" w:hAnsi="仿宋_GB2312" w:eastAsia="仿宋_GB2312" w:cs="仿宋_GB2312"/>
          <w:sz w:val="32"/>
          <w:szCs w:val="32"/>
        </w:rPr>
      </w:pPr>
      <w:r>
        <w:rPr>
          <w:rFonts w:hint="eastAsia" w:ascii="仿宋_GB2312" w:hAnsi="仿宋_GB2312" w:eastAsia="仿宋_GB2312" w:cs="仿宋_GB2312"/>
          <w:sz w:val="32"/>
          <w:szCs w:val="32"/>
        </w:rPr>
        <w:t>附表7</w:t>
      </w:r>
    </w:p>
    <w:p>
      <w:pPr>
        <w:spacing w:line="560" w:lineRule="exact"/>
        <w:jc w:val="center"/>
        <w:rPr>
          <w:rFonts w:eastAsia="方正小标宋_GBK"/>
          <w:sz w:val="36"/>
          <w:szCs w:val="36"/>
        </w:rPr>
      </w:pPr>
      <w:r>
        <w:rPr>
          <w:rFonts w:eastAsia="方正小标宋_GBK"/>
          <w:sz w:val="36"/>
          <w:szCs w:val="36"/>
        </w:rPr>
        <w:t>绩效评价结果征求意见的反馈函</w:t>
      </w:r>
    </w:p>
    <w:p>
      <w:pPr>
        <w:spacing w:line="560" w:lineRule="exact"/>
        <w:jc w:val="center"/>
        <w:rPr>
          <w:rFonts w:ascii="楷体" w:hAnsi="楷体" w:eastAsia="楷体" w:cs="楷体"/>
          <w:sz w:val="24"/>
        </w:rPr>
      </w:pPr>
      <w:r>
        <w:rPr>
          <w:rFonts w:hint="eastAsia" w:ascii="楷体" w:hAnsi="楷体" w:eastAsia="楷体" w:cs="楷体"/>
          <w:sz w:val="24"/>
        </w:rPr>
        <w:t>（重点绩效评价项目用）</w:t>
      </w:r>
    </w:p>
    <w:p>
      <w:pPr>
        <w:spacing w:line="560" w:lineRule="exact"/>
        <w:rPr>
          <w:rFonts w:eastAsia="仿宋_GB2312"/>
          <w:sz w:val="28"/>
          <w:szCs w:val="28"/>
        </w:rPr>
      </w:pPr>
      <w:r>
        <w:rPr>
          <w:rFonts w:eastAsia="仿宋_GB2312"/>
          <w:sz w:val="28"/>
          <w:szCs w:val="28"/>
          <w:u w:val="single"/>
        </w:rPr>
        <w:t xml:space="preserve">    </w:t>
      </w:r>
      <w:r>
        <w:rPr>
          <w:rFonts w:hint="eastAsia" w:eastAsia="仿宋_GB2312"/>
          <w:sz w:val="28"/>
          <w:szCs w:val="28"/>
          <w:u w:val="single"/>
        </w:rPr>
        <w:t xml:space="preserve">    </w:t>
      </w:r>
      <w:r>
        <w:rPr>
          <w:rFonts w:eastAsia="仿宋_GB2312"/>
          <w:sz w:val="28"/>
          <w:szCs w:val="28"/>
          <w:u w:val="single"/>
        </w:rPr>
        <w:t xml:space="preserve">    </w:t>
      </w:r>
      <w:r>
        <w:rPr>
          <w:rFonts w:hint="eastAsia" w:eastAsia="仿宋_GB2312"/>
          <w:sz w:val="28"/>
          <w:szCs w:val="28"/>
          <w:u w:val="single"/>
        </w:rPr>
        <w:t xml:space="preserve">   </w:t>
      </w:r>
      <w:r>
        <w:rPr>
          <w:rFonts w:eastAsia="仿宋_GB2312"/>
          <w:sz w:val="28"/>
          <w:szCs w:val="28"/>
          <w:u w:val="single"/>
        </w:rPr>
        <w:t xml:space="preserve">   </w:t>
      </w:r>
      <w:r>
        <w:rPr>
          <w:rFonts w:eastAsia="仿宋_GB2312"/>
          <w:sz w:val="28"/>
          <w:szCs w:val="28"/>
        </w:rPr>
        <w:t>：</w:t>
      </w:r>
    </w:p>
    <w:p>
      <w:pPr>
        <w:spacing w:line="560" w:lineRule="exact"/>
        <w:ind w:firstLine="640" w:firstLineChars="200"/>
        <w:rPr>
          <w:rFonts w:eastAsia="仿宋_GB2312"/>
          <w:sz w:val="32"/>
          <w:szCs w:val="32"/>
        </w:rPr>
      </w:pPr>
      <w:r>
        <w:rPr>
          <w:rFonts w:eastAsia="仿宋_GB2312"/>
          <w:sz w:val="32"/>
          <w:szCs w:val="32"/>
        </w:rPr>
        <w:t>按照相关规定和绩效评价要求，根据贵单位的绩效自评报告和绩效评价工作组的现场评价情况，形成绩效评价报告。现将《×××绩效评价报告》反馈贵单位，请于    年     月   日前提出书面意见或说明，逾期未复，视为无异议。</w:t>
      </w:r>
    </w:p>
    <w:tbl>
      <w:tblPr>
        <w:tblStyle w:val="12"/>
        <w:tblW w:w="89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jc w:val="center"/>
        </w:trPr>
        <w:tc>
          <w:tcPr>
            <w:tcW w:w="8920" w:type="dxa"/>
            <w:vAlign w:val="center"/>
          </w:tcPr>
          <w:p>
            <w:pPr>
              <w:keepNext w:val="0"/>
              <w:keepLines w:val="0"/>
              <w:suppressLineNumbers w:val="0"/>
              <w:spacing w:before="0" w:beforeAutospacing="0" w:after="0" w:afterAutospacing="0" w:line="560" w:lineRule="exact"/>
              <w:ind w:left="0" w:right="0" w:firstLine="560"/>
              <w:jc w:val="center"/>
              <w:rPr>
                <w:rFonts w:hint="default" w:eastAsia="黑体"/>
                <w:sz w:val="28"/>
                <w:szCs w:val="28"/>
              </w:rPr>
            </w:pPr>
            <w:r>
              <w:rPr>
                <w:rFonts w:hint="default" w:eastAsia="楷体_GB2312"/>
                <w:sz w:val="28"/>
                <w:szCs w:val="28"/>
              </w:rPr>
              <w:t>项目实施单位意见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3" w:hRule="atLeast"/>
          <w:jc w:val="center"/>
        </w:trPr>
        <w:tc>
          <w:tcPr>
            <w:tcW w:w="8920" w:type="dxa"/>
          </w:tcPr>
          <w:p>
            <w:pPr>
              <w:keepNext w:val="0"/>
              <w:keepLines w:val="0"/>
              <w:suppressLineNumbers w:val="0"/>
              <w:spacing w:before="0" w:beforeAutospacing="0" w:after="0" w:afterAutospacing="0" w:line="560" w:lineRule="exact"/>
              <w:ind w:left="0" w:right="0" w:firstLine="140" w:firstLineChars="50"/>
              <w:rPr>
                <w:rFonts w:hint="default" w:eastAsia="黑体"/>
                <w:sz w:val="28"/>
                <w:szCs w:val="28"/>
              </w:rPr>
            </w:pPr>
            <w:r>
              <w:rPr>
                <w:rFonts w:hint="default" w:eastAsia="黑体"/>
                <w:sz w:val="28"/>
                <w:szCs w:val="28"/>
              </w:rPr>
              <w:t>一、对报告中“评价结论”的意见</w:t>
            </w:r>
          </w:p>
          <w:p>
            <w:pPr>
              <w:keepNext w:val="0"/>
              <w:keepLines w:val="0"/>
              <w:suppressLineNumbers w:val="0"/>
              <w:spacing w:before="0" w:beforeAutospacing="0" w:after="0" w:afterAutospacing="0" w:line="560" w:lineRule="exact"/>
              <w:ind w:left="0" w:right="0" w:firstLine="560"/>
              <w:rPr>
                <w:rFonts w:hint="default"/>
                <w:sz w:val="28"/>
                <w:szCs w:val="28"/>
              </w:rPr>
            </w:pPr>
          </w:p>
          <w:p>
            <w:pPr>
              <w:keepNext w:val="0"/>
              <w:keepLines w:val="0"/>
              <w:suppressLineNumbers w:val="0"/>
              <w:spacing w:before="0" w:beforeAutospacing="0" w:after="0" w:afterAutospacing="0" w:line="560" w:lineRule="exact"/>
              <w:ind w:left="0" w:right="0" w:firstLine="560"/>
              <w:rPr>
                <w:rFonts w:hint="default"/>
                <w:sz w:val="28"/>
                <w:szCs w:val="28"/>
              </w:rPr>
            </w:pPr>
          </w:p>
          <w:p>
            <w:pPr>
              <w:keepNext w:val="0"/>
              <w:keepLines w:val="0"/>
              <w:suppressLineNumbers w:val="0"/>
              <w:spacing w:before="0" w:beforeAutospacing="0" w:after="0" w:afterAutospacing="0" w:line="560" w:lineRule="exact"/>
              <w:ind w:left="0" w:right="0" w:firstLine="140" w:firstLineChars="50"/>
              <w:rPr>
                <w:rFonts w:hint="default" w:eastAsia="黑体"/>
                <w:sz w:val="28"/>
                <w:szCs w:val="28"/>
              </w:rPr>
            </w:pPr>
            <w:r>
              <w:rPr>
                <w:rFonts w:hint="default" w:eastAsia="黑体"/>
                <w:sz w:val="28"/>
                <w:szCs w:val="28"/>
              </w:rPr>
              <w:t>二、对报告中“问题”和“建议”的意见</w:t>
            </w:r>
          </w:p>
          <w:p>
            <w:pPr>
              <w:keepNext w:val="0"/>
              <w:keepLines w:val="0"/>
              <w:suppressLineNumbers w:val="0"/>
              <w:spacing w:before="0" w:beforeAutospacing="0" w:after="0" w:afterAutospacing="0" w:line="560" w:lineRule="exact"/>
              <w:ind w:left="0" w:right="0" w:firstLine="560"/>
              <w:rPr>
                <w:rFonts w:hint="default"/>
                <w:sz w:val="28"/>
                <w:szCs w:val="28"/>
              </w:rPr>
            </w:pPr>
          </w:p>
          <w:p>
            <w:pPr>
              <w:keepNext w:val="0"/>
              <w:keepLines w:val="0"/>
              <w:suppressLineNumbers w:val="0"/>
              <w:spacing w:before="0" w:beforeAutospacing="0" w:after="0" w:afterAutospacing="0" w:line="560" w:lineRule="exact"/>
              <w:ind w:left="0" w:right="0" w:firstLine="560"/>
              <w:rPr>
                <w:rFonts w:hint="default"/>
                <w:sz w:val="28"/>
                <w:szCs w:val="28"/>
              </w:rPr>
            </w:pPr>
          </w:p>
          <w:p>
            <w:pPr>
              <w:keepNext w:val="0"/>
              <w:keepLines w:val="0"/>
              <w:suppressLineNumbers w:val="0"/>
              <w:spacing w:before="0" w:beforeAutospacing="0" w:after="0" w:afterAutospacing="0" w:line="560" w:lineRule="exact"/>
              <w:ind w:left="0" w:right="0" w:firstLine="560"/>
              <w:rPr>
                <w:rFonts w:hint="default"/>
                <w:sz w:val="28"/>
                <w:szCs w:val="28"/>
              </w:rPr>
            </w:pPr>
          </w:p>
          <w:p>
            <w:pPr>
              <w:keepNext w:val="0"/>
              <w:keepLines w:val="0"/>
              <w:suppressLineNumbers w:val="0"/>
              <w:spacing w:before="0" w:beforeAutospacing="0" w:after="0" w:afterAutospacing="0" w:line="560" w:lineRule="exact"/>
              <w:ind w:left="0" w:right="0" w:firstLine="140" w:firstLineChars="50"/>
              <w:rPr>
                <w:rFonts w:hint="default" w:eastAsia="黑体"/>
                <w:sz w:val="28"/>
                <w:szCs w:val="28"/>
              </w:rPr>
            </w:pPr>
            <w:r>
              <w:rPr>
                <w:rFonts w:hint="default" w:eastAsia="黑体"/>
                <w:sz w:val="28"/>
                <w:szCs w:val="28"/>
              </w:rPr>
              <w:t>三、</w:t>
            </w:r>
            <w:r>
              <w:rPr>
                <w:rFonts w:hint="eastAsia" w:eastAsia="黑体"/>
                <w:sz w:val="28"/>
                <w:szCs w:val="28"/>
              </w:rPr>
              <w:t>其他意见</w:t>
            </w:r>
            <w:r>
              <w:rPr>
                <w:rFonts w:hint="default" w:eastAsia="黑体"/>
                <w:sz w:val="28"/>
                <w:szCs w:val="28"/>
              </w:rPr>
              <w:t>或建议</w:t>
            </w:r>
          </w:p>
          <w:p>
            <w:pPr>
              <w:keepNext w:val="0"/>
              <w:keepLines w:val="0"/>
              <w:suppressLineNumbers w:val="0"/>
              <w:wordWrap w:val="0"/>
              <w:spacing w:before="0" w:beforeAutospacing="0" w:after="0" w:afterAutospacing="0" w:line="560" w:lineRule="exact"/>
              <w:ind w:left="0" w:right="1280"/>
              <w:jc w:val="right"/>
              <w:rPr>
                <w:rFonts w:hint="default" w:eastAsia="仿宋_GB2312"/>
                <w:sz w:val="28"/>
                <w:szCs w:val="28"/>
              </w:rPr>
            </w:pPr>
          </w:p>
          <w:p>
            <w:pPr>
              <w:pStyle w:val="9"/>
              <w:keepNext w:val="0"/>
              <w:keepLines w:val="0"/>
              <w:suppressLineNumbers w:val="0"/>
              <w:spacing w:before="0" w:beforeAutospacing="0" w:after="0" w:afterAutospacing="0"/>
              <w:ind w:left="0" w:right="0"/>
              <w:rPr>
                <w:rFonts w:hint="default" w:eastAsia="仿宋_GB2312"/>
                <w:sz w:val="28"/>
                <w:szCs w:val="28"/>
              </w:rPr>
            </w:pPr>
          </w:p>
          <w:p>
            <w:pPr>
              <w:keepNext w:val="0"/>
              <w:keepLines w:val="0"/>
              <w:suppressLineNumbers w:val="0"/>
              <w:spacing w:before="0" w:beforeAutospacing="0" w:after="0" w:afterAutospacing="0"/>
              <w:ind w:left="0" w:right="0"/>
              <w:rPr>
                <w:rFonts w:hint="default" w:eastAsia="仿宋_GB2312"/>
                <w:sz w:val="28"/>
                <w:szCs w:val="28"/>
              </w:rPr>
            </w:pPr>
          </w:p>
          <w:p>
            <w:pPr>
              <w:pStyle w:val="9"/>
              <w:keepNext w:val="0"/>
              <w:keepLines w:val="0"/>
              <w:suppressLineNumbers w:val="0"/>
              <w:spacing w:before="0" w:beforeAutospacing="0" w:after="0" w:afterAutospacing="0"/>
              <w:ind w:left="0" w:right="0"/>
              <w:rPr>
                <w:rFonts w:hint="default"/>
              </w:rPr>
            </w:pPr>
          </w:p>
          <w:p>
            <w:pPr>
              <w:keepNext w:val="0"/>
              <w:keepLines w:val="0"/>
              <w:suppressLineNumbers w:val="0"/>
              <w:wordWrap w:val="0"/>
              <w:spacing w:before="0" w:beforeAutospacing="0" w:after="0" w:afterAutospacing="0" w:line="560" w:lineRule="exact"/>
              <w:ind w:left="0" w:right="1280"/>
              <w:jc w:val="right"/>
              <w:rPr>
                <w:rFonts w:hint="default" w:eastAsia="仿宋_GB2312"/>
                <w:sz w:val="28"/>
                <w:szCs w:val="28"/>
              </w:rPr>
            </w:pPr>
            <w:r>
              <w:rPr>
                <w:rFonts w:hint="eastAsia" w:eastAsia="仿宋_GB2312"/>
                <w:sz w:val="28"/>
                <w:szCs w:val="28"/>
              </w:rPr>
              <w:t>单</w:t>
            </w:r>
            <w:r>
              <w:rPr>
                <w:rFonts w:hint="default" w:eastAsia="仿宋_GB2312"/>
                <w:sz w:val="28"/>
                <w:szCs w:val="28"/>
              </w:rPr>
              <w:t>位（盖章）</w:t>
            </w:r>
          </w:p>
          <w:p>
            <w:pPr>
              <w:keepNext w:val="0"/>
              <w:keepLines w:val="0"/>
              <w:suppressLineNumbers w:val="0"/>
              <w:wordWrap w:val="0"/>
              <w:spacing w:before="0" w:beforeAutospacing="0" w:after="0" w:afterAutospacing="0" w:line="560" w:lineRule="exact"/>
              <w:ind w:left="0" w:right="1280"/>
              <w:jc w:val="right"/>
              <w:rPr>
                <w:rFonts w:hint="default"/>
                <w:sz w:val="28"/>
                <w:szCs w:val="28"/>
              </w:rPr>
            </w:pPr>
            <w:r>
              <w:rPr>
                <w:rFonts w:hint="default" w:eastAsia="仿宋_GB2312"/>
                <w:sz w:val="28"/>
                <w:szCs w:val="28"/>
              </w:rPr>
              <w:t>年   月   日</w:t>
            </w:r>
          </w:p>
        </w:tc>
      </w:tr>
    </w:tbl>
    <w:p>
      <w:pPr>
        <w:spacing w:line="20" w:lineRule="exact"/>
        <w:rPr>
          <w:rFonts w:ascii="黑体" w:hAnsi="宋体" w:eastAsia="黑体" w:cs="黑体"/>
          <w:color w:val="000000"/>
          <w:kern w:val="0"/>
          <w:sz w:val="32"/>
          <w:szCs w:val="32"/>
        </w:rPr>
      </w:pPr>
      <w:r>
        <w:rPr>
          <w:rFonts w:hint="eastAsia" w:ascii="黑体" w:hAnsi="宋体" w:eastAsia="黑体" w:cs="黑体"/>
          <w:color w:val="000000"/>
          <w:kern w:val="0"/>
          <w:sz w:val="32"/>
          <w:szCs w:val="32"/>
        </w:rPr>
        <w:br w:type="page"/>
      </w:r>
    </w:p>
    <w:p>
      <w:pPr>
        <w:spacing w:before="181" w:line="171" w:lineRule="auto"/>
        <w:rPr>
          <w:rFonts w:ascii="仿宋_GB2312" w:hAnsi="仿宋_GB2312" w:eastAsia="仿宋_GB2312" w:cs="仿宋_GB2312"/>
          <w:sz w:val="32"/>
          <w:szCs w:val="32"/>
        </w:rPr>
      </w:pPr>
      <w:r>
        <w:rPr>
          <w:rFonts w:hint="eastAsia" w:ascii="仿宋_GB2312" w:hAnsi="仿宋_GB2312" w:eastAsia="仿宋_GB2312" w:cs="仿宋_GB2312"/>
          <w:sz w:val="32"/>
          <w:szCs w:val="32"/>
        </w:rPr>
        <w:t>附表8</w:t>
      </w:r>
    </w:p>
    <w:p>
      <w:pPr>
        <w:spacing w:line="560" w:lineRule="exact"/>
        <w:jc w:val="center"/>
        <w:rPr>
          <w:rFonts w:eastAsia="方正小标宋_GBK"/>
          <w:sz w:val="36"/>
          <w:szCs w:val="36"/>
        </w:rPr>
      </w:pPr>
      <w:r>
        <w:rPr>
          <w:rFonts w:eastAsia="方正小标宋_GBK"/>
          <w:sz w:val="36"/>
          <w:szCs w:val="36"/>
        </w:rPr>
        <w:t>绩效评价结果整改报告书</w:t>
      </w:r>
    </w:p>
    <w:p>
      <w:pPr>
        <w:spacing w:line="560" w:lineRule="exact"/>
        <w:jc w:val="center"/>
        <w:rPr>
          <w:sz w:val="28"/>
          <w:szCs w:val="28"/>
        </w:rPr>
      </w:pPr>
      <w:r>
        <w:rPr>
          <w:rFonts w:eastAsia="楷体_GB2312"/>
          <w:sz w:val="32"/>
          <w:szCs w:val="32"/>
        </w:rPr>
        <w:t>（参考格式）</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27"/>
        <w:gridCol w:w="67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1827" w:type="dxa"/>
            <w:vAlign w:val="center"/>
          </w:tcPr>
          <w:p>
            <w:pPr>
              <w:keepNext w:val="0"/>
              <w:keepLines w:val="0"/>
              <w:suppressLineNumbers w:val="0"/>
              <w:spacing w:before="0" w:beforeAutospacing="0" w:after="0" w:afterAutospacing="0" w:line="560" w:lineRule="exact"/>
              <w:ind w:left="0" w:right="0"/>
              <w:jc w:val="center"/>
              <w:rPr>
                <w:rFonts w:hint="default" w:ascii="黑体" w:hAnsi="黑体" w:eastAsia="黑体"/>
                <w:sz w:val="24"/>
              </w:rPr>
            </w:pPr>
            <w:r>
              <w:rPr>
                <w:rFonts w:hint="default" w:ascii="黑体" w:hAnsi="黑体" w:eastAsia="黑体"/>
                <w:sz w:val="24"/>
              </w:rPr>
              <w:t>预算支出名称</w:t>
            </w:r>
          </w:p>
        </w:tc>
        <w:tc>
          <w:tcPr>
            <w:tcW w:w="6773" w:type="dxa"/>
          </w:tcPr>
          <w:p>
            <w:pPr>
              <w:keepNext w:val="0"/>
              <w:keepLines w:val="0"/>
              <w:suppressLineNumbers w:val="0"/>
              <w:spacing w:before="0" w:beforeAutospacing="0" w:after="0" w:afterAutospacing="0" w:line="560" w:lineRule="exact"/>
              <w:ind w:left="0" w:right="0" w:firstLine="560"/>
              <w:rPr>
                <w:rFonts w:hint="default"/>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1827" w:type="dxa"/>
            <w:vAlign w:val="center"/>
          </w:tcPr>
          <w:p>
            <w:pPr>
              <w:keepNext w:val="0"/>
              <w:keepLines w:val="0"/>
              <w:suppressLineNumbers w:val="0"/>
              <w:spacing w:before="0" w:beforeAutospacing="0" w:after="0" w:afterAutospacing="0" w:line="560" w:lineRule="exact"/>
              <w:ind w:left="0" w:right="0"/>
              <w:jc w:val="center"/>
              <w:rPr>
                <w:rFonts w:hint="default" w:ascii="黑体" w:hAnsi="黑体" w:eastAsia="黑体"/>
                <w:sz w:val="24"/>
              </w:rPr>
            </w:pPr>
            <w:r>
              <w:rPr>
                <w:rFonts w:hint="default" w:ascii="黑体" w:hAnsi="黑体" w:eastAsia="黑体"/>
                <w:sz w:val="24"/>
              </w:rPr>
              <w:t>评价内容</w:t>
            </w:r>
          </w:p>
        </w:tc>
        <w:tc>
          <w:tcPr>
            <w:tcW w:w="6773" w:type="dxa"/>
          </w:tcPr>
          <w:p>
            <w:pPr>
              <w:keepNext w:val="0"/>
              <w:keepLines w:val="0"/>
              <w:suppressLineNumbers w:val="0"/>
              <w:spacing w:before="0" w:beforeAutospacing="0" w:after="0" w:afterAutospacing="0" w:line="560" w:lineRule="exact"/>
              <w:ind w:left="0" w:right="0" w:firstLine="560"/>
              <w:rPr>
                <w:rFonts w:hint="default"/>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1827" w:type="dxa"/>
            <w:vAlign w:val="center"/>
          </w:tcPr>
          <w:p>
            <w:pPr>
              <w:keepNext w:val="0"/>
              <w:keepLines w:val="0"/>
              <w:suppressLineNumbers w:val="0"/>
              <w:spacing w:before="0" w:beforeAutospacing="0" w:after="0" w:afterAutospacing="0" w:line="560" w:lineRule="exact"/>
              <w:ind w:left="0" w:right="0"/>
              <w:jc w:val="center"/>
              <w:rPr>
                <w:rFonts w:hint="default" w:ascii="黑体" w:hAnsi="黑体" w:eastAsia="黑体"/>
                <w:sz w:val="24"/>
              </w:rPr>
            </w:pPr>
            <w:r>
              <w:rPr>
                <w:rFonts w:hint="default" w:ascii="黑体" w:hAnsi="黑体" w:eastAsia="黑体"/>
                <w:sz w:val="24"/>
              </w:rPr>
              <w:t>联系人及电话</w:t>
            </w:r>
          </w:p>
        </w:tc>
        <w:tc>
          <w:tcPr>
            <w:tcW w:w="6773" w:type="dxa"/>
          </w:tcPr>
          <w:p>
            <w:pPr>
              <w:keepNext w:val="0"/>
              <w:keepLines w:val="0"/>
              <w:suppressLineNumbers w:val="0"/>
              <w:spacing w:before="0" w:beforeAutospacing="0" w:after="0" w:afterAutospacing="0" w:line="560" w:lineRule="exact"/>
              <w:ind w:left="0" w:right="0" w:firstLine="560"/>
              <w:rPr>
                <w:rFonts w:hint="default"/>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9" w:hRule="atLeast"/>
          <w:jc w:val="center"/>
        </w:trPr>
        <w:tc>
          <w:tcPr>
            <w:tcW w:w="8600" w:type="dxa"/>
            <w:gridSpan w:val="2"/>
          </w:tcPr>
          <w:p>
            <w:pPr>
              <w:keepNext w:val="0"/>
              <w:keepLines w:val="0"/>
              <w:suppressLineNumbers w:val="0"/>
              <w:spacing w:before="0" w:beforeAutospacing="0" w:after="0" w:afterAutospacing="0" w:line="560" w:lineRule="exact"/>
              <w:ind w:left="0" w:right="-27" w:rightChars="-13"/>
              <w:jc w:val="center"/>
              <w:rPr>
                <w:rFonts w:hint="default"/>
                <w:sz w:val="24"/>
              </w:rPr>
            </w:pPr>
            <w:r>
              <w:rPr>
                <w:rFonts w:hint="default"/>
                <w:sz w:val="32"/>
                <w:szCs w:val="32"/>
              </w:rPr>
              <w:t>整改情况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0" w:hRule="atLeast"/>
          <w:jc w:val="center"/>
        </w:trPr>
        <w:tc>
          <w:tcPr>
            <w:tcW w:w="1827" w:type="dxa"/>
            <w:vAlign w:val="center"/>
          </w:tcPr>
          <w:p>
            <w:pPr>
              <w:keepNext w:val="0"/>
              <w:keepLines w:val="0"/>
              <w:suppressLineNumbers w:val="0"/>
              <w:spacing w:before="0" w:beforeAutospacing="0" w:after="0" w:afterAutospacing="0" w:line="560" w:lineRule="exact"/>
              <w:ind w:left="0" w:right="-27" w:rightChars="-13"/>
              <w:jc w:val="center"/>
              <w:rPr>
                <w:rFonts w:hint="default"/>
                <w:sz w:val="24"/>
              </w:rPr>
            </w:pPr>
            <w:r>
              <w:rPr>
                <w:rFonts w:hint="eastAsia"/>
                <w:sz w:val="24"/>
              </w:rPr>
              <w:t>单位意见</w:t>
            </w:r>
          </w:p>
        </w:tc>
        <w:tc>
          <w:tcPr>
            <w:tcW w:w="6773" w:type="dxa"/>
            <w:vAlign w:val="bottom"/>
          </w:tcPr>
          <w:p>
            <w:pPr>
              <w:keepNext w:val="0"/>
              <w:keepLines w:val="0"/>
              <w:suppressLineNumbers w:val="0"/>
              <w:spacing w:before="0" w:beforeAutospacing="0" w:after="0" w:afterAutospacing="0" w:line="560" w:lineRule="exact"/>
              <w:ind w:left="0" w:right="-27" w:rightChars="-13"/>
              <w:jc w:val="center"/>
              <w:rPr>
                <w:rFonts w:hint="default"/>
                <w:sz w:val="24"/>
              </w:rPr>
            </w:pPr>
          </w:p>
          <w:p>
            <w:pPr>
              <w:keepNext w:val="0"/>
              <w:keepLines w:val="0"/>
              <w:suppressLineNumbers w:val="0"/>
              <w:spacing w:before="0" w:beforeAutospacing="0" w:after="0" w:afterAutospacing="0" w:line="560" w:lineRule="exact"/>
              <w:ind w:left="0" w:right="-27" w:rightChars="-13"/>
              <w:rPr>
                <w:rFonts w:hint="default"/>
                <w:sz w:val="24"/>
              </w:rPr>
            </w:pPr>
            <w:r>
              <w:rPr>
                <w:rFonts w:hint="eastAsia"/>
                <w:sz w:val="24"/>
              </w:rPr>
              <w:t>单位负责人签名：     单位（盖章）：      年    月    日</w:t>
            </w:r>
          </w:p>
        </w:tc>
      </w:tr>
    </w:tbl>
    <w:p>
      <w:pPr>
        <w:widowControl/>
        <w:spacing w:line="400" w:lineRule="exact"/>
        <w:rPr>
          <w:rFonts w:ascii="黑体" w:hAnsi="黑体" w:eastAsia="黑体" w:cs="黑体"/>
          <w:szCs w:val="21"/>
        </w:rPr>
      </w:pPr>
      <w:r>
        <w:rPr>
          <w:rFonts w:hint="eastAsia" w:ascii="宋体" w:hAnsi="宋体" w:cs="宋体"/>
          <w:b/>
          <w:szCs w:val="21"/>
        </w:rPr>
        <w:t>注</w:t>
      </w:r>
      <w:r>
        <w:rPr>
          <w:rFonts w:hint="eastAsia" w:ascii="宋体" w:hAnsi="宋体" w:cs="宋体"/>
          <w:bCs/>
          <w:szCs w:val="21"/>
        </w:rPr>
        <w:t>：绩效评价结果整改报告书应在收到绩效评价结果反馈意见后30天内交县财政局绩效管理股。</w:t>
      </w: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楷体_GB2312" w:hAnsi="楷体_GB2312" w:eastAsia="楷体_GB2312" w:cs="楷体_GB2312"/>
          <w:b/>
          <w:bCs/>
          <w:spacing w:val="-4"/>
          <w:sz w:val="32"/>
          <w:szCs w:val="32"/>
          <w:lang w:val="en-US" w:eastAsia="zh-CN"/>
        </w:rPr>
      </w:pPr>
      <w:r>
        <w:rPr>
          <w:rFonts w:hint="eastAsia" w:ascii="楷体_GB2312" w:hAnsi="楷体_GB2312" w:eastAsia="楷体_GB2312" w:cs="楷体_GB2312"/>
          <w:b/>
          <w:bCs/>
          <w:spacing w:val="-4"/>
          <w:sz w:val="32"/>
          <w:szCs w:val="32"/>
        </w:rPr>
        <w:t>附件</w:t>
      </w:r>
      <w:r>
        <w:rPr>
          <w:rFonts w:hint="eastAsia" w:ascii="楷体_GB2312" w:hAnsi="楷体_GB2312" w:eastAsia="楷体_GB2312" w:cs="楷体_GB2312"/>
          <w:b/>
          <w:bCs/>
          <w:spacing w:val="-4"/>
          <w:sz w:val="32"/>
          <w:szCs w:val="32"/>
          <w:lang w:val="en-US" w:eastAsia="zh-CN"/>
        </w:rPr>
        <w:t>5</w:t>
      </w:r>
    </w:p>
    <w:p>
      <w:pPr>
        <w:adjustRightInd w:val="0"/>
        <w:snapToGrid w:val="0"/>
        <w:spacing w:line="579" w:lineRule="atLeast"/>
        <w:ind w:firstLine="880" w:firstLineChars="200"/>
        <w:jc w:val="center"/>
        <w:rPr>
          <w:rFonts w:hint="eastAsia" w:ascii="方正小标宋简体" w:hAnsi="方正小标宋简体" w:eastAsia="方正小标宋简体" w:cs="方正小标宋简体"/>
          <w:sz w:val="44"/>
          <w:szCs w:val="44"/>
        </w:rPr>
      </w:pPr>
    </w:p>
    <w:p>
      <w:pPr>
        <w:adjustRightInd w:val="0"/>
        <w:snapToGrid w:val="0"/>
        <w:spacing w:line="579" w:lineRule="atLeast"/>
        <w:ind w:firstLine="880" w:firstLineChars="200"/>
        <w:jc w:val="center"/>
        <w:rPr>
          <w:rFonts w:hint="eastAsia" w:ascii="方正小标宋简体" w:hAnsi="方正小标宋简体" w:eastAsia="方正小标宋简体" w:cs="方正小标宋简体"/>
          <w:b w:val="0"/>
          <w:bCs w:val="0"/>
          <w:sz w:val="44"/>
          <w:szCs w:val="44"/>
        </w:rPr>
      </w:pPr>
    </w:p>
    <w:p>
      <w:pPr>
        <w:adjustRightInd w:val="0"/>
        <w:snapToGrid w:val="0"/>
        <w:spacing w:line="579" w:lineRule="atLeast"/>
        <w:ind w:left="0" w:leftChars="0" w:firstLine="0" w:firstLineChars="0"/>
        <w:jc w:val="center"/>
        <w:rPr>
          <w:rFonts w:hint="eastAsia" w:ascii="方正小标宋简体" w:hAnsi="方正小标宋简体" w:eastAsia="方正小标宋简体" w:cs="方正小标宋简体"/>
          <w:b w:val="0"/>
          <w:bCs w:val="0"/>
          <w:sz w:val="44"/>
          <w:szCs w:val="44"/>
          <w:lang w:val="en-US" w:eastAsia="zh-CN"/>
        </w:rPr>
      </w:pPr>
      <w:r>
        <w:rPr>
          <w:rFonts w:hint="eastAsia" w:ascii="方正小标宋简体" w:hAnsi="方正小标宋简体" w:eastAsia="方正小标宋简体" w:cs="方正小标宋简体"/>
          <w:b w:val="0"/>
          <w:bCs w:val="0"/>
          <w:sz w:val="44"/>
          <w:szCs w:val="44"/>
        </w:rPr>
        <w:t>202</w:t>
      </w:r>
      <w:r>
        <w:rPr>
          <w:rFonts w:hint="eastAsia" w:ascii="方正小标宋简体" w:hAnsi="方正小标宋简体" w:eastAsia="方正小标宋简体" w:cs="方正小标宋简体"/>
          <w:b w:val="0"/>
          <w:bCs w:val="0"/>
          <w:sz w:val="44"/>
          <w:szCs w:val="44"/>
          <w:lang w:val="en-US" w:eastAsia="zh-CN"/>
        </w:rPr>
        <w:t>3</w:t>
      </w:r>
      <w:r>
        <w:rPr>
          <w:rFonts w:hint="eastAsia" w:ascii="方正小标宋简体" w:hAnsi="方正小标宋简体" w:eastAsia="方正小标宋简体" w:cs="方正小标宋简体"/>
          <w:b w:val="0"/>
          <w:bCs w:val="0"/>
          <w:sz w:val="44"/>
          <w:szCs w:val="44"/>
        </w:rPr>
        <w:t>年度</w:t>
      </w:r>
      <w:r>
        <w:rPr>
          <w:rFonts w:hint="eastAsia" w:ascii="方正小标宋简体" w:hAnsi="方正小标宋简体" w:eastAsia="方正小标宋简体" w:cs="方正小标宋简体"/>
          <w:b w:val="0"/>
          <w:bCs w:val="0"/>
          <w:sz w:val="44"/>
          <w:szCs w:val="44"/>
          <w:lang w:val="en-US" w:eastAsia="zh-CN"/>
        </w:rPr>
        <w:t>县农业农村局棉花大县</w:t>
      </w:r>
    </w:p>
    <w:p>
      <w:pPr>
        <w:adjustRightInd w:val="0"/>
        <w:snapToGrid w:val="0"/>
        <w:spacing w:line="579" w:lineRule="atLeast"/>
        <w:ind w:left="0" w:leftChars="0" w:firstLine="0" w:firstLineChars="0"/>
        <w:jc w:val="center"/>
        <w:rPr>
          <w:rFonts w:hint="eastAsia" w:ascii="方正小标宋简体" w:hAnsi="方正小标宋简体" w:eastAsia="方正小标宋简体" w:cs="方正小标宋简体"/>
          <w:b w:val="0"/>
          <w:bCs w:val="0"/>
          <w:sz w:val="44"/>
          <w:szCs w:val="44"/>
        </w:rPr>
      </w:pPr>
      <w:r>
        <w:rPr>
          <w:rFonts w:hint="eastAsia" w:ascii="方正小标宋简体" w:hAnsi="方正小标宋简体" w:eastAsia="方正小标宋简体" w:cs="方正小标宋简体"/>
          <w:b w:val="0"/>
          <w:bCs w:val="0"/>
          <w:sz w:val="44"/>
          <w:szCs w:val="44"/>
          <w:lang w:eastAsia="zh-CN"/>
        </w:rPr>
        <w:t>项目</w:t>
      </w:r>
      <w:r>
        <w:rPr>
          <w:rFonts w:hint="eastAsia" w:ascii="方正小标宋简体" w:hAnsi="方正小标宋简体" w:eastAsia="方正小标宋简体" w:cs="方正小标宋简体"/>
          <w:b w:val="0"/>
          <w:bCs w:val="0"/>
          <w:sz w:val="44"/>
          <w:szCs w:val="44"/>
        </w:rPr>
        <w:t>支出绩效自评报告</w:t>
      </w:r>
    </w:p>
    <w:p>
      <w:pPr>
        <w:adjustRightInd w:val="0"/>
        <w:snapToGrid w:val="0"/>
        <w:spacing w:line="579" w:lineRule="atLeast"/>
        <w:ind w:firstLine="1044" w:firstLineChars="200"/>
        <w:jc w:val="center"/>
        <w:rPr>
          <w:rFonts w:hint="default" w:ascii="Times New Roman" w:hAnsi="Times New Roman" w:eastAsia="方正小标宋_GBK" w:cs="Times New Roman"/>
          <w:b/>
          <w:sz w:val="52"/>
          <w:szCs w:val="52"/>
        </w:rPr>
      </w:pPr>
    </w:p>
    <w:p>
      <w:pPr>
        <w:adjustRightInd w:val="0"/>
        <w:snapToGrid w:val="0"/>
        <w:spacing w:line="579" w:lineRule="atLeast"/>
        <w:ind w:firstLine="640" w:firstLineChars="200"/>
        <w:jc w:val="center"/>
        <w:rPr>
          <w:rFonts w:hint="default" w:ascii="Times New Roman" w:hAnsi="Times New Roman" w:eastAsia="黑体" w:cs="Times New Roman"/>
          <w:sz w:val="32"/>
          <w:szCs w:val="32"/>
        </w:rPr>
      </w:pPr>
    </w:p>
    <w:p>
      <w:pPr>
        <w:widowControl w:val="0"/>
        <w:adjustRightInd w:val="0"/>
        <w:snapToGrid w:val="0"/>
        <w:spacing w:line="579" w:lineRule="atLeast"/>
        <w:ind w:firstLine="360" w:firstLineChars="200"/>
        <w:jc w:val="left"/>
        <w:rPr>
          <w:rFonts w:hint="default" w:ascii="Times New Roman" w:hAnsi="Times New Roman" w:eastAsia="仿宋_GB2312" w:cs="Times New Roman"/>
          <w:kern w:val="2"/>
          <w:sz w:val="18"/>
          <w:szCs w:val="18"/>
          <w:lang w:val="en-US" w:eastAsia="zh-CN" w:bidi="ar-SA"/>
        </w:rPr>
      </w:pPr>
    </w:p>
    <w:p>
      <w:pPr>
        <w:adjustRightInd w:val="0"/>
        <w:snapToGrid w:val="0"/>
        <w:spacing w:line="579" w:lineRule="atLeast"/>
        <w:ind w:firstLine="640" w:firstLineChars="200"/>
        <w:jc w:val="center"/>
        <w:rPr>
          <w:rFonts w:hint="default" w:ascii="Times New Roman" w:hAnsi="Times New Roman" w:eastAsia="黑体" w:cs="Times New Roman"/>
          <w:sz w:val="32"/>
          <w:szCs w:val="32"/>
        </w:rPr>
      </w:pPr>
    </w:p>
    <w:p>
      <w:pPr>
        <w:adjustRightInd w:val="0"/>
        <w:snapToGrid w:val="0"/>
        <w:spacing w:line="579" w:lineRule="atLeast"/>
        <w:ind w:firstLine="640" w:firstLineChars="200"/>
        <w:jc w:val="center"/>
        <w:rPr>
          <w:rFonts w:hint="default" w:ascii="Times New Roman" w:hAnsi="Times New Roman" w:eastAsia="黑体" w:cs="Times New Roman"/>
          <w:sz w:val="32"/>
          <w:szCs w:val="32"/>
        </w:rPr>
      </w:pPr>
    </w:p>
    <w:p>
      <w:pPr>
        <w:adjustRightInd w:val="0"/>
        <w:snapToGrid w:val="0"/>
        <w:spacing w:line="579" w:lineRule="atLeast"/>
        <w:ind w:firstLine="640" w:firstLineChars="200"/>
        <w:jc w:val="center"/>
        <w:rPr>
          <w:rFonts w:hint="default" w:ascii="Times New Roman" w:hAnsi="Times New Roman" w:eastAsia="黑体" w:cs="Times New Roman"/>
          <w:sz w:val="32"/>
          <w:szCs w:val="32"/>
        </w:rPr>
      </w:pPr>
    </w:p>
    <w:p>
      <w:pPr>
        <w:adjustRightInd w:val="0"/>
        <w:snapToGrid w:val="0"/>
        <w:spacing w:line="579" w:lineRule="atLeast"/>
        <w:ind w:firstLine="640" w:firstLineChars="200"/>
        <w:jc w:val="center"/>
        <w:rPr>
          <w:rFonts w:hint="default" w:ascii="Times New Roman" w:hAnsi="Times New Roman" w:eastAsia="黑体" w:cs="Times New Roman"/>
          <w:sz w:val="32"/>
          <w:szCs w:val="32"/>
        </w:rPr>
      </w:pPr>
    </w:p>
    <w:p>
      <w:pPr>
        <w:adjustRightInd w:val="0"/>
        <w:snapToGrid w:val="0"/>
        <w:spacing w:line="579" w:lineRule="atLeast"/>
        <w:ind w:firstLine="640" w:firstLineChars="200"/>
        <w:jc w:val="both"/>
        <w:rPr>
          <w:rFonts w:hint="default" w:ascii="Times New Roman" w:hAnsi="Times New Roman" w:eastAsia="黑体" w:cs="Times New Roman"/>
          <w:sz w:val="32"/>
          <w:szCs w:val="32"/>
        </w:rPr>
      </w:pPr>
    </w:p>
    <w:p>
      <w:pPr>
        <w:keepNext w:val="0"/>
        <w:keepLines w:val="0"/>
        <w:pageBreakBefore w:val="0"/>
        <w:widowControl w:val="0"/>
        <w:kinsoku/>
        <w:wordWrap/>
        <w:overflowPunct/>
        <w:topLinePunct w:val="0"/>
        <w:autoSpaceDE/>
        <w:autoSpaceDN/>
        <w:bidi w:val="0"/>
        <w:adjustRightInd/>
        <w:snapToGrid/>
        <w:spacing w:before="100" w:line="221" w:lineRule="auto"/>
        <w:ind w:firstLine="600" w:firstLineChars="200"/>
        <w:jc w:val="both"/>
        <w:textAlignment w:val="auto"/>
        <w:rPr>
          <w:rFonts w:hint="eastAsia" w:ascii="仿宋_GB2312" w:hAnsi="仿宋_GB2312" w:eastAsia="仿宋_GB2312" w:cs="仿宋_GB2312"/>
          <w:kern w:val="2"/>
          <w:sz w:val="32"/>
          <w:szCs w:val="32"/>
          <w:lang w:val="en-US" w:eastAsia="en-US" w:bidi="ar-SA"/>
        </w:rPr>
      </w:pPr>
      <w:r>
        <w:rPr>
          <w:rFonts w:hint="eastAsia" w:ascii="仿宋_GB2312" w:hAnsi="仿宋_GB2312" w:eastAsia="仿宋_GB2312" w:cs="仿宋_GB2312"/>
          <w:spacing w:val="-10"/>
          <w:kern w:val="2"/>
          <w:sz w:val="32"/>
          <w:szCs w:val="32"/>
          <w:lang w:val="en-US" w:eastAsia="en-US" w:bidi="ar-SA"/>
        </w:rPr>
        <w:t>部门（单位）名称</w:t>
      </w:r>
      <w:r>
        <w:rPr>
          <w:rFonts w:hint="eastAsia" w:ascii="仿宋_GB2312" w:hAnsi="仿宋_GB2312" w:eastAsia="仿宋_GB2312" w:cs="仿宋_GB2312"/>
          <w:spacing w:val="4"/>
          <w:kern w:val="2"/>
          <w:sz w:val="32"/>
          <w:szCs w:val="32"/>
          <w:lang w:val="en-US" w:eastAsia="en-US" w:bidi="ar-SA"/>
        </w:rPr>
        <w:t>：</w:t>
      </w:r>
      <w:r>
        <w:rPr>
          <w:rFonts w:hint="eastAsia" w:ascii="仿宋_GB2312" w:hAnsi="仿宋_GB2312" w:eastAsia="仿宋_GB2312" w:cs="仿宋_GB2312"/>
          <w:spacing w:val="4"/>
          <w:kern w:val="2"/>
          <w:sz w:val="32"/>
          <w:szCs w:val="32"/>
          <w:u w:val="single" w:color="auto"/>
          <w:lang w:val="en-US" w:eastAsia="zh-CN" w:bidi="ar-SA"/>
        </w:rPr>
        <w:t>(</w:t>
      </w:r>
      <w:r>
        <w:rPr>
          <w:rFonts w:hint="eastAsia" w:ascii="仿宋_GB2312" w:hAnsi="仿宋_GB2312" w:eastAsia="仿宋_GB2312" w:cs="仿宋_GB2312"/>
          <w:spacing w:val="-118"/>
          <w:kern w:val="2"/>
          <w:sz w:val="32"/>
          <w:szCs w:val="32"/>
          <w:u w:val="single" w:color="auto"/>
          <w:lang w:val="en-US" w:eastAsia="en-US" w:bidi="ar-SA"/>
        </w:rPr>
        <w:t xml:space="preserve"> </w:t>
      </w:r>
      <w:r>
        <w:rPr>
          <w:rFonts w:hint="eastAsia" w:ascii="仿宋_GB2312" w:hAnsi="仿宋_GB2312" w:eastAsia="仿宋_GB2312" w:cs="仿宋_GB2312"/>
          <w:spacing w:val="-75"/>
          <w:kern w:val="2"/>
          <w:sz w:val="32"/>
          <w:szCs w:val="32"/>
          <w:u w:val="single" w:color="auto"/>
          <w:lang w:val="en-US" w:eastAsia="en-US" w:bidi="ar-SA"/>
        </w:rPr>
        <w:t xml:space="preserve"> </w:t>
      </w:r>
      <w:r>
        <w:rPr>
          <w:rFonts w:hint="eastAsia" w:ascii="仿宋_GB2312" w:hAnsi="仿宋_GB2312" w:eastAsia="仿宋_GB2312" w:cs="仿宋_GB2312"/>
          <w:spacing w:val="-10"/>
          <w:kern w:val="2"/>
          <w:sz w:val="32"/>
          <w:szCs w:val="32"/>
          <w:u w:val="single" w:color="auto"/>
          <w:lang w:val="en-US" w:eastAsia="en-US" w:bidi="ar-SA"/>
        </w:rPr>
        <w:t>盖章）</w:t>
      </w:r>
      <w:r>
        <w:rPr>
          <w:rFonts w:hint="eastAsia" w:ascii="仿宋_GB2312" w:hAnsi="仿宋_GB2312" w:eastAsia="仿宋_GB2312" w:cs="仿宋_GB2312"/>
          <w:kern w:val="2"/>
          <w:sz w:val="32"/>
          <w:szCs w:val="32"/>
          <w:u w:val="single" w:color="auto"/>
          <w:lang w:val="en-US" w:eastAsia="en-US" w:bidi="ar-SA"/>
        </w:rPr>
        <w:t xml:space="preserve">       </w:t>
      </w:r>
      <w:r>
        <w:rPr>
          <w:rFonts w:hint="eastAsia" w:ascii="仿宋_GB2312" w:hAnsi="仿宋_GB2312" w:eastAsia="仿宋_GB2312" w:cs="仿宋_GB2312"/>
          <w:kern w:val="2"/>
          <w:sz w:val="32"/>
          <w:szCs w:val="32"/>
          <w:u w:val="single" w:color="auto"/>
          <w:lang w:val="en-US" w:eastAsia="zh-CN" w:bidi="ar-SA"/>
        </w:rPr>
        <w:t xml:space="preserve">     </w:t>
      </w:r>
      <w:r>
        <w:rPr>
          <w:rFonts w:hint="eastAsia" w:ascii="仿宋_GB2312" w:hAnsi="仿宋_GB2312" w:eastAsia="仿宋_GB2312" w:cs="仿宋_GB2312"/>
          <w:kern w:val="2"/>
          <w:sz w:val="32"/>
          <w:szCs w:val="32"/>
          <w:u w:val="single" w:color="auto"/>
          <w:lang w:val="en-US" w:eastAsia="en-US" w:bidi="ar-SA"/>
        </w:rPr>
        <w:t xml:space="preserve">  </w:t>
      </w:r>
    </w:p>
    <w:p>
      <w:pPr>
        <w:adjustRightInd w:val="0"/>
        <w:snapToGrid w:val="0"/>
        <w:spacing w:before="228" w:line="222" w:lineRule="auto"/>
        <w:ind w:firstLine="4560" w:firstLineChars="1500"/>
        <w:rPr>
          <w:rFonts w:hint="eastAsia" w:ascii="仿宋_GB2312" w:hAnsi="仿宋_GB2312" w:eastAsia="仿宋_GB2312" w:cs="仿宋_GB2312"/>
          <w:sz w:val="32"/>
          <w:szCs w:val="32"/>
        </w:rPr>
      </w:pPr>
      <w:r>
        <w:rPr>
          <w:rFonts w:hint="eastAsia" w:ascii="仿宋_GB2312" w:hAnsi="仿宋_GB2312" w:eastAsia="仿宋_GB2312" w:cs="仿宋_GB2312"/>
          <w:spacing w:val="-8"/>
          <w:sz w:val="32"/>
          <w:szCs w:val="32"/>
        </w:rPr>
        <w:t>年</w:t>
      </w:r>
      <w:r>
        <w:rPr>
          <w:rFonts w:hint="eastAsia" w:ascii="仿宋_GB2312" w:hAnsi="仿宋_GB2312" w:eastAsia="仿宋_GB2312" w:cs="仿宋_GB2312"/>
          <w:spacing w:val="21"/>
          <w:sz w:val="32"/>
          <w:szCs w:val="32"/>
        </w:rPr>
        <w:t xml:space="preserve">  </w:t>
      </w:r>
      <w:r>
        <w:rPr>
          <w:rFonts w:hint="eastAsia" w:ascii="仿宋_GB2312" w:hAnsi="仿宋_GB2312" w:eastAsia="仿宋_GB2312" w:cs="仿宋_GB2312"/>
          <w:spacing w:val="-8"/>
          <w:sz w:val="32"/>
          <w:szCs w:val="32"/>
        </w:rPr>
        <w:t>月</w:t>
      </w:r>
      <w:r>
        <w:rPr>
          <w:rFonts w:hint="eastAsia" w:ascii="仿宋_GB2312" w:hAnsi="仿宋_GB2312" w:eastAsia="仿宋_GB2312" w:cs="仿宋_GB2312"/>
          <w:spacing w:val="43"/>
          <w:sz w:val="32"/>
          <w:szCs w:val="32"/>
        </w:rPr>
        <w:t xml:space="preserve">  </w:t>
      </w:r>
      <w:r>
        <w:rPr>
          <w:rFonts w:hint="eastAsia" w:ascii="仿宋_GB2312" w:hAnsi="仿宋_GB2312" w:eastAsia="仿宋_GB2312" w:cs="仿宋_GB2312"/>
          <w:spacing w:val="-8"/>
          <w:sz w:val="32"/>
          <w:szCs w:val="32"/>
        </w:rPr>
        <w:t>日</w:t>
      </w:r>
    </w:p>
    <w:p>
      <w:pPr>
        <w:adjustRightInd w:val="0"/>
        <w:snapToGrid w:val="0"/>
        <w:spacing w:line="335" w:lineRule="auto"/>
        <w:ind w:firstLine="640" w:firstLineChars="200"/>
        <w:rPr>
          <w:rFonts w:hint="eastAsia" w:ascii="仿宋_GB2312" w:hAnsi="仿宋_GB2312" w:eastAsia="仿宋_GB2312" w:cs="仿宋_GB2312"/>
          <w:sz w:val="32"/>
          <w:szCs w:val="32"/>
        </w:rPr>
      </w:pPr>
    </w:p>
    <w:p>
      <w:pPr>
        <w:widowControl w:val="0"/>
        <w:adjustRightInd w:val="0"/>
        <w:snapToGrid w:val="0"/>
        <w:spacing w:before="102" w:line="224" w:lineRule="auto"/>
        <w:ind w:left="3216" w:firstLine="672" w:firstLineChars="200"/>
        <w:jc w:val="both"/>
        <w:rPr>
          <w:rFonts w:hint="eastAsia" w:ascii="仿宋_GB2312" w:hAnsi="仿宋_GB2312" w:eastAsia="仿宋_GB2312" w:cs="仿宋_GB2312"/>
          <w:spacing w:val="8"/>
          <w:kern w:val="2"/>
          <w:sz w:val="32"/>
          <w:szCs w:val="32"/>
          <w:lang w:val="en-US" w:eastAsia="en-US" w:bidi="ar-SA"/>
        </w:rPr>
      </w:pPr>
      <w:r>
        <w:rPr>
          <w:rFonts w:hint="eastAsia" w:ascii="仿宋_GB2312" w:hAnsi="仿宋_GB2312" w:eastAsia="仿宋_GB2312" w:cs="仿宋_GB2312"/>
          <w:spacing w:val="8"/>
          <w:kern w:val="2"/>
          <w:sz w:val="32"/>
          <w:szCs w:val="32"/>
          <w:lang w:val="en-US" w:eastAsia="en-US" w:bidi="ar-SA"/>
        </w:rPr>
        <w:t>（此页为封面）</w:t>
      </w:r>
    </w:p>
    <w:p>
      <w:pPr>
        <w:adjustRightInd w:val="0"/>
        <w:snapToGrid w:val="0"/>
        <w:spacing w:line="579" w:lineRule="atLeast"/>
        <w:ind w:firstLine="672" w:firstLineChars="200"/>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br w:type="page"/>
      </w:r>
    </w:p>
    <w:p>
      <w:pPr>
        <w:keepNext w:val="0"/>
        <w:keepLines w:val="0"/>
        <w:pageBreakBefore w:val="0"/>
        <w:widowControl w:val="0"/>
        <w:kinsoku/>
        <w:wordWrap/>
        <w:overflowPunct/>
        <w:topLinePunct w:val="0"/>
        <w:autoSpaceDE/>
        <w:autoSpaceDN/>
        <w:bidi w:val="0"/>
        <w:adjustRightInd w:val="0"/>
        <w:snapToGrid w:val="0"/>
        <w:spacing w:line="580" w:lineRule="exact"/>
        <w:ind w:firstLine="0" w:firstLineChars="0"/>
        <w:jc w:val="center"/>
        <w:textAlignment w:val="auto"/>
        <w:outlineLvl w:val="0"/>
        <w:rPr>
          <w:rFonts w:hint="eastAsia" w:ascii="方正小标宋简体" w:hAnsi="方正小标宋简体" w:eastAsia="方正小标宋简体" w:cs="方正小标宋简体"/>
          <w:bCs/>
          <w:kern w:val="44"/>
          <w:sz w:val="44"/>
          <w:szCs w:val="44"/>
          <w:lang w:val="en-US" w:eastAsia="zh-CN" w:bidi="ar-SA"/>
        </w:rPr>
      </w:pPr>
      <w:r>
        <w:rPr>
          <w:rFonts w:hint="eastAsia" w:ascii="方正小标宋简体" w:hAnsi="方正小标宋简体" w:eastAsia="方正小标宋简体" w:cs="方正小标宋简体"/>
          <w:bCs/>
          <w:kern w:val="44"/>
          <w:sz w:val="44"/>
          <w:szCs w:val="44"/>
          <w:lang w:val="en-US" w:eastAsia="zh-CN" w:bidi="ar-SA"/>
        </w:rPr>
        <w:t>2023年县农业农村局棉花大县奖励资金</w:t>
      </w:r>
    </w:p>
    <w:p>
      <w:pPr>
        <w:keepNext w:val="0"/>
        <w:keepLines w:val="0"/>
        <w:pageBreakBefore w:val="0"/>
        <w:widowControl w:val="0"/>
        <w:kinsoku/>
        <w:wordWrap/>
        <w:overflowPunct/>
        <w:topLinePunct w:val="0"/>
        <w:autoSpaceDE/>
        <w:autoSpaceDN/>
        <w:bidi w:val="0"/>
        <w:adjustRightInd w:val="0"/>
        <w:snapToGrid w:val="0"/>
        <w:spacing w:line="580" w:lineRule="exact"/>
        <w:ind w:firstLine="0" w:firstLineChars="0"/>
        <w:jc w:val="center"/>
        <w:textAlignment w:val="auto"/>
        <w:outlineLvl w:val="0"/>
        <w:rPr>
          <w:rFonts w:hint="eastAsia" w:ascii="方正小标宋简体" w:hAnsi="方正小标宋简体" w:eastAsia="方正小标宋简体" w:cs="方正小标宋简体"/>
          <w:bCs/>
          <w:kern w:val="44"/>
          <w:sz w:val="44"/>
          <w:szCs w:val="32"/>
          <w:lang w:val="en-US" w:eastAsia="zh-CN" w:bidi="ar-SA"/>
        </w:rPr>
      </w:pPr>
      <w:r>
        <w:rPr>
          <w:rFonts w:hint="eastAsia" w:ascii="方正小标宋简体" w:hAnsi="方正小标宋简体" w:eastAsia="方正小标宋简体" w:cs="方正小标宋简体"/>
          <w:bCs/>
          <w:kern w:val="44"/>
          <w:sz w:val="44"/>
          <w:szCs w:val="44"/>
          <w:lang w:val="en-US" w:eastAsia="zh-CN" w:bidi="ar-SA"/>
        </w:rPr>
        <w:t>项目支出绩效评价报告</w:t>
      </w:r>
    </w:p>
    <w:p>
      <w:pPr>
        <w:pStyle w:val="22"/>
        <w:ind w:firstLine="640"/>
        <w:jc w:val="center"/>
        <w:rPr>
          <w:rFonts w:ascii="Times New Roman" w:hAnsi="Times New Roman"/>
          <w:sz w:val="32"/>
          <w:szCs w:val="32"/>
        </w:rPr>
      </w:pPr>
    </w:p>
    <w:p>
      <w:pPr>
        <w:pStyle w:val="3"/>
        <w:keepNext w:val="0"/>
        <w:keepLines w:val="0"/>
        <w:pageBreakBefore w:val="0"/>
        <w:kinsoku/>
        <w:wordWrap/>
        <w:overflowPunct/>
        <w:topLinePunct w:val="0"/>
        <w:autoSpaceDE/>
        <w:autoSpaceDN/>
        <w:bidi w:val="0"/>
        <w:spacing w:line="580" w:lineRule="exact"/>
        <w:ind w:firstLine="640"/>
        <w:textAlignment w:val="auto"/>
      </w:pPr>
      <w:r>
        <w:t>一、基本情况</w:t>
      </w:r>
    </w:p>
    <w:p>
      <w:pPr>
        <w:keepNext w:val="0"/>
        <w:keepLines w:val="0"/>
        <w:pageBreakBefore w:val="0"/>
        <w:kinsoku/>
        <w:wordWrap/>
        <w:overflowPunct/>
        <w:topLinePunct w:val="0"/>
        <w:autoSpaceDE/>
        <w:autoSpaceDN/>
        <w:bidi w:val="0"/>
        <w:adjustRightInd w:val="0"/>
        <w:snapToGrid w:val="0"/>
        <w:spacing w:line="580" w:lineRule="exact"/>
        <w:ind w:firstLine="643" w:firstLineChars="200"/>
        <w:textAlignment w:val="auto"/>
        <w:rPr>
          <w:rFonts w:hint="eastAsia" w:ascii="楷体_GB2312" w:hAnsi="楷体_GB2312" w:eastAsia="楷体_GB2312" w:cs="楷体_GB2312"/>
          <w:b/>
          <w:bCs/>
          <w:sz w:val="32"/>
          <w:lang w:eastAsia="zh-CN"/>
        </w:rPr>
      </w:pPr>
      <w:r>
        <w:rPr>
          <w:rFonts w:hint="eastAsia" w:ascii="楷体_GB2312" w:hAnsi="楷体_GB2312" w:eastAsia="楷体_GB2312" w:cs="楷体_GB2312"/>
          <w:b/>
          <w:bCs/>
          <w:sz w:val="32"/>
          <w:lang w:eastAsia="zh-CN"/>
        </w:rPr>
        <w:t>（</w:t>
      </w:r>
      <w:r>
        <w:rPr>
          <w:rFonts w:hint="eastAsia" w:ascii="楷体_GB2312" w:hAnsi="楷体_GB2312" w:eastAsia="楷体_GB2312" w:cs="楷体_GB2312"/>
          <w:b/>
          <w:bCs/>
          <w:sz w:val="32"/>
          <w:lang w:val="en-US" w:eastAsia="zh-CN"/>
        </w:rPr>
        <w:t>一</w:t>
      </w:r>
      <w:r>
        <w:rPr>
          <w:rFonts w:hint="eastAsia" w:ascii="楷体_GB2312" w:hAnsi="楷体_GB2312" w:eastAsia="楷体_GB2312" w:cs="楷体_GB2312"/>
          <w:b/>
          <w:bCs/>
          <w:sz w:val="32"/>
          <w:lang w:eastAsia="zh-CN"/>
        </w:rPr>
        <w:t>）</w:t>
      </w:r>
      <w:r>
        <w:rPr>
          <w:rFonts w:hint="eastAsia" w:ascii="楷体_GB2312" w:hAnsi="楷体_GB2312" w:eastAsia="楷体_GB2312" w:cs="楷体_GB2312"/>
          <w:b/>
          <w:bCs/>
          <w:sz w:val="32"/>
        </w:rPr>
        <w:t>实施单位基本情况</w:t>
      </w:r>
    </w:p>
    <w:p>
      <w:pPr>
        <w:pStyle w:val="22"/>
        <w:keepNext w:val="0"/>
        <w:keepLines w:val="0"/>
        <w:pageBreakBefore w:val="0"/>
        <w:kinsoku/>
        <w:wordWrap/>
        <w:overflowPunct/>
        <w:topLinePunct w:val="0"/>
        <w:autoSpaceDE/>
        <w:autoSpaceDN/>
        <w:bidi w:val="0"/>
        <w:spacing w:line="580" w:lineRule="exact"/>
        <w:ind w:left="0" w:leftChars="0" w:firstLine="236" w:firstLineChars="74"/>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华容县农业农村局</w:t>
      </w:r>
      <w:r>
        <w:rPr>
          <w:rFonts w:hint="eastAsia" w:ascii="仿宋_GB2312" w:hAnsi="仿宋_GB2312" w:eastAsia="仿宋_GB2312" w:cs="仿宋_GB2312"/>
          <w:sz w:val="32"/>
          <w:szCs w:val="32"/>
        </w:rPr>
        <w:t>是</w:t>
      </w:r>
      <w:r>
        <w:rPr>
          <w:rFonts w:hint="eastAsia" w:ascii="仿宋_GB2312" w:hAnsi="仿宋_GB2312" w:eastAsia="仿宋_GB2312" w:cs="仿宋_GB2312"/>
          <w:sz w:val="32"/>
          <w:szCs w:val="32"/>
          <w:lang w:val="en-US" w:eastAsia="zh-CN"/>
        </w:rPr>
        <w:t>华容</w:t>
      </w:r>
      <w:r>
        <w:rPr>
          <w:rFonts w:hint="eastAsia" w:ascii="仿宋_GB2312" w:hAnsi="仿宋_GB2312" w:eastAsia="仿宋_GB2312" w:cs="仿宋_GB2312"/>
          <w:sz w:val="32"/>
          <w:szCs w:val="32"/>
        </w:rPr>
        <w:t>县政府工作部门</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局机关及直属事业单位现有在职干部223人，其中研究生学历10人，本科学历52人，具有高级职称5人，中级职称39人。整合后农业农村局统筹推进“三农”发展，既是政府的组阁局，也是党委的“三农”工作机构，更是县农村人居环境整治指挥部、产业扶贫指挥部、乡村振兴指挥部、禁捕退捕工作领导小组的牵头成员单位和办公室，承担着研究和组织实施“三农”工作的发展战略、中长期规划、政策措施等15个方面职能。目前农业农村局设设有办公室、人事股、计划财务股、行政审批与法规股、种植业管理股、规划与乡村产业发展股、外经外贸与市场信息股、政策改革与农村合作经济指导股、畜牧兽医股、科技教育股、渔业渔政管理股、农田建设和农垦管理股、农村社会事业促进股、农业机械化管理股、农业资源保护与利用股、农产品质量安全监管股等16个股室（办），下设县农业农村事务中心、县畜牧水产事务中心、县农业综合行政执法大队、县农村经营服务中心、县集成长江故道江豚省级自然保护区管理中心等5个副科级二级机构，县农田建设项目服务中心、县植保植检站、县土壤肥料工作站等3个股级事业单位，有棉花良种繁殖场、畜禽牧草良种繁殖场、湖南东湖渔业有限公司、二郎湖渔场、蔡田湖渔场、隆庆莲场、良繁场等7家农牧渔场。</w:t>
      </w:r>
    </w:p>
    <w:p>
      <w:pPr>
        <w:keepNext w:val="0"/>
        <w:keepLines w:val="0"/>
        <w:pageBreakBefore w:val="0"/>
        <w:kinsoku/>
        <w:wordWrap/>
        <w:overflowPunct/>
        <w:topLinePunct w:val="0"/>
        <w:autoSpaceDE/>
        <w:autoSpaceDN/>
        <w:bidi w:val="0"/>
        <w:adjustRightInd w:val="0"/>
        <w:snapToGrid w:val="0"/>
        <w:spacing w:line="580" w:lineRule="exact"/>
        <w:ind w:firstLine="643" w:firstLineChars="200"/>
        <w:textAlignment w:val="auto"/>
        <w:rPr>
          <w:rFonts w:hint="default" w:ascii="楷体_GB2312" w:hAnsi="楷体_GB2312" w:eastAsia="楷体_GB2312" w:cs="楷体_GB2312"/>
          <w:b/>
          <w:bCs/>
          <w:sz w:val="32"/>
          <w:lang w:val="en-US" w:eastAsia="zh-CN"/>
        </w:rPr>
      </w:pPr>
      <w:r>
        <w:rPr>
          <w:rFonts w:hint="eastAsia" w:ascii="楷体_GB2312" w:hAnsi="楷体_GB2312" w:eastAsia="楷体_GB2312" w:cs="楷体_GB2312"/>
          <w:b/>
          <w:bCs/>
          <w:sz w:val="32"/>
          <w:lang w:val="en-US" w:eastAsia="zh-CN"/>
        </w:rPr>
        <w:t>（二）华容县产业发展背景</w:t>
      </w:r>
    </w:p>
    <w:p>
      <w:pPr>
        <w:pStyle w:val="22"/>
        <w:keepNext w:val="0"/>
        <w:keepLines w:val="0"/>
        <w:pageBreakBefore w:val="0"/>
        <w:kinsoku/>
        <w:wordWrap/>
        <w:overflowPunct/>
        <w:topLinePunct w:val="0"/>
        <w:autoSpaceDE/>
        <w:autoSpaceDN/>
        <w:bidi w:val="0"/>
        <w:spacing w:line="580" w:lineRule="exact"/>
        <w:textAlignment w:val="auto"/>
        <w:rPr>
          <w:rFonts w:hint="eastAsia" w:ascii="仿宋" w:hAnsi="仿宋" w:eastAsia="仿宋" w:cs="宋体"/>
          <w:sz w:val="32"/>
          <w:szCs w:val="32"/>
          <w:lang w:val="en-US" w:eastAsia="zh-CN"/>
        </w:rPr>
      </w:pPr>
      <w:r>
        <w:rPr>
          <w:rFonts w:hint="eastAsia" w:ascii="仿宋_GB2312" w:hAnsi="仿宋_GB2312" w:eastAsia="仿宋_GB2312" w:cs="仿宋_GB2312"/>
          <w:sz w:val="32"/>
          <w:szCs w:val="32"/>
        </w:rPr>
        <w:t>华容县北倚长江南濒洞庭，水土资源和生态环境优良，拥有棉花产业发展得天独厚的资源条件和悠久的种植历史，</w:t>
      </w:r>
      <w:r>
        <w:rPr>
          <w:rFonts w:hint="eastAsia" w:ascii="仿宋" w:hAnsi="仿宋" w:eastAsia="仿宋" w:cs="宋体"/>
          <w:sz w:val="32"/>
          <w:szCs w:val="32"/>
        </w:rPr>
        <w:t>是全国第一批商品棉基地县，全国棉花优势产业带和湖南省高支原棉生产基地。</w:t>
      </w:r>
      <w:r>
        <w:rPr>
          <w:rFonts w:hint="eastAsia" w:ascii="仿宋" w:hAnsi="仿宋" w:eastAsia="仿宋" w:cs="宋体"/>
          <w:color w:val="auto"/>
          <w:sz w:val="32"/>
          <w:szCs w:val="32"/>
        </w:rPr>
        <w:t>高峰期全县植棉50万亩，亩产皮棉约100公斤。2015年以来，受国家棉花临时收贮政策取消、国际棉花市场行情下滑等因素影响，分散产区棉花面积逐步调减，</w:t>
      </w:r>
      <w:r>
        <w:rPr>
          <w:rFonts w:hint="eastAsia" w:ascii="仿宋" w:hAnsi="仿宋" w:eastAsia="仿宋" w:cs="宋体"/>
          <w:sz w:val="32"/>
          <w:szCs w:val="32"/>
          <w:lang w:val="en-US" w:eastAsia="zh-CN"/>
        </w:rPr>
        <w:t>2023年以</w:t>
      </w:r>
      <w:r>
        <w:rPr>
          <w:rFonts w:hint="eastAsia" w:ascii="仿宋" w:hAnsi="仿宋" w:eastAsia="仿宋" w:cs="仿宋"/>
          <w:b w:val="0"/>
          <w:bCs w:val="0"/>
          <w:kern w:val="2"/>
          <w:sz w:val="32"/>
          <w:szCs w:val="32"/>
          <w:lang w:val="en-US" w:eastAsia="zh-CN" w:bidi="ar-SA"/>
        </w:rPr>
        <w:t>实现棉花生产“两保”（保面积产量总体稳定、保棉农种植收益基本稳定）、“两提”（提高棉花单产水平、提高棉花质量）为目标，全面</w:t>
      </w:r>
      <w:r>
        <w:rPr>
          <w:rFonts w:hint="eastAsia" w:ascii="仿宋" w:hAnsi="仿宋" w:eastAsia="仿宋"/>
          <w:color w:val="auto"/>
          <w:sz w:val="32"/>
          <w:szCs w:val="32"/>
          <w:lang w:val="en-US" w:eastAsia="zh-CN"/>
        </w:rPr>
        <w:t>落实棉花种植面积9.5万亩。</w:t>
      </w:r>
    </w:p>
    <w:p>
      <w:pPr>
        <w:keepNext w:val="0"/>
        <w:keepLines w:val="0"/>
        <w:pageBreakBefore w:val="0"/>
        <w:kinsoku/>
        <w:wordWrap/>
        <w:overflowPunct/>
        <w:topLinePunct w:val="0"/>
        <w:autoSpaceDE/>
        <w:autoSpaceDN/>
        <w:bidi w:val="0"/>
        <w:adjustRightInd w:val="0"/>
        <w:snapToGrid w:val="0"/>
        <w:spacing w:line="580" w:lineRule="exact"/>
        <w:ind w:firstLine="643" w:firstLineChars="200"/>
        <w:textAlignment w:val="auto"/>
        <w:rPr>
          <w:rFonts w:hint="eastAsia" w:ascii="楷体_GB2312" w:hAnsi="楷体_GB2312" w:eastAsia="楷体_GB2312" w:cs="楷体_GB2312"/>
          <w:b/>
          <w:bCs/>
          <w:sz w:val="32"/>
          <w:lang w:eastAsia="zh-CN"/>
        </w:rPr>
      </w:pPr>
      <w:r>
        <w:rPr>
          <w:rFonts w:hint="eastAsia" w:ascii="楷体_GB2312" w:hAnsi="楷体_GB2312" w:eastAsia="楷体_GB2312" w:cs="楷体_GB2312"/>
          <w:b/>
          <w:bCs/>
          <w:sz w:val="32"/>
          <w:lang w:eastAsia="zh-CN"/>
        </w:rPr>
        <w:t>（</w:t>
      </w:r>
      <w:r>
        <w:rPr>
          <w:rFonts w:hint="eastAsia" w:ascii="楷体_GB2312" w:hAnsi="楷体_GB2312" w:eastAsia="楷体_GB2312" w:cs="楷体_GB2312"/>
          <w:b/>
          <w:bCs/>
          <w:sz w:val="32"/>
          <w:lang w:val="en-US" w:eastAsia="zh-CN"/>
        </w:rPr>
        <w:t>三</w:t>
      </w:r>
      <w:r>
        <w:rPr>
          <w:rFonts w:hint="eastAsia" w:ascii="楷体_GB2312" w:hAnsi="楷体_GB2312" w:eastAsia="楷体_GB2312" w:cs="楷体_GB2312"/>
          <w:b/>
          <w:bCs/>
          <w:sz w:val="32"/>
          <w:lang w:eastAsia="zh-CN"/>
        </w:rPr>
        <w:t>）政策实施的目标思路</w:t>
      </w:r>
    </w:p>
    <w:p>
      <w:pPr>
        <w:keepNext w:val="0"/>
        <w:keepLines w:val="0"/>
        <w:pageBreakBefore w:val="0"/>
        <w:widowControl w:val="0"/>
        <w:numPr>
          <w:ilvl w:val="0"/>
          <w:numId w:val="0"/>
        </w:numPr>
        <w:kinsoku/>
        <w:wordWrap/>
        <w:overflowPunct/>
        <w:topLinePunct w:val="0"/>
        <w:autoSpaceDE/>
        <w:autoSpaceDN/>
        <w:bidi w:val="0"/>
        <w:adjustRightInd/>
        <w:snapToGrid/>
        <w:spacing w:line="580" w:lineRule="exact"/>
        <w:ind w:firstLine="640" w:firstLineChars="200"/>
        <w:textAlignment w:val="auto"/>
        <w:rPr>
          <w:rFonts w:ascii="Times New Roman" w:hAnsi="Times New Roman" w:eastAsia="仿宋_GB2312" w:cs="Times New Roman"/>
          <w:sz w:val="32"/>
        </w:rPr>
      </w:pPr>
      <w:r>
        <w:rPr>
          <w:rFonts w:hint="eastAsia" w:ascii="仿宋" w:hAnsi="仿宋" w:eastAsia="仿宋" w:cs="仿宋"/>
          <w:sz w:val="32"/>
          <w:szCs w:val="32"/>
          <w:lang w:val="en-US" w:eastAsia="zh-CN"/>
        </w:rPr>
        <w:t>为确保我县棉花大县奖励资金政策落到实处，提高我</w:t>
      </w:r>
      <w:r>
        <w:rPr>
          <w:rFonts w:hint="eastAsia" w:ascii="仿宋" w:hAnsi="仿宋" w:eastAsia="仿宋" w:cs="仿宋"/>
          <w:sz w:val="32"/>
          <w:szCs w:val="32"/>
          <w:highlight w:val="none"/>
          <w:lang w:val="en-US" w:eastAsia="zh-CN"/>
        </w:rPr>
        <w:t>县棉花质量效益和竞争力，</w:t>
      </w:r>
      <w:r>
        <w:rPr>
          <w:rFonts w:hint="eastAsia" w:ascii="仿宋" w:hAnsi="仿宋" w:eastAsia="仿宋" w:cs="仿宋"/>
          <w:sz w:val="32"/>
          <w:szCs w:val="32"/>
          <w:lang w:val="en-US" w:eastAsia="zh-CN"/>
        </w:rPr>
        <w:t>以深化棉花产业供给侧结构性改革为主线，通过调整完善棉花补贴机制，调动农民种棉积极性，稳定并适度恢复棉花种植面积和产量，加快构建现代棉花产业体系、生产体系、经营体系，推动我县棉花产业高质量发展，促进农村经济发展和农民增收。</w:t>
      </w:r>
    </w:p>
    <w:p>
      <w:pPr>
        <w:keepNext w:val="0"/>
        <w:keepLines w:val="0"/>
        <w:pageBreakBefore w:val="0"/>
        <w:kinsoku/>
        <w:wordWrap/>
        <w:overflowPunct/>
        <w:topLinePunct w:val="0"/>
        <w:autoSpaceDE/>
        <w:autoSpaceDN/>
        <w:bidi w:val="0"/>
        <w:adjustRightInd w:val="0"/>
        <w:snapToGrid w:val="0"/>
        <w:spacing w:line="580" w:lineRule="exact"/>
        <w:ind w:firstLine="643" w:firstLineChars="200"/>
        <w:textAlignment w:val="auto"/>
        <w:rPr>
          <w:rFonts w:hint="eastAsia" w:ascii="楷体_GB2312" w:hAnsi="楷体_GB2312" w:eastAsia="楷体_GB2312" w:cs="楷体_GB2312"/>
          <w:b/>
          <w:bCs/>
          <w:sz w:val="32"/>
          <w:lang w:eastAsia="zh-CN"/>
        </w:rPr>
      </w:pPr>
      <w:r>
        <w:rPr>
          <w:rFonts w:hint="eastAsia" w:ascii="楷体_GB2312" w:hAnsi="楷体_GB2312" w:eastAsia="楷体_GB2312" w:cs="楷体_GB2312"/>
          <w:b/>
          <w:bCs/>
          <w:sz w:val="32"/>
          <w:lang w:eastAsia="zh-CN"/>
        </w:rPr>
        <w:t>（</w:t>
      </w:r>
      <w:r>
        <w:rPr>
          <w:rFonts w:hint="eastAsia" w:ascii="楷体_GB2312" w:hAnsi="楷体_GB2312" w:eastAsia="楷体_GB2312" w:cs="楷体_GB2312"/>
          <w:b/>
          <w:bCs/>
          <w:sz w:val="32"/>
          <w:lang w:val="en-US" w:eastAsia="zh-CN"/>
        </w:rPr>
        <w:t>四</w:t>
      </w:r>
      <w:r>
        <w:rPr>
          <w:rFonts w:hint="eastAsia" w:ascii="楷体_GB2312" w:hAnsi="楷体_GB2312" w:eastAsia="楷体_GB2312" w:cs="楷体_GB2312"/>
          <w:b/>
          <w:bCs/>
          <w:sz w:val="32"/>
          <w:lang w:eastAsia="zh-CN"/>
        </w:rPr>
        <w:t>）主要工作举措</w:t>
      </w:r>
    </w:p>
    <w:p>
      <w:pPr>
        <w:keepNext w:val="0"/>
        <w:keepLines w:val="0"/>
        <w:pageBreakBefore w:val="0"/>
        <w:widowControl w:val="0"/>
        <w:numPr>
          <w:ilvl w:val="0"/>
          <w:numId w:val="0"/>
        </w:numPr>
        <w:kinsoku/>
        <w:wordWrap/>
        <w:overflowPunct/>
        <w:topLinePunct w:val="0"/>
        <w:autoSpaceDE/>
        <w:autoSpaceDN/>
        <w:bidi w:val="0"/>
        <w:adjustRightInd/>
        <w:snapToGrid/>
        <w:spacing w:line="58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1、坚持对棉花实际种植者补贴。以乡镇（含田家湖生态新区、国营农林场）为单位，对全县棉花实际种植者进行补贴，保障农民基本利益，稳定棉花生产。</w:t>
      </w:r>
    </w:p>
    <w:p>
      <w:pPr>
        <w:pStyle w:val="10"/>
        <w:keepNext w:val="0"/>
        <w:keepLines w:val="0"/>
        <w:pageBreakBefore w:val="0"/>
        <w:widowControl/>
        <w:numPr>
          <w:ilvl w:val="0"/>
          <w:numId w:val="0"/>
        </w:numPr>
        <w:suppressLineNumbers w:val="0"/>
        <w:kinsoku/>
        <w:wordWrap/>
        <w:overflowPunct/>
        <w:topLinePunct w:val="0"/>
        <w:autoSpaceDE/>
        <w:autoSpaceDN/>
        <w:bidi w:val="0"/>
        <w:adjustRightInd/>
        <w:snapToGrid/>
        <w:spacing w:beforeAutospacing="0" w:afterAutospacing="0" w:line="580" w:lineRule="exact"/>
        <w:ind w:right="0" w:rightChars="0" w:firstLine="640" w:firstLineChars="200"/>
        <w:jc w:val="left"/>
        <w:textAlignment w:val="auto"/>
        <w:rPr>
          <w:rFonts w:hint="default" w:ascii="仿宋" w:hAnsi="仿宋" w:eastAsia="仿宋" w:cs="仿宋"/>
          <w:sz w:val="32"/>
          <w:szCs w:val="32"/>
          <w:lang w:val="en-US" w:eastAsia="zh-CN"/>
        </w:rPr>
      </w:pPr>
      <w:r>
        <w:rPr>
          <w:rFonts w:hint="eastAsia" w:ascii="仿宋" w:hAnsi="仿宋" w:eastAsia="仿宋" w:cs="仿宋"/>
          <w:sz w:val="32"/>
          <w:szCs w:val="32"/>
          <w:lang w:val="en-US" w:eastAsia="zh-CN"/>
        </w:rPr>
        <w:t>2、支持棉花提质增效。统筹部分资金用于支持棉花提质增效，</w:t>
      </w:r>
      <w:r>
        <w:rPr>
          <w:rFonts w:hint="eastAsia" w:ascii="仿宋" w:hAnsi="仿宋" w:eastAsia="仿宋" w:cs="仿宋"/>
          <w:kern w:val="2"/>
          <w:sz w:val="32"/>
          <w:szCs w:val="32"/>
          <w:lang w:val="en-US" w:eastAsia="zh-CN" w:bidi="ar-SA"/>
        </w:rPr>
        <w:t>包括支持棉花轻简化栽培技术推广、高效种植模式推广、标准棉田改造、优良品种推广、示范创建、统防统治、技术推广等</w:t>
      </w:r>
      <w:r>
        <w:rPr>
          <w:rFonts w:hint="eastAsia" w:ascii="仿宋" w:hAnsi="仿宋" w:eastAsia="仿宋" w:cs="仿宋"/>
          <w:sz w:val="32"/>
          <w:szCs w:val="32"/>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 w:hAnsi="仿宋" w:eastAsia="仿宋" w:cs="仿宋"/>
          <w:sz w:val="32"/>
          <w:szCs w:val="32"/>
          <w:lang w:val="en-US" w:eastAsia="zh-CN"/>
        </w:rPr>
        <w:t>3、支持棉花企业开展“专业仓储+在库公检”试点。</w:t>
      </w:r>
      <w:r>
        <w:rPr>
          <w:rFonts w:hint="eastAsia" w:ascii="仿宋_GB2312" w:hAnsi="仿宋_GB2312" w:eastAsia="仿宋_GB2312" w:cs="仿宋_GB2312"/>
          <w:sz w:val="32"/>
          <w:szCs w:val="32"/>
          <w:lang w:val="en-US" w:eastAsia="zh-CN"/>
        </w:rPr>
        <w:t>支持我县符合条件的湖南锦衣源棉业有限公司、华容县银源棉业有限公司、新河乡福民惠农服务中心三家棉花加工企业开展棉花“专业仓储+质量公检”试点。</w:t>
      </w:r>
    </w:p>
    <w:p>
      <w:pPr>
        <w:keepNext w:val="0"/>
        <w:keepLines w:val="0"/>
        <w:pageBreakBefore w:val="0"/>
        <w:widowControl w:val="0"/>
        <w:numPr>
          <w:ilvl w:val="0"/>
          <w:numId w:val="0"/>
        </w:numPr>
        <w:kinsoku/>
        <w:wordWrap/>
        <w:overflowPunct/>
        <w:topLinePunct w:val="0"/>
        <w:autoSpaceDE/>
        <w:autoSpaceDN/>
        <w:bidi w:val="0"/>
        <w:adjustRightInd/>
        <w:snapToGrid/>
        <w:spacing w:line="58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4、坚持属地负责。棉花大县奖励实行属地负责，各乡镇人民政府（含田家湖生态新区、国营农林场）按照符合实际、方便操作的要求，研究制定切实可行的工作实施方案，提高补贴发放的精准度和工作效率。</w:t>
      </w:r>
    </w:p>
    <w:p>
      <w:pPr>
        <w:keepNext w:val="0"/>
        <w:keepLines w:val="0"/>
        <w:pageBreakBefore w:val="0"/>
        <w:kinsoku/>
        <w:wordWrap/>
        <w:overflowPunct/>
        <w:topLinePunct w:val="0"/>
        <w:autoSpaceDE/>
        <w:autoSpaceDN/>
        <w:bidi w:val="0"/>
        <w:adjustRightInd w:val="0"/>
        <w:snapToGrid w:val="0"/>
        <w:spacing w:line="580" w:lineRule="exact"/>
        <w:ind w:firstLine="643" w:firstLineChars="200"/>
        <w:textAlignment w:val="auto"/>
        <w:rPr>
          <w:rFonts w:hint="eastAsia" w:ascii="楷体_GB2312" w:hAnsi="楷体_GB2312" w:eastAsia="楷体_GB2312" w:cs="楷体_GB2312"/>
          <w:b/>
          <w:bCs/>
          <w:sz w:val="32"/>
          <w:lang w:eastAsia="zh-CN"/>
        </w:rPr>
      </w:pPr>
      <w:r>
        <w:rPr>
          <w:rFonts w:hint="eastAsia" w:ascii="楷体_GB2312" w:hAnsi="楷体_GB2312" w:eastAsia="楷体_GB2312" w:cs="楷体_GB2312"/>
          <w:b/>
          <w:bCs/>
          <w:sz w:val="32"/>
          <w:lang w:eastAsia="zh-CN"/>
        </w:rPr>
        <w:t>（</w:t>
      </w:r>
      <w:r>
        <w:rPr>
          <w:rFonts w:hint="eastAsia" w:ascii="楷体_GB2312" w:hAnsi="楷体_GB2312" w:eastAsia="楷体_GB2312" w:cs="楷体_GB2312"/>
          <w:b/>
          <w:bCs/>
          <w:sz w:val="32"/>
          <w:lang w:val="en-US" w:eastAsia="zh-CN"/>
        </w:rPr>
        <w:t>四</w:t>
      </w:r>
      <w:r>
        <w:rPr>
          <w:rFonts w:hint="eastAsia" w:ascii="楷体_GB2312" w:hAnsi="楷体_GB2312" w:eastAsia="楷体_GB2312" w:cs="楷体_GB2312"/>
          <w:b/>
          <w:bCs/>
          <w:sz w:val="32"/>
          <w:lang w:eastAsia="zh-CN"/>
        </w:rPr>
        <w:t>）资金投入、使用方向和使用效果。</w:t>
      </w:r>
    </w:p>
    <w:p>
      <w:pPr>
        <w:pStyle w:val="22"/>
        <w:keepNext w:val="0"/>
        <w:keepLines w:val="0"/>
        <w:pageBreakBefore w:val="0"/>
        <w:kinsoku/>
        <w:wordWrap/>
        <w:overflowPunct/>
        <w:topLinePunct w:val="0"/>
        <w:autoSpaceDE/>
        <w:autoSpaceDN/>
        <w:bidi w:val="0"/>
        <w:spacing w:line="580" w:lineRule="exact"/>
        <w:textAlignment w:val="auto"/>
        <w:rPr>
          <w:rFonts w:hint="eastAsia" w:ascii="仿宋" w:hAnsi="仿宋" w:eastAsia="仿宋" w:cs="仿宋"/>
          <w:sz w:val="32"/>
          <w:szCs w:val="32"/>
          <w:highlight w:val="none"/>
          <w:lang w:val="en-US" w:eastAsia="zh-CN"/>
        </w:rPr>
      </w:pPr>
      <w:r>
        <w:rPr>
          <w:rFonts w:hint="eastAsia" w:ascii="仿宋" w:hAnsi="仿宋" w:eastAsia="仿宋" w:cs="仿宋"/>
          <w:sz w:val="32"/>
          <w:szCs w:val="32"/>
          <w:highlight w:val="none"/>
          <w:lang w:val="en-US" w:eastAsia="zh-CN"/>
        </w:rPr>
        <w:t>《湖南省财政厅关于提前下达2023年棉花大县奖励资金的通知》（湘财预〔2022〕323号）、《湖南省财政厅关于调整下达2023年棉花大县奖励资金的通知》（湘财预〔2023〕154号）</w:t>
      </w:r>
      <w:r>
        <w:rPr>
          <w:rFonts w:hint="eastAsia" w:ascii="仿宋" w:hAnsi="仿宋" w:eastAsia="仿宋" w:cs="仿宋"/>
          <w:sz w:val="32"/>
          <w:szCs w:val="32"/>
          <w:lang w:val="en-US" w:eastAsia="zh-CN"/>
        </w:rPr>
        <w:t>文件</w:t>
      </w:r>
      <w:r>
        <w:rPr>
          <w:rFonts w:hint="eastAsia" w:ascii="仿宋" w:hAnsi="仿宋" w:eastAsia="仿宋" w:cs="仿宋"/>
          <w:sz w:val="32"/>
          <w:szCs w:val="32"/>
          <w:highlight w:val="none"/>
          <w:lang w:val="en-US" w:eastAsia="zh-CN"/>
        </w:rPr>
        <w:t>，下达我县棉花大县奖励资金14232.78万元，全部用于促进棉花生产及产业发展。</w:t>
      </w:r>
    </w:p>
    <w:p>
      <w:pPr>
        <w:keepNext w:val="0"/>
        <w:keepLines w:val="0"/>
        <w:pageBreakBefore w:val="0"/>
        <w:numPr>
          <w:ilvl w:val="0"/>
          <w:numId w:val="4"/>
        </w:numPr>
        <w:kinsoku/>
        <w:wordWrap/>
        <w:overflowPunct/>
        <w:topLinePunct w:val="0"/>
        <w:autoSpaceDE/>
        <w:autoSpaceDN/>
        <w:bidi w:val="0"/>
        <w:adjustRightInd/>
        <w:snapToGrid/>
        <w:spacing w:line="580" w:lineRule="exact"/>
        <w:ind w:firstLine="640" w:firstLineChars="200"/>
        <w:jc w:val="left"/>
        <w:textAlignment w:val="auto"/>
        <w:rPr>
          <w:rFonts w:hint="eastAsia" w:ascii="仿宋" w:hAnsi="仿宋" w:eastAsia="仿宋" w:cs="仿宋"/>
          <w:kern w:val="2"/>
          <w:sz w:val="32"/>
          <w:szCs w:val="32"/>
          <w:highlight w:val="none"/>
          <w:lang w:val="en-US" w:eastAsia="zh-CN" w:bidi="ar-SA"/>
        </w:rPr>
      </w:pPr>
      <w:r>
        <w:rPr>
          <w:rFonts w:hint="eastAsia" w:ascii="仿宋" w:hAnsi="仿宋" w:eastAsia="仿宋" w:cs="仿宋"/>
          <w:kern w:val="2"/>
          <w:sz w:val="32"/>
          <w:szCs w:val="32"/>
          <w:highlight w:val="none"/>
          <w:lang w:val="en-US" w:eastAsia="zh-CN" w:bidi="ar-SA"/>
        </w:rPr>
        <w:t>棉花种植户补贴。2660万元用于补贴我县棉花实际种植者，包括种棉农户及大户、家庭农场、专业合作社等新型农业经营主体。全县棉花补贴面积9.5万亩。</w:t>
      </w:r>
    </w:p>
    <w:p>
      <w:pPr>
        <w:keepNext w:val="0"/>
        <w:keepLines w:val="0"/>
        <w:pageBreakBefore w:val="0"/>
        <w:numPr>
          <w:ilvl w:val="0"/>
          <w:numId w:val="0"/>
        </w:numPr>
        <w:kinsoku/>
        <w:wordWrap/>
        <w:overflowPunct/>
        <w:topLinePunct w:val="0"/>
        <w:autoSpaceDE/>
        <w:autoSpaceDN/>
        <w:bidi w:val="0"/>
        <w:adjustRightInd/>
        <w:snapToGrid/>
        <w:spacing w:line="580" w:lineRule="exact"/>
        <w:ind w:firstLine="640" w:firstLineChars="200"/>
        <w:jc w:val="left"/>
        <w:textAlignment w:val="auto"/>
        <w:rPr>
          <w:rFonts w:hint="eastAsia" w:ascii="仿宋" w:hAnsi="仿宋" w:eastAsia="仿宋" w:cs="仿宋"/>
          <w:kern w:val="2"/>
          <w:sz w:val="32"/>
          <w:szCs w:val="32"/>
          <w:highlight w:val="none"/>
          <w:lang w:val="en-US" w:eastAsia="zh-CN" w:bidi="ar-SA"/>
        </w:rPr>
      </w:pPr>
      <w:r>
        <w:rPr>
          <w:rFonts w:hint="eastAsia" w:ascii="仿宋" w:hAnsi="仿宋" w:eastAsia="仿宋" w:cs="仿宋"/>
          <w:kern w:val="2"/>
          <w:sz w:val="32"/>
          <w:szCs w:val="32"/>
          <w:highlight w:val="none"/>
          <w:lang w:val="en-US" w:eastAsia="zh-CN" w:bidi="ar-SA"/>
        </w:rPr>
        <w:t>2、棉花提质增效补贴。根据《湖南省财政厅 湖南省农业农村厅关于印发&lt;湖南省落实中央棉花生产支持政策实施方案（2021-2023）&gt;的通知》（湘财建〔2021〕36号）文件，统筹资金1150.78万元开展棉花提质增效，</w:t>
      </w:r>
      <w:r>
        <w:rPr>
          <w:rFonts w:hint="eastAsia" w:ascii="仿宋" w:hAnsi="仿宋" w:eastAsia="仿宋" w:cs="仿宋"/>
          <w:kern w:val="2"/>
          <w:sz w:val="32"/>
          <w:szCs w:val="32"/>
          <w:lang w:val="en-US" w:eastAsia="zh-CN" w:bidi="ar-SA"/>
        </w:rPr>
        <w:t>包括支持棉花轻简化栽培技术推广、高效种植模式推广、标准棉田改造、优良品种推广、示范创建、统防统治、技术推广等</w:t>
      </w:r>
      <w:r>
        <w:rPr>
          <w:rFonts w:hint="eastAsia" w:ascii="仿宋" w:hAnsi="仿宋" w:eastAsia="仿宋" w:cs="仿宋"/>
          <w:kern w:val="2"/>
          <w:sz w:val="32"/>
          <w:szCs w:val="32"/>
          <w:highlight w:val="none"/>
          <w:lang w:val="en-US" w:eastAsia="zh-CN" w:bidi="ar-SA"/>
        </w:rPr>
        <w:t>。</w:t>
      </w:r>
    </w:p>
    <w:p>
      <w:pPr>
        <w:keepNext w:val="0"/>
        <w:keepLines w:val="0"/>
        <w:pageBreakBefore w:val="0"/>
        <w:numPr>
          <w:ilvl w:val="0"/>
          <w:numId w:val="0"/>
        </w:numPr>
        <w:kinsoku/>
        <w:wordWrap/>
        <w:overflowPunct/>
        <w:topLinePunct w:val="0"/>
        <w:autoSpaceDE/>
        <w:autoSpaceDN/>
        <w:bidi w:val="0"/>
        <w:adjustRightInd/>
        <w:snapToGrid/>
        <w:spacing w:line="580" w:lineRule="exact"/>
        <w:ind w:firstLine="640" w:firstLineChars="200"/>
        <w:jc w:val="left"/>
        <w:textAlignment w:val="auto"/>
        <w:rPr>
          <w:rFonts w:hint="eastAsia"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2.1、棉花轻简高效种植标准化生产。</w:t>
      </w:r>
    </w:p>
    <w:p>
      <w:pPr>
        <w:keepNext w:val="0"/>
        <w:keepLines w:val="0"/>
        <w:pageBreakBefore w:val="0"/>
        <w:numPr>
          <w:ilvl w:val="0"/>
          <w:numId w:val="0"/>
        </w:numPr>
        <w:kinsoku/>
        <w:wordWrap/>
        <w:overflowPunct/>
        <w:topLinePunct w:val="0"/>
        <w:autoSpaceDE/>
        <w:autoSpaceDN/>
        <w:bidi w:val="0"/>
        <w:adjustRightInd/>
        <w:snapToGrid/>
        <w:spacing w:line="580" w:lineRule="exact"/>
        <w:ind w:firstLine="640" w:firstLineChars="200"/>
        <w:jc w:val="left"/>
        <w:textAlignment w:val="auto"/>
        <w:rPr>
          <w:rFonts w:hint="default" w:ascii="Times New Roman" w:hAnsi="Times New Roman" w:eastAsia="仿宋_GB2312" w:cs="Times New Roman"/>
          <w:sz w:val="32"/>
          <w:lang w:val="en-US" w:eastAsia="zh-CN"/>
        </w:rPr>
      </w:pPr>
      <w:r>
        <w:rPr>
          <w:rFonts w:hint="eastAsia" w:ascii="仿宋" w:hAnsi="仿宋" w:eastAsia="仿宋" w:cs="仿宋"/>
          <w:kern w:val="2"/>
          <w:sz w:val="32"/>
          <w:szCs w:val="32"/>
          <w:lang w:val="en-US" w:eastAsia="zh-CN" w:bidi="ar-SA"/>
        </w:rPr>
        <w:t>一是推广棉花直播、种肥同播、适度集中成铃、集中吐絮技术、病虫草害综合防治等轻简化栽培技术，优化农机和农艺配套技术，加快植棉轻简华、机械化进程；二是推广棉花-豇豆、棉花-芥菜、豇豆-棉花-芥菜等多种新型种植模式，利用不同作物的生长时间差，组装栽培、植保、农产品加工等成熟技术，进行合理间套作，最大限度地提高棉田的产出和效益；三是进行标准棉田改造，对低产棉田改造，进行标准化整厢、疏通沟渠，支持机耕道建设，为棉花机械化生产奠定基础，同时加强抗旱及防涝设施建设，以应对极端灾害气候影响，确保棉田产量稳定。按实施面积进行补贴，补贴面积19871.8亩，补贴标准450元/亩，补贴资金894.23万元。</w:t>
      </w:r>
    </w:p>
    <w:p>
      <w:pPr>
        <w:keepNext w:val="0"/>
        <w:keepLines w:val="0"/>
        <w:pageBreakBefore w:val="0"/>
        <w:numPr>
          <w:ilvl w:val="0"/>
          <w:numId w:val="0"/>
        </w:numPr>
        <w:kinsoku/>
        <w:wordWrap/>
        <w:overflowPunct/>
        <w:topLinePunct w:val="0"/>
        <w:autoSpaceDE/>
        <w:autoSpaceDN/>
        <w:bidi w:val="0"/>
        <w:adjustRightInd/>
        <w:snapToGrid/>
        <w:spacing w:line="580" w:lineRule="exact"/>
        <w:ind w:firstLine="640" w:firstLineChars="200"/>
        <w:jc w:val="left"/>
        <w:textAlignment w:val="auto"/>
        <w:rPr>
          <w:rFonts w:hint="eastAsia"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2.2、棉花示范创建及技术推广。</w:t>
      </w:r>
    </w:p>
    <w:p>
      <w:pPr>
        <w:keepNext w:val="0"/>
        <w:keepLines w:val="0"/>
        <w:pageBreakBefore w:val="0"/>
        <w:numPr>
          <w:ilvl w:val="0"/>
          <w:numId w:val="0"/>
        </w:numPr>
        <w:kinsoku/>
        <w:wordWrap/>
        <w:overflowPunct/>
        <w:topLinePunct w:val="0"/>
        <w:autoSpaceDE/>
        <w:autoSpaceDN/>
        <w:bidi w:val="0"/>
        <w:adjustRightInd/>
        <w:snapToGrid/>
        <w:spacing w:line="580" w:lineRule="exact"/>
        <w:ind w:firstLine="640" w:firstLineChars="200"/>
        <w:jc w:val="left"/>
        <w:textAlignment w:val="auto"/>
        <w:rPr>
          <w:rFonts w:hint="default"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2.2.1、机采棉规模化生产示范。推广棉花机播机收，为实现棉花规模化生产提供技术支撑，形成可复制的栽培模式，在华容县注滋口镇注西村开展200亩集中连片棉花机械采收模式技术应用与示范，示范片统一栽培品种（湘XH50），统一技术标准，统一机械采收。技术指导湖南省棉花科学研究所，示范面积200亩，补贴标准1500元/亩，补贴资金30万元。</w:t>
      </w:r>
    </w:p>
    <w:p>
      <w:pPr>
        <w:keepNext w:val="0"/>
        <w:keepLines w:val="0"/>
        <w:pageBreakBefore w:val="0"/>
        <w:numPr>
          <w:ilvl w:val="0"/>
          <w:numId w:val="0"/>
        </w:numPr>
        <w:kinsoku/>
        <w:wordWrap/>
        <w:overflowPunct/>
        <w:topLinePunct w:val="0"/>
        <w:autoSpaceDE/>
        <w:autoSpaceDN/>
        <w:bidi w:val="0"/>
        <w:adjustRightInd/>
        <w:snapToGrid/>
        <w:spacing w:line="580" w:lineRule="exact"/>
        <w:ind w:firstLine="640" w:firstLineChars="200"/>
        <w:jc w:val="left"/>
        <w:textAlignment w:val="auto"/>
        <w:rPr>
          <w:rFonts w:hint="eastAsia"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2.2.2、棉花直播栽培示范。推广棉花直播、种肥同播、适度集中成铃、集中吐絮技术等轻简化栽培技术，优化农机和农艺配套技术，加快植棉轻简华、机械化进程。在新河乡、章华镇开展棉花直播栽培示范，示范面积317亩，补贴标准1000元/亩，补贴资金31.7万元</w:t>
      </w:r>
    </w:p>
    <w:p>
      <w:pPr>
        <w:keepNext w:val="0"/>
        <w:keepLines w:val="0"/>
        <w:pageBreakBefore w:val="0"/>
        <w:numPr>
          <w:ilvl w:val="0"/>
          <w:numId w:val="0"/>
        </w:numPr>
        <w:kinsoku/>
        <w:wordWrap/>
        <w:overflowPunct/>
        <w:topLinePunct w:val="0"/>
        <w:autoSpaceDE/>
        <w:autoSpaceDN/>
        <w:bidi w:val="0"/>
        <w:adjustRightInd/>
        <w:snapToGrid/>
        <w:spacing w:line="580" w:lineRule="exact"/>
        <w:ind w:firstLine="640" w:firstLineChars="200"/>
        <w:jc w:val="left"/>
        <w:textAlignment w:val="auto"/>
        <w:rPr>
          <w:rFonts w:hint="default"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2.2.3、棉花高产栽培示范。以提高棉花单产为目的，推广优质品种，在注滋口镇、新河乡、章华镇开展棉花高产栽培示范，示范面积2230亩，补贴标准450元/亩，补贴资金100.35万元。</w:t>
      </w:r>
    </w:p>
    <w:p>
      <w:pPr>
        <w:keepNext w:val="0"/>
        <w:keepLines w:val="0"/>
        <w:pageBreakBefore w:val="0"/>
        <w:numPr>
          <w:ilvl w:val="0"/>
          <w:numId w:val="0"/>
        </w:numPr>
        <w:kinsoku/>
        <w:wordWrap/>
        <w:overflowPunct/>
        <w:topLinePunct w:val="0"/>
        <w:autoSpaceDE/>
        <w:autoSpaceDN/>
        <w:bidi w:val="0"/>
        <w:adjustRightInd/>
        <w:snapToGrid/>
        <w:spacing w:line="580" w:lineRule="exact"/>
        <w:ind w:firstLine="640" w:firstLineChars="200"/>
        <w:jc w:val="left"/>
        <w:textAlignment w:val="auto"/>
        <w:rPr>
          <w:rFonts w:hint="eastAsia"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2.2.4、棉花病虫草害绿色防控及统防统治示范。坚持“绿色植保、公共植保”的工作理念和“预防为主，综合防治”的植保方针，加强重大病虫草害防控力度，切实减少生物灾害损失。由华容县农业农村局植保站组织实施，一是在注滋口镇隆西村开展棉花病虫绿色防控（灯诱、性诱、色板、种植生态带、精准测报等）、统防统治示范，减少化学农药使用量；二是在新河乡县河口村、注滋口镇注西村开展棉田杂草种类调查试验，分析棉田杂草种类及分布，以便进行科学防控治理指导。支持资金40万元。</w:t>
      </w:r>
    </w:p>
    <w:p>
      <w:pPr>
        <w:keepNext w:val="0"/>
        <w:keepLines w:val="0"/>
        <w:pageBreakBefore w:val="0"/>
        <w:numPr>
          <w:ilvl w:val="0"/>
          <w:numId w:val="0"/>
        </w:numPr>
        <w:kinsoku/>
        <w:wordWrap/>
        <w:overflowPunct/>
        <w:topLinePunct w:val="0"/>
        <w:autoSpaceDE/>
        <w:autoSpaceDN/>
        <w:bidi w:val="0"/>
        <w:adjustRightInd/>
        <w:snapToGrid/>
        <w:spacing w:line="580" w:lineRule="exact"/>
        <w:ind w:firstLine="640" w:firstLineChars="200"/>
        <w:jc w:val="left"/>
        <w:textAlignment w:val="auto"/>
        <w:rPr>
          <w:rFonts w:hint="default"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2.2.5、技术推广。由县农业农村局组织通过开展技术培训、印发技术资料、开展试验示范、召开观摩会议、</w:t>
      </w:r>
      <w:r>
        <w:rPr>
          <w:rFonts w:hint="default" w:ascii="仿宋" w:hAnsi="仿宋" w:eastAsia="仿宋" w:cs="仿宋"/>
          <w:kern w:val="2"/>
          <w:sz w:val="32"/>
          <w:szCs w:val="32"/>
          <w:lang w:val="en-US" w:eastAsia="zh-CN" w:bidi="ar-SA"/>
        </w:rPr>
        <w:t>邀请电视台及摄影协会进行典型经验宣传报道</w:t>
      </w:r>
      <w:r>
        <w:rPr>
          <w:rFonts w:hint="eastAsia" w:ascii="仿宋" w:hAnsi="仿宋" w:eastAsia="仿宋" w:cs="仿宋"/>
          <w:kern w:val="2"/>
          <w:sz w:val="32"/>
          <w:szCs w:val="32"/>
          <w:lang w:val="en-US" w:eastAsia="zh-CN" w:bidi="ar-SA"/>
        </w:rPr>
        <w:t>等多种形式，进行技术推广，</w:t>
      </w:r>
      <w:r>
        <w:rPr>
          <w:rFonts w:hint="default" w:ascii="仿宋" w:hAnsi="仿宋" w:eastAsia="仿宋" w:cs="仿宋"/>
          <w:kern w:val="2"/>
          <w:sz w:val="32"/>
          <w:szCs w:val="32"/>
          <w:lang w:val="en-US" w:eastAsia="zh-CN" w:bidi="ar-SA"/>
        </w:rPr>
        <w:t>展示</w:t>
      </w:r>
      <w:r>
        <w:rPr>
          <w:rFonts w:hint="eastAsia" w:ascii="仿宋" w:hAnsi="仿宋" w:eastAsia="仿宋" w:cs="仿宋"/>
          <w:kern w:val="2"/>
          <w:sz w:val="32"/>
          <w:szCs w:val="32"/>
          <w:lang w:val="en-US" w:eastAsia="zh-CN" w:bidi="ar-SA"/>
        </w:rPr>
        <w:t>棉花示范</w:t>
      </w:r>
      <w:r>
        <w:rPr>
          <w:rFonts w:hint="default" w:ascii="仿宋" w:hAnsi="仿宋" w:eastAsia="仿宋" w:cs="仿宋"/>
          <w:kern w:val="2"/>
          <w:sz w:val="32"/>
          <w:szCs w:val="32"/>
          <w:lang w:val="en-US" w:eastAsia="zh-CN" w:bidi="ar-SA"/>
        </w:rPr>
        <w:t>创建实施成效和工作成果，稳步扩大主导品种种植面积和主推技术的应用范围，提高全</w:t>
      </w:r>
      <w:r>
        <w:rPr>
          <w:rFonts w:hint="eastAsia" w:ascii="仿宋" w:hAnsi="仿宋" w:eastAsia="仿宋" w:cs="仿宋"/>
          <w:kern w:val="2"/>
          <w:sz w:val="32"/>
          <w:szCs w:val="32"/>
          <w:lang w:val="en-US" w:eastAsia="zh-CN" w:bidi="ar-SA"/>
        </w:rPr>
        <w:t>县</w:t>
      </w:r>
      <w:r>
        <w:rPr>
          <w:rFonts w:hint="default" w:ascii="仿宋" w:hAnsi="仿宋" w:eastAsia="仿宋" w:cs="仿宋"/>
          <w:kern w:val="2"/>
          <w:sz w:val="32"/>
          <w:szCs w:val="32"/>
          <w:lang w:val="en-US" w:eastAsia="zh-CN" w:bidi="ar-SA"/>
        </w:rPr>
        <w:t>棉花生产水平。</w:t>
      </w:r>
      <w:r>
        <w:rPr>
          <w:rFonts w:hint="eastAsia" w:ascii="仿宋" w:hAnsi="仿宋" w:eastAsia="仿宋" w:cs="仿宋"/>
          <w:kern w:val="2"/>
          <w:sz w:val="32"/>
          <w:szCs w:val="32"/>
          <w:lang w:val="en-US" w:eastAsia="zh-CN" w:bidi="ar-SA"/>
        </w:rPr>
        <w:t>支持资金36万元。</w:t>
      </w:r>
    </w:p>
    <w:p>
      <w:pPr>
        <w:keepNext w:val="0"/>
        <w:keepLines w:val="0"/>
        <w:pageBreakBefore w:val="0"/>
        <w:numPr>
          <w:ilvl w:val="0"/>
          <w:numId w:val="0"/>
        </w:numPr>
        <w:kinsoku/>
        <w:wordWrap/>
        <w:overflowPunct/>
        <w:topLinePunct w:val="0"/>
        <w:autoSpaceDE/>
        <w:autoSpaceDN/>
        <w:bidi w:val="0"/>
        <w:adjustRightInd/>
        <w:snapToGrid/>
        <w:spacing w:line="580" w:lineRule="exact"/>
        <w:ind w:firstLine="640" w:firstLineChars="200"/>
        <w:jc w:val="left"/>
        <w:textAlignment w:val="auto"/>
        <w:rPr>
          <w:rFonts w:hint="eastAsia"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2.3、优质品种推广。为提高棉花单产，提升棉花品质，由华容县农业农村局与湖南中朗种业有限公司对接，采购适宜我县种植的优质棉花品种，在新河乡、东山镇、章华镇等棉花主产乡镇进行示范推广种植，采购数量3700包，所需资金18.5万。</w:t>
      </w:r>
    </w:p>
    <w:p>
      <w:pPr>
        <w:keepNext w:val="0"/>
        <w:keepLines w:val="0"/>
        <w:pageBreakBefore w:val="0"/>
        <w:numPr>
          <w:ilvl w:val="0"/>
          <w:numId w:val="0"/>
        </w:numPr>
        <w:kinsoku/>
        <w:wordWrap/>
        <w:overflowPunct/>
        <w:topLinePunct w:val="0"/>
        <w:autoSpaceDE/>
        <w:autoSpaceDN/>
        <w:bidi w:val="0"/>
        <w:adjustRightInd/>
        <w:snapToGrid/>
        <w:spacing w:line="580" w:lineRule="exact"/>
        <w:ind w:firstLine="640" w:firstLineChars="200"/>
        <w:jc w:val="left"/>
        <w:textAlignment w:val="auto"/>
        <w:rPr>
          <w:rFonts w:hint="default" w:ascii="Times New Roman" w:hAnsi="Times New Roman" w:eastAsia="仿宋_GB2312" w:cs="Times New Roman"/>
          <w:sz w:val="32"/>
          <w:lang w:val="en-US" w:eastAsia="zh-CN"/>
        </w:rPr>
      </w:pPr>
      <w:r>
        <w:rPr>
          <w:rFonts w:hint="eastAsia" w:ascii="仿宋" w:hAnsi="仿宋" w:eastAsia="仿宋" w:cs="仿宋"/>
          <w:kern w:val="2"/>
          <w:sz w:val="32"/>
          <w:szCs w:val="32"/>
          <w:lang w:val="en-US" w:eastAsia="zh-CN" w:bidi="ar-SA"/>
        </w:rPr>
        <w:t>3、棉花“专业仓储+质量公检”试点。支持我县符合条件的湖南锦衣源棉业有限公司、华</w:t>
      </w:r>
      <w:r>
        <w:rPr>
          <w:rFonts w:hint="eastAsia" w:ascii="仿宋_GB2312" w:hAnsi="仿宋_GB2312" w:eastAsia="仿宋_GB2312" w:cs="仿宋_GB2312"/>
          <w:sz w:val="32"/>
          <w:szCs w:val="32"/>
          <w:lang w:val="en-US" w:eastAsia="zh-CN"/>
        </w:rPr>
        <w:t>容县银源棉业有限公司、新河乡福民惠农服务中心三家棉花加工企业开展棉花“专业仓储+质量公检”试点，全县试点任务目标6000吨籽棉，总计支持资金422万元，一是对棉农进行籽棉交售补贴，按照0.2元/斤标准给予补贴，合计资金240万元；二是对企业进行籽棉收购补贴，由于棉花市场低迷，棉花价格持续走低，为提高企业积极性，对三家企业进行籽棉收购奖补，合计资金100万元；三是参与“专业仓储+质量公检”试点产生的入库费、出库费、配合公检费、保险费、保管费、监管费及运输费等相关费用，按照每吨皮棉370元的标准进行补贴，合计资金82万元。</w:t>
      </w:r>
    </w:p>
    <w:p>
      <w:pPr>
        <w:pStyle w:val="3"/>
        <w:keepNext w:val="0"/>
        <w:keepLines w:val="0"/>
        <w:pageBreakBefore w:val="0"/>
        <w:kinsoku/>
        <w:wordWrap/>
        <w:overflowPunct/>
        <w:topLinePunct w:val="0"/>
        <w:autoSpaceDE/>
        <w:autoSpaceDN/>
        <w:bidi w:val="0"/>
        <w:spacing w:line="580" w:lineRule="exact"/>
        <w:ind w:firstLine="640"/>
        <w:textAlignment w:val="auto"/>
      </w:pPr>
      <w:r>
        <w:t>二、绩效自评情况</w:t>
      </w:r>
    </w:p>
    <w:p>
      <w:pPr>
        <w:pStyle w:val="4"/>
        <w:keepNext w:val="0"/>
        <w:keepLines w:val="0"/>
        <w:pageBreakBefore w:val="0"/>
        <w:kinsoku/>
        <w:wordWrap/>
        <w:overflowPunct/>
        <w:topLinePunct w:val="0"/>
        <w:autoSpaceDE/>
        <w:autoSpaceDN/>
        <w:bidi w:val="0"/>
        <w:spacing w:line="580" w:lineRule="exact"/>
        <w:ind w:firstLine="643"/>
        <w:textAlignment w:val="auto"/>
      </w:pPr>
      <w:r>
        <w:t>（一）绩效自评工作开展情况。</w:t>
      </w:r>
    </w:p>
    <w:p>
      <w:pPr>
        <w:keepNext w:val="0"/>
        <w:keepLines w:val="0"/>
        <w:pageBreakBefore w:val="0"/>
        <w:kinsoku/>
        <w:wordWrap/>
        <w:overflowPunct/>
        <w:topLinePunct w:val="0"/>
        <w:autoSpaceDE/>
        <w:autoSpaceDN/>
        <w:bidi w:val="0"/>
        <w:adjustRightInd w:val="0"/>
        <w:snapToGrid w:val="0"/>
        <w:spacing w:line="580" w:lineRule="exact"/>
        <w:ind w:firstLine="640" w:firstLineChars="200"/>
        <w:textAlignment w:val="auto"/>
        <w:rPr>
          <w:rFonts w:ascii="仿宋_GB2312" w:hAnsi="仿宋_GB2312" w:eastAsia="仿宋_GB2312" w:cs="仿宋_GB2312"/>
          <w:bCs/>
          <w:sz w:val="32"/>
          <w:szCs w:val="32"/>
        </w:rPr>
      </w:pPr>
      <w:r>
        <w:rPr>
          <w:rFonts w:hint="eastAsia" w:ascii="仿宋_GB2312" w:hAnsi="仿宋_GB2312" w:eastAsia="仿宋_GB2312" w:cs="仿宋_GB2312"/>
          <w:bCs/>
          <w:sz w:val="32"/>
          <w:szCs w:val="32"/>
        </w:rPr>
        <w:t>华容县202</w:t>
      </w:r>
      <w:r>
        <w:rPr>
          <w:rFonts w:hint="eastAsia" w:ascii="仿宋_GB2312" w:hAnsi="仿宋_GB2312" w:eastAsia="仿宋_GB2312" w:cs="仿宋_GB2312"/>
          <w:bCs/>
          <w:sz w:val="32"/>
          <w:szCs w:val="32"/>
          <w:lang w:val="en-US" w:eastAsia="zh-CN"/>
        </w:rPr>
        <w:t>3</w:t>
      </w:r>
      <w:r>
        <w:rPr>
          <w:rFonts w:hint="eastAsia" w:ascii="仿宋_GB2312" w:hAnsi="仿宋_GB2312" w:eastAsia="仿宋_GB2312" w:cs="仿宋_GB2312"/>
          <w:bCs/>
          <w:sz w:val="32"/>
          <w:szCs w:val="32"/>
        </w:rPr>
        <w:t>年</w:t>
      </w:r>
      <w:r>
        <w:rPr>
          <w:rFonts w:hint="eastAsia" w:ascii="仿宋_GB2312" w:hAnsi="仿宋_GB2312" w:eastAsia="仿宋_GB2312" w:cs="仿宋_GB2312"/>
          <w:bCs/>
          <w:sz w:val="32"/>
          <w:szCs w:val="32"/>
          <w:lang w:val="en-US" w:eastAsia="zh-CN"/>
        </w:rPr>
        <w:t>棉花</w:t>
      </w:r>
      <w:r>
        <w:rPr>
          <w:rFonts w:hint="eastAsia" w:ascii="仿宋_GB2312" w:hAnsi="仿宋_GB2312" w:eastAsia="仿宋_GB2312" w:cs="仿宋_GB2312"/>
          <w:bCs/>
          <w:sz w:val="32"/>
          <w:szCs w:val="32"/>
        </w:rPr>
        <w:t>大县奖励资金绩效评价工作包括以下三个阶段：</w:t>
      </w:r>
    </w:p>
    <w:p>
      <w:pPr>
        <w:keepNext w:val="0"/>
        <w:keepLines w:val="0"/>
        <w:pageBreakBefore w:val="0"/>
        <w:numPr>
          <w:ilvl w:val="0"/>
          <w:numId w:val="5"/>
        </w:numPr>
        <w:kinsoku/>
        <w:wordWrap/>
        <w:overflowPunct/>
        <w:topLinePunct w:val="0"/>
        <w:autoSpaceDE/>
        <w:autoSpaceDN/>
        <w:bidi w:val="0"/>
        <w:adjustRightInd w:val="0"/>
        <w:snapToGrid w:val="0"/>
        <w:spacing w:line="580" w:lineRule="exact"/>
        <w:ind w:firstLine="640" w:firstLineChars="200"/>
        <w:textAlignment w:val="auto"/>
        <w:rPr>
          <w:rFonts w:ascii="仿宋_GB2312" w:hAnsi="仿宋_GB2312" w:eastAsia="仿宋_GB2312" w:cs="仿宋_GB2312"/>
          <w:bCs/>
          <w:sz w:val="32"/>
          <w:szCs w:val="32"/>
        </w:rPr>
      </w:pPr>
      <w:r>
        <w:rPr>
          <w:rFonts w:hint="eastAsia" w:ascii="仿宋_GB2312" w:hAnsi="仿宋_GB2312" w:eastAsia="仿宋_GB2312" w:cs="仿宋_GB2312"/>
          <w:bCs/>
          <w:sz w:val="32"/>
          <w:szCs w:val="32"/>
        </w:rPr>
        <w:t>评价前期准备。华容县委、县政府领导高度重视，成立绩效评价工作组，根据本次绩效评价对象的特点，评价工作组拟定详细的评价工作方案。主要内容包括：项目概况、绩效评价的依据、评价主要内容、绩效评价指标体系及基础数据表、绩效评价方法、绩效评价工作的组织与实施。通过和被评价单位召开进点会，充分沟通本次绩效评价的内容和安排。结合本次绩效评价任务的特点和重点，绩效评价工作组成员进行培训学习，让绩效评价组人员充分了解</w:t>
      </w:r>
      <w:r>
        <w:rPr>
          <w:rFonts w:hint="eastAsia" w:ascii="仿宋_GB2312" w:hAnsi="仿宋_GB2312" w:eastAsia="仿宋_GB2312" w:cs="仿宋_GB2312"/>
          <w:bCs/>
          <w:sz w:val="32"/>
          <w:szCs w:val="32"/>
          <w:lang w:val="en-US" w:eastAsia="zh-CN"/>
        </w:rPr>
        <w:t>棉花</w:t>
      </w:r>
      <w:r>
        <w:rPr>
          <w:rFonts w:hint="eastAsia" w:ascii="仿宋_GB2312" w:hAnsi="仿宋_GB2312" w:eastAsia="仿宋_GB2312" w:cs="仿宋_GB2312"/>
          <w:bCs/>
          <w:sz w:val="32"/>
          <w:szCs w:val="32"/>
        </w:rPr>
        <w:t>大县奖励资金项目绩效目标计划，熟悉被评对象的实施管理和资金管理情况，掌握相关政策并熟练运用。</w:t>
      </w:r>
    </w:p>
    <w:p>
      <w:pPr>
        <w:keepNext w:val="0"/>
        <w:keepLines w:val="0"/>
        <w:pageBreakBefore w:val="0"/>
        <w:numPr>
          <w:ilvl w:val="0"/>
          <w:numId w:val="5"/>
        </w:numPr>
        <w:kinsoku/>
        <w:wordWrap/>
        <w:overflowPunct/>
        <w:topLinePunct w:val="0"/>
        <w:autoSpaceDE/>
        <w:autoSpaceDN/>
        <w:bidi w:val="0"/>
        <w:adjustRightInd w:val="0"/>
        <w:snapToGrid w:val="0"/>
        <w:spacing w:line="580" w:lineRule="exact"/>
        <w:ind w:firstLine="640" w:firstLineChars="200"/>
        <w:textAlignment w:val="auto"/>
        <w:rPr>
          <w:rFonts w:ascii="仿宋_GB2312" w:hAnsi="仿宋_GB2312" w:eastAsia="仿宋_GB2312" w:cs="仿宋_GB2312"/>
          <w:bCs/>
          <w:sz w:val="32"/>
          <w:szCs w:val="32"/>
        </w:rPr>
      </w:pPr>
      <w:r>
        <w:rPr>
          <w:rFonts w:hint="eastAsia" w:ascii="仿宋_GB2312" w:hAnsi="仿宋_GB2312" w:eastAsia="仿宋_GB2312" w:cs="仿宋_GB2312"/>
          <w:bCs/>
          <w:sz w:val="32"/>
          <w:szCs w:val="32"/>
        </w:rPr>
        <w:t>综合评价阶段。绩效评价工作组整理收集的全部资料，对评价对象进行定量定性分析和综合评价，根据评价指标体系初步计分，对项目整体进行分析，修正分值，形成基本结论，出具评价报告征求意见稿，征求相关部门的意见。</w:t>
      </w:r>
    </w:p>
    <w:p>
      <w:pPr>
        <w:keepNext w:val="0"/>
        <w:keepLines w:val="0"/>
        <w:pageBreakBefore w:val="0"/>
        <w:numPr>
          <w:ilvl w:val="0"/>
          <w:numId w:val="5"/>
        </w:numPr>
        <w:kinsoku/>
        <w:wordWrap/>
        <w:overflowPunct/>
        <w:topLinePunct w:val="0"/>
        <w:autoSpaceDE/>
        <w:autoSpaceDN/>
        <w:bidi w:val="0"/>
        <w:adjustRightInd w:val="0"/>
        <w:snapToGrid w:val="0"/>
        <w:spacing w:line="580" w:lineRule="exact"/>
        <w:ind w:firstLine="640" w:firstLineChars="200"/>
        <w:textAlignment w:val="auto"/>
        <w:rPr>
          <w:rFonts w:ascii="仿宋_GB2312" w:hAnsi="仿宋_GB2312" w:eastAsia="仿宋_GB2312" w:cs="仿宋_GB2312"/>
          <w:bCs/>
          <w:sz w:val="32"/>
          <w:szCs w:val="32"/>
        </w:rPr>
      </w:pPr>
      <w:r>
        <w:rPr>
          <w:rFonts w:hint="eastAsia" w:ascii="仿宋_GB2312" w:hAnsi="仿宋_GB2312" w:eastAsia="仿宋_GB2312" w:cs="仿宋_GB2312"/>
          <w:bCs/>
          <w:sz w:val="32"/>
          <w:szCs w:val="32"/>
        </w:rPr>
        <w:t>出具评价报告。根据各级相关主管部门、单位报送的材料、问卷调查进行综合分析，形成绩效评价初报告，在征求相关部门、单位意见后，对初评报告进行修改、完善，报绩效评价工作指导小组审定并形成定稿。</w:t>
      </w:r>
    </w:p>
    <w:p>
      <w:pPr>
        <w:keepNext w:val="0"/>
        <w:keepLines w:val="0"/>
        <w:pageBreakBefore w:val="0"/>
        <w:numPr>
          <w:ilvl w:val="0"/>
          <w:numId w:val="6"/>
        </w:numPr>
        <w:kinsoku/>
        <w:wordWrap/>
        <w:overflowPunct/>
        <w:topLinePunct w:val="0"/>
        <w:autoSpaceDE/>
        <w:autoSpaceDN/>
        <w:bidi w:val="0"/>
        <w:adjustRightInd w:val="0"/>
        <w:snapToGrid w:val="0"/>
        <w:spacing w:line="580" w:lineRule="exact"/>
        <w:ind w:firstLine="643" w:firstLineChars="200"/>
        <w:textAlignment w:val="auto"/>
        <w:rPr>
          <w:rFonts w:ascii="Times New Roman" w:hAnsi="Times New Roman" w:eastAsia="仿宋_GB2312" w:cs="Times New Roman"/>
          <w:sz w:val="32"/>
          <w:szCs w:val="32"/>
        </w:rPr>
      </w:pPr>
      <w:r>
        <w:rPr>
          <w:rStyle w:val="23"/>
        </w:rPr>
        <w:t>绩效评价指标分析。</w:t>
      </w:r>
    </w:p>
    <w:p>
      <w:pPr>
        <w:keepNext w:val="0"/>
        <w:keepLines w:val="0"/>
        <w:pageBreakBefore w:val="0"/>
        <w:widowControl w:val="0"/>
        <w:numPr>
          <w:ilvl w:val="0"/>
          <w:numId w:val="7"/>
        </w:numPr>
        <w:kinsoku/>
        <w:wordWrap/>
        <w:overflowPunct/>
        <w:topLinePunct w:val="0"/>
        <w:autoSpaceDE/>
        <w:autoSpaceDN/>
        <w:bidi w:val="0"/>
        <w:adjustRightInd/>
        <w:snapToGrid/>
        <w:spacing w:line="580" w:lineRule="exact"/>
        <w:ind w:firstLine="640" w:firstLineChars="200"/>
        <w:jc w:val="left"/>
        <w:textAlignment w:val="auto"/>
        <w:rPr>
          <w:rFonts w:hint="eastAsia" w:ascii="仿宋" w:hAnsi="仿宋" w:eastAsia="仿宋" w:cs="宋体"/>
          <w:kern w:val="2"/>
          <w:sz w:val="32"/>
          <w:szCs w:val="32"/>
          <w:lang w:val="en-US" w:eastAsia="zh-CN" w:bidi="ar-SA"/>
        </w:rPr>
      </w:pPr>
      <w:r>
        <w:rPr>
          <w:rFonts w:hint="default" w:ascii="仿宋" w:hAnsi="仿宋" w:eastAsia="仿宋" w:cs="宋体"/>
          <w:kern w:val="2"/>
          <w:sz w:val="32"/>
          <w:szCs w:val="32"/>
          <w:lang w:val="en-US" w:eastAsia="zh-CN" w:bidi="ar-SA"/>
        </w:rPr>
        <w:t>绩效目标</w:t>
      </w:r>
      <w:r>
        <w:rPr>
          <w:rFonts w:hint="eastAsia" w:ascii="仿宋" w:hAnsi="仿宋" w:eastAsia="仿宋" w:cs="宋体"/>
          <w:kern w:val="2"/>
          <w:sz w:val="32"/>
          <w:szCs w:val="32"/>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580" w:lineRule="exact"/>
        <w:ind w:firstLine="640" w:firstLineChars="200"/>
        <w:jc w:val="left"/>
        <w:textAlignment w:val="auto"/>
        <w:rPr>
          <w:rFonts w:hint="default" w:ascii="仿宋" w:hAnsi="仿宋" w:eastAsia="仿宋" w:cs="宋体"/>
          <w:kern w:val="2"/>
          <w:sz w:val="32"/>
          <w:szCs w:val="32"/>
          <w:lang w:val="en-US" w:eastAsia="zh-CN" w:bidi="ar-SA"/>
        </w:rPr>
      </w:pPr>
      <w:r>
        <w:rPr>
          <w:rFonts w:hint="eastAsia" w:ascii="仿宋" w:hAnsi="仿宋" w:eastAsia="仿宋" w:cs="宋体"/>
          <w:kern w:val="2"/>
          <w:sz w:val="32"/>
          <w:szCs w:val="32"/>
          <w:lang w:val="en-US" w:eastAsia="zh-CN" w:bidi="ar-SA"/>
        </w:rPr>
        <w:t>我县把稳定发展棉花生产作为当前一项重要工作，充分利用各种新闻媒体，通过移动终端、网络等媒介形式广泛宣传棉花生产相关政策、典型案例以及种植技术，在棉花生产主产乡镇有针对性地开展技术培训并印发技术资料，广泛动员农民开展棉花生产。制定并印发</w:t>
      </w:r>
      <w:r>
        <w:rPr>
          <w:rFonts w:hint="eastAsia" w:ascii="仿宋_GB2312" w:hAnsi="仿宋_GB2312" w:eastAsia="仿宋_GB2312" w:cs="仿宋_GB2312"/>
          <w:b w:val="0"/>
          <w:sz w:val="32"/>
          <w:szCs w:val="32"/>
          <w:lang w:eastAsia="zh-CN"/>
        </w:rPr>
        <w:t>《华容县</w:t>
      </w:r>
      <w:r>
        <w:rPr>
          <w:rFonts w:hint="eastAsia" w:ascii="仿宋_GB2312" w:hAnsi="仿宋_GB2312" w:eastAsia="仿宋_GB2312" w:cs="仿宋_GB2312"/>
          <w:b w:val="0"/>
          <w:sz w:val="32"/>
          <w:szCs w:val="32"/>
          <w:lang w:val="en-US" w:eastAsia="zh-CN"/>
        </w:rPr>
        <w:t>2023年棉花大县实施方案</w:t>
      </w:r>
      <w:r>
        <w:rPr>
          <w:rFonts w:hint="eastAsia" w:ascii="仿宋_GB2312" w:hAnsi="仿宋_GB2312" w:eastAsia="仿宋_GB2312" w:cs="仿宋_GB2312"/>
          <w:b w:val="0"/>
          <w:sz w:val="32"/>
          <w:szCs w:val="32"/>
          <w:lang w:eastAsia="zh-CN"/>
        </w:rPr>
        <w:t>》、</w:t>
      </w:r>
      <w:r>
        <w:rPr>
          <w:rFonts w:hint="eastAsia" w:ascii="仿宋_GB2312" w:hAnsi="仿宋_GB2312" w:eastAsia="仿宋_GB2312" w:cs="仿宋_GB2312"/>
          <w:b w:val="0"/>
          <w:sz w:val="32"/>
          <w:szCs w:val="32"/>
          <w:lang w:val="en-US" w:eastAsia="zh-CN"/>
        </w:rPr>
        <w:t>《华容县 2023年度棉花“专业仓储监管+在库公证检验”试点工作实施方案》、</w:t>
      </w:r>
      <w:r>
        <w:rPr>
          <w:rFonts w:hint="eastAsia" w:ascii="仿宋_GB2312" w:hAnsi="仿宋_GB2312" w:eastAsia="仿宋_GB2312" w:cs="仿宋_GB2312"/>
          <w:b w:val="0"/>
          <w:sz w:val="32"/>
          <w:szCs w:val="32"/>
          <w:lang w:eastAsia="zh-CN"/>
        </w:rPr>
        <w:t>《</w:t>
      </w:r>
      <w:r>
        <w:rPr>
          <w:rFonts w:hint="eastAsia" w:ascii="仿宋_GB2312" w:hAnsi="仿宋_GB2312" w:eastAsia="仿宋_GB2312" w:cs="仿宋_GB2312"/>
          <w:b w:val="0"/>
          <w:sz w:val="32"/>
          <w:szCs w:val="32"/>
          <w:lang w:val="en-US" w:eastAsia="zh-CN"/>
        </w:rPr>
        <w:t>华容县2023年机采棉规模化生产示范项目实施方案</w:t>
      </w:r>
      <w:r>
        <w:rPr>
          <w:rFonts w:hint="eastAsia" w:ascii="仿宋_GB2312" w:hAnsi="仿宋_GB2312" w:eastAsia="仿宋_GB2312" w:cs="仿宋_GB2312"/>
          <w:b w:val="0"/>
          <w:sz w:val="32"/>
          <w:szCs w:val="32"/>
          <w:lang w:eastAsia="zh-CN"/>
        </w:rPr>
        <w:t>》</w:t>
      </w:r>
      <w:r>
        <w:rPr>
          <w:rFonts w:hint="eastAsia" w:ascii="仿宋" w:hAnsi="仿宋" w:eastAsia="仿宋" w:cs="宋体"/>
          <w:kern w:val="2"/>
          <w:sz w:val="32"/>
          <w:szCs w:val="32"/>
          <w:lang w:val="en-US" w:eastAsia="zh-CN" w:bidi="ar-SA"/>
        </w:rPr>
        <w:t>，明确目标任务，压实工作责任，并落实到乡镇、到村组、到农户、到地块。华容县农业农村局联合华容县财政局制定并印发</w:t>
      </w:r>
      <w:r>
        <w:rPr>
          <w:rFonts w:hint="eastAsia" w:ascii="仿宋_GB2312" w:hAnsi="仿宋_GB2312" w:eastAsia="仿宋_GB2312" w:cs="仿宋_GB2312"/>
          <w:b w:val="0"/>
          <w:sz w:val="32"/>
          <w:szCs w:val="32"/>
          <w:lang w:eastAsia="zh-CN"/>
        </w:rPr>
        <w:t>《</w:t>
      </w:r>
      <w:r>
        <w:rPr>
          <w:rFonts w:hint="eastAsia" w:ascii="仿宋_GB2312" w:hAnsi="仿宋_GB2312" w:eastAsia="仿宋_GB2312" w:cs="仿宋_GB2312"/>
          <w:sz w:val="32"/>
          <w:szCs w:val="32"/>
          <w:lang w:val="en-US" w:eastAsia="zh-CN"/>
        </w:rPr>
        <w:t>2023年华容县棉花大县奖励资金实施方案</w:t>
      </w:r>
      <w:r>
        <w:rPr>
          <w:rFonts w:hint="eastAsia" w:ascii="仿宋_GB2312" w:hAnsi="仿宋_GB2312" w:eastAsia="仿宋_GB2312" w:cs="仿宋_GB2312"/>
          <w:b w:val="0"/>
          <w:sz w:val="32"/>
          <w:szCs w:val="32"/>
          <w:lang w:eastAsia="zh-CN"/>
        </w:rPr>
        <w:t>》</w:t>
      </w:r>
      <w:r>
        <w:rPr>
          <w:rFonts w:hint="eastAsia" w:ascii="仿宋" w:hAnsi="仿宋" w:eastAsia="仿宋" w:cs="宋体"/>
          <w:kern w:val="2"/>
          <w:sz w:val="32"/>
          <w:szCs w:val="32"/>
          <w:lang w:val="en-US" w:eastAsia="zh-CN" w:bidi="ar-SA"/>
        </w:rPr>
        <w:t>，并按照政策要求将棉花大县奖励资金落到实处，调动农民种棉积极性，提高我县棉花质量效益和竞争力，促进我县棉花高质量发展。</w:t>
      </w:r>
    </w:p>
    <w:p>
      <w:pPr>
        <w:keepNext w:val="0"/>
        <w:keepLines w:val="0"/>
        <w:pageBreakBefore w:val="0"/>
        <w:widowControl w:val="0"/>
        <w:numPr>
          <w:ilvl w:val="0"/>
          <w:numId w:val="0"/>
        </w:numPr>
        <w:kinsoku/>
        <w:wordWrap/>
        <w:overflowPunct/>
        <w:topLinePunct w:val="0"/>
        <w:autoSpaceDE/>
        <w:autoSpaceDN/>
        <w:bidi w:val="0"/>
        <w:adjustRightInd/>
        <w:snapToGrid/>
        <w:spacing w:line="580" w:lineRule="exact"/>
        <w:ind w:firstLine="640" w:firstLineChars="200"/>
        <w:jc w:val="left"/>
        <w:textAlignment w:val="auto"/>
        <w:rPr>
          <w:rFonts w:hint="eastAsia" w:ascii="仿宋" w:hAnsi="仿宋" w:eastAsia="仿宋" w:cs="宋体"/>
          <w:kern w:val="2"/>
          <w:sz w:val="32"/>
          <w:szCs w:val="32"/>
          <w:lang w:val="en-US" w:eastAsia="zh-CN" w:bidi="ar-SA"/>
        </w:rPr>
      </w:pPr>
      <w:r>
        <w:rPr>
          <w:rFonts w:hint="eastAsia" w:ascii="仿宋" w:hAnsi="仿宋" w:eastAsia="仿宋" w:cs="宋体"/>
          <w:kern w:val="2"/>
          <w:sz w:val="32"/>
          <w:szCs w:val="32"/>
          <w:lang w:val="en-US" w:eastAsia="zh-CN" w:bidi="ar-SA"/>
        </w:rPr>
        <w:t>成立华容县农业农村局2023年棉花大县奖励资金绩效自评工作小组，并与2024年1月31日前完成绩效自评工作。</w:t>
      </w:r>
    </w:p>
    <w:p>
      <w:pPr>
        <w:pStyle w:val="11"/>
        <w:keepNext w:val="0"/>
        <w:keepLines w:val="0"/>
        <w:pageBreakBefore w:val="0"/>
        <w:numPr>
          <w:ilvl w:val="0"/>
          <w:numId w:val="7"/>
        </w:numPr>
        <w:kinsoku/>
        <w:wordWrap/>
        <w:overflowPunct/>
        <w:topLinePunct w:val="0"/>
        <w:autoSpaceDE/>
        <w:autoSpaceDN/>
        <w:bidi w:val="0"/>
        <w:spacing w:line="580" w:lineRule="exact"/>
        <w:ind w:left="0" w:leftChars="0" w:firstLine="640" w:firstLineChars="200"/>
        <w:textAlignment w:val="auto"/>
        <w:rPr>
          <w:rFonts w:hint="eastAsia" w:ascii="仿宋" w:hAnsi="仿宋" w:eastAsia="仿宋" w:cs="宋体"/>
          <w:kern w:val="2"/>
          <w:sz w:val="32"/>
          <w:szCs w:val="32"/>
          <w:lang w:val="en-US" w:eastAsia="zh-CN" w:bidi="ar-SA"/>
        </w:rPr>
      </w:pPr>
      <w:r>
        <w:rPr>
          <w:rFonts w:hint="eastAsia" w:ascii="仿宋" w:hAnsi="仿宋" w:eastAsia="仿宋" w:cs="宋体"/>
          <w:kern w:val="2"/>
          <w:sz w:val="32"/>
          <w:szCs w:val="32"/>
          <w:lang w:val="en-US" w:eastAsia="zh-CN" w:bidi="ar-SA"/>
        </w:rPr>
        <w:t>资金和项目管理</w:t>
      </w:r>
    </w:p>
    <w:p>
      <w:pPr>
        <w:pStyle w:val="11"/>
        <w:keepNext w:val="0"/>
        <w:keepLines w:val="0"/>
        <w:pageBreakBefore w:val="0"/>
        <w:numPr>
          <w:ilvl w:val="0"/>
          <w:numId w:val="0"/>
        </w:numPr>
        <w:kinsoku/>
        <w:wordWrap/>
        <w:overflowPunct/>
        <w:topLinePunct w:val="0"/>
        <w:autoSpaceDE/>
        <w:autoSpaceDN/>
        <w:bidi w:val="0"/>
        <w:spacing w:line="580" w:lineRule="exact"/>
        <w:ind w:firstLine="640" w:firstLineChars="200"/>
        <w:textAlignment w:val="auto"/>
        <w:rPr>
          <w:rFonts w:hint="eastAsia" w:ascii="仿宋_GB2312" w:hAnsi="仿宋_GB2312" w:eastAsia="仿宋_GB2312" w:cs="仿宋_GB2312"/>
          <w:sz w:val="32"/>
          <w:szCs w:val="32"/>
        </w:rPr>
      </w:pPr>
      <w:r>
        <w:rPr>
          <w:rFonts w:hint="eastAsia" w:ascii="仿宋" w:hAnsi="仿宋" w:eastAsia="仿宋" w:cs="宋体"/>
          <w:kern w:val="2"/>
          <w:sz w:val="32"/>
          <w:szCs w:val="32"/>
          <w:lang w:val="en-US" w:eastAsia="zh-CN" w:bidi="ar-SA"/>
        </w:rPr>
        <w:t>（1）制度健全性和使用合规性。</w:t>
      </w:r>
      <w:r>
        <w:rPr>
          <w:rFonts w:hint="eastAsia" w:ascii="仿宋_GB2312" w:hAnsi="仿宋_GB2312" w:eastAsia="仿宋_GB2312" w:cs="仿宋_GB2312"/>
          <w:sz w:val="32"/>
          <w:szCs w:val="32"/>
        </w:rPr>
        <w:t>为规范和加强</w:t>
      </w:r>
      <w:r>
        <w:rPr>
          <w:rFonts w:hint="eastAsia" w:ascii="仿宋_GB2312" w:hAnsi="仿宋_GB2312" w:eastAsia="仿宋_GB2312" w:cs="仿宋_GB2312"/>
          <w:sz w:val="32"/>
          <w:szCs w:val="32"/>
          <w:lang w:val="en-US" w:eastAsia="zh-CN"/>
        </w:rPr>
        <w:t>棉花</w:t>
      </w:r>
      <w:r>
        <w:rPr>
          <w:rFonts w:hint="eastAsia" w:ascii="仿宋_GB2312" w:hAnsi="仿宋_GB2312" w:eastAsia="仿宋_GB2312" w:cs="仿宋_GB2312"/>
          <w:sz w:val="32"/>
          <w:szCs w:val="32"/>
        </w:rPr>
        <w:t>大县奖励资金管理，提高资金使用效益，确保专款专用，制定出台了《华容县</w:t>
      </w:r>
      <w:r>
        <w:rPr>
          <w:rFonts w:hint="eastAsia" w:ascii="仿宋_GB2312" w:hAnsi="仿宋_GB2312" w:eastAsia="仿宋_GB2312" w:cs="仿宋_GB2312"/>
          <w:sz w:val="32"/>
          <w:szCs w:val="32"/>
          <w:lang w:val="en-US" w:eastAsia="zh-CN"/>
        </w:rPr>
        <w:t>棉花</w:t>
      </w:r>
      <w:r>
        <w:rPr>
          <w:rFonts w:hint="eastAsia" w:ascii="仿宋_GB2312" w:hAnsi="仿宋_GB2312" w:eastAsia="仿宋_GB2312" w:cs="仿宋_GB2312"/>
          <w:sz w:val="32"/>
          <w:szCs w:val="32"/>
        </w:rPr>
        <w:t>大县奖励资金管理办法》，由县财政局负责资金监督管理，县农业局负责项目管理，并经常性对奖励资金进行专项检查，及时追踪问效，对违反财经纪律、违规使用奖励资金的，将已拨资金全额扣回，取消享受奖励政策资格，并追究相关单位和人员的责任。</w:t>
      </w:r>
    </w:p>
    <w:p>
      <w:pPr>
        <w:pStyle w:val="11"/>
        <w:keepNext w:val="0"/>
        <w:keepLines w:val="0"/>
        <w:pageBreakBefore w:val="0"/>
        <w:numPr>
          <w:ilvl w:val="0"/>
          <w:numId w:val="0"/>
        </w:numPr>
        <w:kinsoku/>
        <w:wordWrap/>
        <w:overflowPunct/>
        <w:topLinePunct w:val="0"/>
        <w:autoSpaceDE/>
        <w:autoSpaceDN/>
        <w:bidi w:val="0"/>
        <w:spacing w:line="580" w:lineRule="exact"/>
        <w:ind w:firstLine="640"/>
        <w:textAlignment w:val="auto"/>
        <w:rPr>
          <w:rFonts w:hint="eastAsia" w:ascii="仿宋" w:hAnsi="仿宋" w:eastAsia="仿宋" w:cs="宋体"/>
          <w:kern w:val="2"/>
          <w:sz w:val="32"/>
          <w:szCs w:val="32"/>
          <w:lang w:val="en-US" w:eastAsia="zh-CN" w:bidi="ar-SA"/>
        </w:rPr>
      </w:pPr>
      <w:r>
        <w:rPr>
          <w:rFonts w:hint="eastAsia" w:ascii="仿宋" w:hAnsi="仿宋" w:eastAsia="仿宋" w:cs="宋体"/>
          <w:kern w:val="2"/>
          <w:sz w:val="32"/>
          <w:szCs w:val="32"/>
          <w:lang w:val="en-US" w:eastAsia="zh-CN" w:bidi="ar-SA"/>
        </w:rPr>
        <w:t>未有出现挤占、截留或其他违法违规行为。</w:t>
      </w:r>
    </w:p>
    <w:p>
      <w:pPr>
        <w:pStyle w:val="11"/>
        <w:keepNext w:val="0"/>
        <w:keepLines w:val="0"/>
        <w:pageBreakBefore w:val="0"/>
        <w:numPr>
          <w:ilvl w:val="0"/>
          <w:numId w:val="0"/>
        </w:numPr>
        <w:kinsoku/>
        <w:wordWrap/>
        <w:overflowPunct/>
        <w:topLinePunct w:val="0"/>
        <w:autoSpaceDE/>
        <w:autoSpaceDN/>
        <w:bidi w:val="0"/>
        <w:spacing w:line="580" w:lineRule="exact"/>
        <w:ind w:firstLine="640" w:firstLineChars="200"/>
        <w:textAlignment w:val="auto"/>
        <w:rPr>
          <w:rFonts w:hint="eastAsia" w:ascii="仿宋" w:hAnsi="仿宋" w:eastAsia="仿宋" w:cs="宋体"/>
          <w:kern w:val="2"/>
          <w:sz w:val="32"/>
          <w:szCs w:val="32"/>
          <w:lang w:val="en-US" w:eastAsia="zh-CN" w:bidi="ar-SA"/>
        </w:rPr>
      </w:pPr>
      <w:r>
        <w:rPr>
          <w:rFonts w:hint="eastAsia" w:ascii="仿宋" w:hAnsi="仿宋" w:eastAsia="仿宋" w:cs="宋体"/>
          <w:kern w:val="2"/>
          <w:sz w:val="32"/>
          <w:szCs w:val="32"/>
          <w:lang w:val="en-US" w:eastAsia="zh-CN" w:bidi="ar-SA"/>
        </w:rPr>
        <w:t>（2）预算执行率。2023年下达我县棉花大县奖励资金14232.78万元（其中机采棉规模化示范30万元，专业仓储与质量公检专项82万元），资金到位率为100％。截至目前，我县2023年棉花大县奖励资金完成执行4232.78万元，预算执行率100％。</w:t>
      </w:r>
    </w:p>
    <w:p>
      <w:pPr>
        <w:pStyle w:val="11"/>
        <w:keepNext w:val="0"/>
        <w:keepLines w:val="0"/>
        <w:pageBreakBefore w:val="0"/>
        <w:numPr>
          <w:ilvl w:val="0"/>
          <w:numId w:val="0"/>
        </w:numPr>
        <w:kinsoku/>
        <w:wordWrap/>
        <w:overflowPunct/>
        <w:topLinePunct w:val="0"/>
        <w:autoSpaceDE/>
        <w:autoSpaceDN/>
        <w:bidi w:val="0"/>
        <w:spacing w:line="580" w:lineRule="exact"/>
        <w:ind w:firstLine="960" w:firstLineChars="300"/>
        <w:textAlignment w:val="auto"/>
        <w:rPr>
          <w:rFonts w:hint="eastAsia" w:ascii="仿宋" w:hAnsi="仿宋" w:eastAsia="仿宋" w:cs="宋体"/>
          <w:kern w:val="2"/>
          <w:sz w:val="32"/>
          <w:szCs w:val="32"/>
          <w:lang w:val="en-US" w:eastAsia="zh-CN" w:bidi="ar-SA"/>
        </w:rPr>
      </w:pPr>
      <w:r>
        <w:rPr>
          <w:rFonts w:hint="eastAsia" w:ascii="仿宋" w:hAnsi="仿宋" w:eastAsia="仿宋" w:cs="宋体"/>
          <w:kern w:val="2"/>
          <w:sz w:val="32"/>
          <w:szCs w:val="32"/>
          <w:lang w:val="en-US" w:eastAsia="zh-CN" w:bidi="ar-SA"/>
        </w:rPr>
        <w:t>3、数量指标</w:t>
      </w:r>
    </w:p>
    <w:p>
      <w:pPr>
        <w:pStyle w:val="11"/>
        <w:keepNext w:val="0"/>
        <w:keepLines w:val="0"/>
        <w:pageBreakBefore w:val="0"/>
        <w:numPr>
          <w:ilvl w:val="0"/>
          <w:numId w:val="0"/>
        </w:numPr>
        <w:kinsoku/>
        <w:wordWrap/>
        <w:overflowPunct/>
        <w:topLinePunct w:val="0"/>
        <w:autoSpaceDE/>
        <w:autoSpaceDN/>
        <w:bidi w:val="0"/>
        <w:spacing w:line="580" w:lineRule="exact"/>
        <w:ind w:firstLine="640" w:firstLineChars="200"/>
        <w:textAlignment w:val="auto"/>
        <w:rPr>
          <w:rFonts w:hint="eastAsia" w:ascii="仿宋" w:hAnsi="仿宋" w:eastAsia="仿宋" w:cs="宋体"/>
          <w:kern w:val="2"/>
          <w:sz w:val="32"/>
          <w:szCs w:val="32"/>
          <w:lang w:val="en-US" w:eastAsia="zh-CN" w:bidi="ar-SA"/>
        </w:rPr>
      </w:pPr>
      <w:r>
        <w:rPr>
          <w:rFonts w:hint="eastAsia" w:ascii="仿宋" w:hAnsi="仿宋" w:eastAsia="仿宋" w:cs="宋体"/>
          <w:kern w:val="2"/>
          <w:sz w:val="32"/>
          <w:szCs w:val="32"/>
          <w:lang w:val="en-US" w:eastAsia="zh-CN" w:bidi="ar-SA"/>
        </w:rPr>
        <w:t>（1）棉花面积和产量。我县申报面积9.5万亩，实际落实面积9.5万亩，稳定了棉花播种面积，完成目标任务；根据统计局公布数据，2023年皮棉单产91.14公斤/亩，较去年增加（2022年皮棉单产89.05公斤/亩），总产量0.87万吨。</w:t>
      </w:r>
    </w:p>
    <w:p>
      <w:pPr>
        <w:pStyle w:val="11"/>
        <w:keepNext w:val="0"/>
        <w:keepLines w:val="0"/>
        <w:pageBreakBefore w:val="0"/>
        <w:numPr>
          <w:ilvl w:val="0"/>
          <w:numId w:val="0"/>
        </w:numPr>
        <w:kinsoku/>
        <w:wordWrap/>
        <w:overflowPunct/>
        <w:topLinePunct w:val="0"/>
        <w:autoSpaceDE/>
        <w:autoSpaceDN/>
        <w:bidi w:val="0"/>
        <w:spacing w:line="580" w:lineRule="exact"/>
        <w:ind w:firstLine="640" w:firstLineChars="200"/>
        <w:textAlignment w:val="auto"/>
        <w:rPr>
          <w:rFonts w:hint="eastAsia" w:ascii="仿宋" w:hAnsi="仿宋" w:eastAsia="仿宋" w:cs="宋体"/>
          <w:kern w:val="2"/>
          <w:sz w:val="32"/>
          <w:szCs w:val="32"/>
          <w:lang w:val="en-US" w:eastAsia="zh-CN" w:bidi="ar-SA"/>
        </w:rPr>
      </w:pPr>
      <w:r>
        <w:rPr>
          <w:rFonts w:hint="eastAsia" w:ascii="仿宋" w:hAnsi="仿宋" w:eastAsia="仿宋" w:cs="宋体"/>
          <w:kern w:val="2"/>
          <w:sz w:val="32"/>
          <w:szCs w:val="32"/>
          <w:lang w:val="en-US" w:eastAsia="zh-CN" w:bidi="ar-SA"/>
        </w:rPr>
        <w:t>机采棉规模示范申报面积200亩，实际完成203亩。</w:t>
      </w:r>
    </w:p>
    <w:p>
      <w:pPr>
        <w:pStyle w:val="11"/>
        <w:keepNext w:val="0"/>
        <w:keepLines w:val="0"/>
        <w:pageBreakBefore w:val="0"/>
        <w:numPr>
          <w:ilvl w:val="0"/>
          <w:numId w:val="0"/>
        </w:numPr>
        <w:kinsoku/>
        <w:wordWrap/>
        <w:overflowPunct/>
        <w:topLinePunct w:val="0"/>
        <w:autoSpaceDE/>
        <w:autoSpaceDN/>
        <w:bidi w:val="0"/>
        <w:spacing w:line="580" w:lineRule="exact"/>
        <w:ind w:firstLine="640" w:firstLineChars="200"/>
        <w:textAlignment w:val="auto"/>
        <w:rPr>
          <w:rFonts w:hint="default" w:ascii="仿宋" w:hAnsi="仿宋" w:eastAsia="仿宋" w:cs="宋体"/>
          <w:kern w:val="2"/>
          <w:sz w:val="32"/>
          <w:szCs w:val="32"/>
          <w:lang w:val="en-US" w:eastAsia="zh-CN" w:bidi="ar-SA"/>
        </w:rPr>
      </w:pPr>
      <w:r>
        <w:rPr>
          <w:rFonts w:hint="eastAsia" w:ascii="仿宋" w:hAnsi="仿宋" w:eastAsia="仿宋" w:cs="宋体"/>
          <w:kern w:val="2"/>
          <w:sz w:val="32"/>
          <w:szCs w:val="32"/>
          <w:lang w:val="en-US" w:eastAsia="zh-CN" w:bidi="ar-SA"/>
        </w:rPr>
        <w:t>棉花“专业仓储+在库公检”试点我县任务2280吨皮棉，实际完成2294.945吨皮棉。</w:t>
      </w:r>
    </w:p>
    <w:p>
      <w:pPr>
        <w:keepNext w:val="0"/>
        <w:keepLines w:val="0"/>
        <w:pageBreakBefore w:val="0"/>
        <w:widowControl w:val="0"/>
        <w:numPr>
          <w:ilvl w:val="0"/>
          <w:numId w:val="0"/>
        </w:numPr>
        <w:kinsoku/>
        <w:wordWrap/>
        <w:overflowPunct/>
        <w:topLinePunct w:val="0"/>
        <w:autoSpaceDE/>
        <w:autoSpaceDN/>
        <w:bidi w:val="0"/>
        <w:adjustRightInd/>
        <w:snapToGrid/>
        <w:spacing w:line="580" w:lineRule="exact"/>
        <w:ind w:leftChars="200" w:firstLine="624" w:firstLineChars="200"/>
        <w:textAlignment w:val="auto"/>
        <w:rPr>
          <w:rFonts w:hint="eastAsia" w:ascii="宋体" w:hAnsi="宋体" w:eastAsia="仿宋_GB2312" w:cs="Times New Roman"/>
          <w:color w:val="000000"/>
          <w:spacing w:val="-4"/>
          <w:kern w:val="2"/>
          <w:sz w:val="32"/>
          <w:szCs w:val="32"/>
          <w:lang w:val="en-US" w:eastAsia="zh-CN" w:bidi="ar-SA"/>
        </w:rPr>
      </w:pPr>
      <w:r>
        <w:rPr>
          <w:rFonts w:hint="eastAsia" w:ascii="宋体" w:hAnsi="宋体" w:eastAsia="仿宋_GB2312" w:cs="Times New Roman"/>
          <w:color w:val="000000"/>
          <w:spacing w:val="-4"/>
          <w:kern w:val="2"/>
          <w:sz w:val="32"/>
          <w:szCs w:val="32"/>
          <w:lang w:val="en-US" w:eastAsia="zh-CN" w:bidi="ar-SA"/>
        </w:rPr>
        <w:t>4、质量指标</w:t>
      </w:r>
    </w:p>
    <w:p>
      <w:pPr>
        <w:keepNext w:val="0"/>
        <w:keepLines w:val="0"/>
        <w:pageBreakBefore w:val="0"/>
        <w:widowControl w:val="0"/>
        <w:numPr>
          <w:ilvl w:val="0"/>
          <w:numId w:val="8"/>
        </w:numPr>
        <w:kinsoku/>
        <w:wordWrap/>
        <w:overflowPunct/>
        <w:topLinePunct w:val="0"/>
        <w:autoSpaceDE/>
        <w:autoSpaceDN/>
        <w:bidi w:val="0"/>
        <w:adjustRightInd/>
        <w:snapToGrid/>
        <w:spacing w:line="580" w:lineRule="exact"/>
        <w:ind w:firstLine="624" w:firstLineChars="200"/>
        <w:textAlignment w:val="auto"/>
        <w:rPr>
          <w:rFonts w:hint="default" w:ascii="Times New Roman" w:hAnsi="Times New Roman" w:eastAsia="仿宋_GB2312" w:cs="Times New Roman"/>
          <w:sz w:val="32"/>
          <w:lang w:val="en-US" w:eastAsia="zh-CN"/>
        </w:rPr>
      </w:pPr>
      <w:r>
        <w:rPr>
          <w:rFonts w:hint="eastAsia" w:ascii="宋体" w:hAnsi="宋体" w:eastAsia="仿宋_GB2312" w:cs="Times New Roman"/>
          <w:color w:val="000000"/>
          <w:spacing w:val="-4"/>
          <w:kern w:val="2"/>
          <w:sz w:val="32"/>
          <w:szCs w:val="32"/>
          <w:lang w:val="en-US" w:eastAsia="zh-CN" w:bidi="ar-SA"/>
        </w:rPr>
        <w:t>棉花质量。</w:t>
      </w:r>
      <w:r>
        <w:rPr>
          <w:rFonts w:hint="eastAsia" w:ascii="仿宋_GB2312" w:hAnsi="Times New Roman" w:eastAsia="仿宋_GB2312" w:cs="Times New Roman"/>
          <w:kern w:val="0"/>
          <w:sz w:val="32"/>
          <w:szCs w:val="32"/>
          <w:lang w:val="en-US" w:eastAsia="zh-CN"/>
        </w:rPr>
        <w:t>一是推广高产、抗病虫的湘杂棉系列、中棉所系列、国欣棉系列品种，良种覆盖率在90%以上；二是引进适宜机播机收的棉花品种湘XH50、湘X1251，推广机械直播技术，</w:t>
      </w:r>
      <w:r>
        <w:rPr>
          <w:rFonts w:hint="eastAsia" w:ascii="仿宋" w:hAnsi="仿宋" w:eastAsia="仿宋" w:cs="Times New Roman"/>
          <w:color w:val="auto"/>
          <w:sz w:val="32"/>
          <w:szCs w:val="32"/>
          <w:lang w:val="en-US" w:eastAsia="zh-CN"/>
        </w:rPr>
        <w:t>在注滋口镇注西村完成机采棉示范种植面积203亩，</w:t>
      </w:r>
      <w:r>
        <w:rPr>
          <w:rFonts w:hint="eastAsia" w:ascii="仿宋_GB2312" w:hAnsi="仿宋_GB2312" w:eastAsia="仿宋_GB2312" w:cs="仿宋_GB2312"/>
          <w:sz w:val="32"/>
          <w:szCs w:val="32"/>
          <w:highlight w:val="none"/>
          <w:lang w:val="en-US" w:eastAsia="zh-CN"/>
        </w:rPr>
        <w:t>在新河乡、章华镇各建立一个直播轻简化栽培示范片，示范面积300亩</w:t>
      </w:r>
      <w:r>
        <w:rPr>
          <w:rFonts w:hint="eastAsia" w:ascii="宋体" w:hAnsi="宋体" w:eastAsia="仿宋_GB2312" w:cs="Times New Roman"/>
          <w:color w:val="000000"/>
          <w:spacing w:val="-4"/>
          <w:kern w:val="2"/>
          <w:sz w:val="32"/>
          <w:szCs w:val="32"/>
          <w:lang w:val="en-US" w:eastAsia="zh-CN" w:bidi="ar-SA"/>
        </w:rPr>
        <w:t>；三是</w:t>
      </w:r>
      <w:r>
        <w:rPr>
          <w:rFonts w:hint="eastAsia" w:ascii="仿宋_GB2312" w:hAnsi="Times New Roman" w:eastAsia="仿宋_GB2312" w:cs="Times New Roman"/>
          <w:sz w:val="32"/>
          <w:szCs w:val="32"/>
          <w:lang w:val="en-US" w:eastAsia="zh-CN"/>
        </w:rPr>
        <w:t>大力</w:t>
      </w:r>
      <w:r>
        <w:rPr>
          <w:rFonts w:hint="eastAsia" w:ascii="仿宋_GB2312" w:hAnsi="Times New Roman" w:eastAsia="仿宋_GB2312" w:cs="Times New Roman"/>
          <w:kern w:val="0"/>
          <w:sz w:val="32"/>
          <w:szCs w:val="32"/>
        </w:rPr>
        <w:t>推广棉</w:t>
      </w:r>
      <w:r>
        <w:rPr>
          <w:rFonts w:hint="eastAsia" w:ascii="仿宋_GB2312" w:hAnsi="Times New Roman" w:eastAsia="仿宋_GB2312" w:cs="Times New Roman"/>
          <w:kern w:val="0"/>
          <w:sz w:val="32"/>
          <w:szCs w:val="32"/>
          <w:lang w:val="en-US" w:eastAsia="zh-CN"/>
        </w:rPr>
        <w:t>花</w:t>
      </w:r>
      <w:r>
        <w:rPr>
          <w:rFonts w:hint="eastAsia" w:ascii="仿宋_GB2312" w:hAnsi="Times New Roman" w:eastAsia="仿宋_GB2312" w:cs="Times New Roman"/>
          <w:kern w:val="0"/>
          <w:sz w:val="32"/>
          <w:szCs w:val="32"/>
        </w:rPr>
        <w:t>-</w:t>
      </w:r>
      <w:r>
        <w:rPr>
          <w:rFonts w:hint="eastAsia" w:ascii="仿宋_GB2312" w:hAnsi="Times New Roman" w:eastAsia="仿宋_GB2312" w:cs="Times New Roman"/>
          <w:kern w:val="0"/>
          <w:sz w:val="32"/>
          <w:szCs w:val="32"/>
          <w:lang w:val="en-US" w:eastAsia="zh-CN"/>
        </w:rPr>
        <w:t>豇</w:t>
      </w:r>
      <w:r>
        <w:rPr>
          <w:rFonts w:hint="eastAsia" w:ascii="仿宋_GB2312" w:hAnsi="Times New Roman" w:eastAsia="仿宋_GB2312" w:cs="Times New Roman"/>
          <w:kern w:val="0"/>
          <w:sz w:val="32"/>
          <w:szCs w:val="32"/>
        </w:rPr>
        <w:t>豆</w:t>
      </w:r>
      <w:r>
        <w:rPr>
          <w:rFonts w:hint="eastAsia" w:ascii="仿宋_GB2312" w:hAnsi="Times New Roman" w:eastAsia="仿宋_GB2312" w:cs="Times New Roman"/>
          <w:kern w:val="0"/>
          <w:sz w:val="32"/>
          <w:szCs w:val="32"/>
          <w:lang w:eastAsia="zh-CN"/>
        </w:rPr>
        <w:t>、</w:t>
      </w:r>
      <w:r>
        <w:rPr>
          <w:rFonts w:hint="eastAsia" w:ascii="仿宋_GB2312" w:hAnsi="Times New Roman" w:eastAsia="仿宋_GB2312" w:cs="Times New Roman"/>
          <w:kern w:val="0"/>
          <w:sz w:val="32"/>
          <w:szCs w:val="32"/>
        </w:rPr>
        <w:t>棉</w:t>
      </w:r>
      <w:r>
        <w:rPr>
          <w:rFonts w:hint="eastAsia" w:ascii="仿宋_GB2312" w:hAnsi="Times New Roman" w:eastAsia="仿宋_GB2312" w:cs="Times New Roman"/>
          <w:kern w:val="0"/>
          <w:sz w:val="32"/>
          <w:szCs w:val="32"/>
          <w:lang w:val="en-US" w:eastAsia="zh-CN"/>
        </w:rPr>
        <w:t>花</w:t>
      </w:r>
      <w:r>
        <w:rPr>
          <w:rFonts w:hint="eastAsia" w:ascii="仿宋_GB2312" w:hAnsi="Times New Roman" w:eastAsia="仿宋_GB2312" w:cs="Times New Roman"/>
          <w:kern w:val="0"/>
          <w:sz w:val="32"/>
          <w:szCs w:val="32"/>
        </w:rPr>
        <w:t>-</w:t>
      </w:r>
      <w:r>
        <w:rPr>
          <w:rFonts w:hint="eastAsia" w:ascii="仿宋_GB2312" w:hAnsi="Times New Roman" w:eastAsia="仿宋_GB2312" w:cs="Times New Roman"/>
          <w:kern w:val="0"/>
          <w:sz w:val="32"/>
          <w:szCs w:val="32"/>
          <w:lang w:val="en-US" w:eastAsia="zh-CN"/>
        </w:rPr>
        <w:t>芥</w:t>
      </w:r>
      <w:r>
        <w:rPr>
          <w:rFonts w:hint="eastAsia" w:ascii="仿宋_GB2312" w:hAnsi="Times New Roman" w:eastAsia="仿宋_GB2312" w:cs="Times New Roman"/>
          <w:kern w:val="0"/>
          <w:sz w:val="32"/>
          <w:szCs w:val="32"/>
        </w:rPr>
        <w:t>菜、</w:t>
      </w:r>
      <w:r>
        <w:rPr>
          <w:rFonts w:hint="eastAsia" w:ascii="仿宋_GB2312" w:hAnsi="Times New Roman" w:eastAsia="仿宋_GB2312" w:cs="Times New Roman"/>
          <w:kern w:val="0"/>
          <w:sz w:val="32"/>
          <w:szCs w:val="32"/>
          <w:lang w:val="en-US" w:eastAsia="zh-CN"/>
        </w:rPr>
        <w:t>豇豆</w:t>
      </w:r>
      <w:r>
        <w:rPr>
          <w:rFonts w:hint="eastAsia" w:ascii="仿宋_GB2312" w:hAnsi="Times New Roman" w:eastAsia="仿宋_GB2312" w:cs="Times New Roman"/>
          <w:kern w:val="0"/>
          <w:sz w:val="32"/>
          <w:szCs w:val="32"/>
        </w:rPr>
        <w:t>-棉花-芥菜等多种</w:t>
      </w:r>
      <w:r>
        <w:rPr>
          <w:rFonts w:hint="eastAsia" w:ascii="仿宋_GB2312" w:hAnsi="Times New Roman" w:eastAsia="仿宋_GB2312" w:cs="Times New Roman"/>
          <w:kern w:val="0"/>
          <w:sz w:val="32"/>
          <w:szCs w:val="32"/>
          <w:lang w:eastAsia="zh-CN"/>
        </w:rPr>
        <w:t>高效</w:t>
      </w:r>
      <w:r>
        <w:rPr>
          <w:rFonts w:hint="eastAsia" w:ascii="仿宋_GB2312" w:hAnsi="Times New Roman" w:eastAsia="仿宋_GB2312" w:cs="Times New Roman"/>
          <w:kern w:val="0"/>
          <w:sz w:val="32"/>
          <w:szCs w:val="32"/>
        </w:rPr>
        <w:t>种植模式，利用</w:t>
      </w:r>
      <w:r>
        <w:rPr>
          <w:rFonts w:hint="eastAsia" w:ascii="仿宋_GB2312" w:hAnsi="Times New Roman" w:eastAsia="仿宋_GB2312" w:cs="Times New Roman"/>
          <w:kern w:val="0"/>
          <w:sz w:val="32"/>
          <w:szCs w:val="32"/>
          <w:lang w:val="en-US" w:eastAsia="zh-CN"/>
        </w:rPr>
        <w:t>不同</w:t>
      </w:r>
      <w:r>
        <w:rPr>
          <w:rFonts w:hint="eastAsia" w:ascii="仿宋_GB2312" w:hAnsi="Times New Roman" w:eastAsia="仿宋_GB2312" w:cs="Times New Roman"/>
          <w:kern w:val="0"/>
          <w:sz w:val="32"/>
          <w:szCs w:val="32"/>
        </w:rPr>
        <w:t>作物的生长时间差，组装栽培、植保、农产品加工等成熟技术，进行合理间套作，最大限度地提高棉田的产出和效益</w:t>
      </w:r>
      <w:r>
        <w:rPr>
          <w:rFonts w:hint="eastAsia" w:ascii="仿宋_GB2312" w:hAnsi="Times New Roman" w:eastAsia="仿宋_GB2312" w:cs="Times New Roman"/>
          <w:kern w:val="0"/>
          <w:sz w:val="32"/>
          <w:szCs w:val="32"/>
          <w:lang w:eastAsia="zh-CN"/>
        </w:rPr>
        <w:t>；</w:t>
      </w:r>
      <w:r>
        <w:rPr>
          <w:rFonts w:hint="eastAsia" w:ascii="仿宋_GB2312" w:hAnsi="Times New Roman" w:eastAsia="仿宋_GB2312" w:cs="Times New Roman"/>
          <w:kern w:val="0"/>
          <w:sz w:val="32"/>
          <w:szCs w:val="32"/>
          <w:lang w:val="en-US" w:eastAsia="zh-CN"/>
        </w:rPr>
        <w:t>四是</w:t>
      </w:r>
      <w:r>
        <w:rPr>
          <w:rFonts w:hint="eastAsia" w:ascii="仿宋" w:hAnsi="仿宋" w:eastAsia="仿宋" w:cs="宋体"/>
          <w:color w:val="auto"/>
          <w:sz w:val="32"/>
          <w:szCs w:val="32"/>
          <w:lang w:val="en-US" w:eastAsia="zh-CN"/>
        </w:rPr>
        <w:t>深入开展技术服务指导，</w:t>
      </w:r>
      <w:r>
        <w:rPr>
          <w:rFonts w:hint="eastAsia" w:ascii="仿宋_GB2312" w:hAnsi="宋体" w:eastAsia="仿宋_GB2312" w:cs="Times New Roman"/>
          <w:color w:val="000000"/>
          <w:kern w:val="2"/>
          <w:sz w:val="32"/>
          <w:szCs w:val="32"/>
          <w:lang w:val="en-US" w:eastAsia="zh-CN" w:bidi="ar-SA"/>
        </w:rPr>
        <w:t>成立华容县农业农村局棉花生产技术指导小组，抽调局内8位农技专家，每位专家负责2个乡镇，深入生产一线,有针对性地开展技术培训和指导服务,指导农户掌握技术要领,确保技术要领及时入户、技术措施及时下田,为棉花生产提供有力的技术保障，同时积极对接省棉科所、湖南农业大学等科研机构，结合我县实际种植情况，探索棉花生产轻简化、机械化技术研究与集成，加快植棉轻简花、机械化进程；五是</w:t>
      </w:r>
      <w:r>
        <w:rPr>
          <w:rFonts w:hint="eastAsia" w:ascii="仿宋" w:hAnsi="仿宋" w:eastAsia="仿宋" w:cs="宋体"/>
          <w:color w:val="auto"/>
          <w:sz w:val="32"/>
          <w:szCs w:val="32"/>
          <w:lang w:val="en-US" w:eastAsia="zh-CN"/>
        </w:rPr>
        <w:t>加强棉花生产绿色引领，坚持“绿色植保、公共植保”的工作理念和“预防为主，综合防治”的植保方针，加强重大病虫草鼠害防控力度，切实减少生物灾害损失。及时监测病虫害发生动态，准确预报发生趋势，提前制定重大病虫害防控预案，并根据病虫害发生形势，科学制定综合防治方案，集合农业防治、生物防治、物理防治、化学防治等技术措施，实行统防统治，2023年全县与本地的统防统治服务机构签订植保专业化服务面积2000亩以上；六是开展质量与补贴挂钩工作，</w:t>
      </w:r>
      <w:r>
        <w:rPr>
          <w:rFonts w:hint="eastAsia" w:ascii="仿宋" w:hAnsi="仿宋" w:eastAsia="仿宋" w:cs="仿宋"/>
          <w:kern w:val="2"/>
          <w:sz w:val="32"/>
          <w:szCs w:val="32"/>
          <w:highlight w:val="none"/>
          <w:lang w:val="en-US" w:eastAsia="zh-CN" w:bidi="ar-SA"/>
        </w:rPr>
        <w:t>棉花轻简高效种植标准化生产补贴面积19871.8亩，调剂238.05万元用于示范创建及技术推广，18.5万用于优质棉种采购推广。</w:t>
      </w:r>
    </w:p>
    <w:p>
      <w:pPr>
        <w:keepNext w:val="0"/>
        <w:keepLines w:val="0"/>
        <w:pageBreakBefore w:val="0"/>
        <w:kinsoku/>
        <w:wordWrap/>
        <w:overflowPunct/>
        <w:topLinePunct w:val="0"/>
        <w:autoSpaceDE/>
        <w:autoSpaceDN/>
        <w:bidi w:val="0"/>
        <w:adjustRightInd w:val="0"/>
        <w:snapToGrid w:val="0"/>
        <w:spacing w:line="580" w:lineRule="exact"/>
        <w:ind w:firstLine="640" w:firstLineChars="200"/>
        <w:textAlignment w:val="auto"/>
        <w:rPr>
          <w:rFonts w:hint="default" w:ascii="Times New Roman" w:hAnsi="Times New Roman" w:eastAsia="仿宋_GB2312" w:cs="Times New Roman"/>
          <w:sz w:val="32"/>
          <w:lang w:val="en-US" w:eastAsia="zh-CN"/>
        </w:rPr>
      </w:pPr>
      <w:r>
        <w:rPr>
          <w:rFonts w:hint="eastAsia" w:ascii="仿宋" w:hAnsi="仿宋" w:eastAsia="仿宋" w:cs="仿宋"/>
          <w:kern w:val="2"/>
          <w:sz w:val="32"/>
          <w:szCs w:val="32"/>
          <w:highlight w:val="none"/>
          <w:lang w:val="en-US" w:eastAsia="zh-CN" w:bidi="ar-SA"/>
        </w:rPr>
        <w:t>（2）成果质量。一是通过机采棉规模示范，推广了机采棉品种和种植技术，统一栽培品种、统一栽培技术、统一集中采收，为推进棉花机械化生产奠定良好基础；二是通过开展“专业仓储+在库公检”试点，发挥市场配置资源作用的同时，统筹兼顾保护农民、企业的利益，通过补贴的激励效应，更好地调动棉花生产的积极性，合理引导棉花生产、流通、消费，促进农村经济发展和农民增收。</w:t>
      </w:r>
    </w:p>
    <w:p>
      <w:pPr>
        <w:pStyle w:val="11"/>
        <w:keepNext w:val="0"/>
        <w:keepLines w:val="0"/>
        <w:pageBreakBefore w:val="0"/>
        <w:numPr>
          <w:ilvl w:val="0"/>
          <w:numId w:val="0"/>
        </w:numPr>
        <w:kinsoku/>
        <w:wordWrap/>
        <w:overflowPunct/>
        <w:topLinePunct w:val="0"/>
        <w:autoSpaceDE/>
        <w:autoSpaceDN/>
        <w:bidi w:val="0"/>
        <w:spacing w:line="580" w:lineRule="exact"/>
        <w:ind w:leftChars="200"/>
        <w:textAlignment w:val="auto"/>
        <w:rPr>
          <w:rFonts w:hint="eastAsia" w:ascii="仿宋" w:hAnsi="仿宋" w:eastAsia="仿宋" w:cs="宋体"/>
          <w:color w:val="auto"/>
          <w:kern w:val="2"/>
          <w:sz w:val="32"/>
          <w:szCs w:val="32"/>
          <w:lang w:val="en-US" w:eastAsia="zh-CN" w:bidi="ar-SA"/>
        </w:rPr>
      </w:pPr>
      <w:r>
        <w:rPr>
          <w:rFonts w:hint="eastAsia" w:ascii="仿宋" w:hAnsi="仿宋" w:eastAsia="仿宋" w:cs="宋体"/>
          <w:color w:val="auto"/>
          <w:kern w:val="2"/>
          <w:sz w:val="32"/>
          <w:szCs w:val="32"/>
          <w:lang w:val="en-US" w:eastAsia="zh-CN" w:bidi="ar-SA"/>
        </w:rPr>
        <w:t>5、社会效益</w:t>
      </w:r>
    </w:p>
    <w:p>
      <w:pPr>
        <w:pStyle w:val="11"/>
        <w:keepNext w:val="0"/>
        <w:keepLines w:val="0"/>
        <w:pageBreakBefore w:val="0"/>
        <w:numPr>
          <w:ilvl w:val="0"/>
          <w:numId w:val="0"/>
        </w:numPr>
        <w:kinsoku/>
        <w:wordWrap/>
        <w:overflowPunct/>
        <w:topLinePunct w:val="0"/>
        <w:autoSpaceDE/>
        <w:autoSpaceDN/>
        <w:bidi w:val="0"/>
        <w:spacing w:line="580" w:lineRule="exact"/>
        <w:ind w:firstLine="640" w:firstLineChars="200"/>
        <w:textAlignment w:val="auto"/>
        <w:rPr>
          <w:rFonts w:hint="eastAsia" w:ascii="仿宋" w:hAnsi="仿宋" w:eastAsia="仿宋" w:cs="宋体"/>
          <w:color w:val="auto"/>
          <w:kern w:val="2"/>
          <w:sz w:val="32"/>
          <w:szCs w:val="32"/>
          <w:lang w:val="en-US" w:eastAsia="zh-CN" w:bidi="ar-SA"/>
        </w:rPr>
      </w:pPr>
      <w:r>
        <w:rPr>
          <w:rFonts w:hint="eastAsia" w:ascii="仿宋" w:hAnsi="仿宋" w:eastAsia="仿宋" w:cs="宋体"/>
          <w:color w:val="auto"/>
          <w:kern w:val="2"/>
          <w:sz w:val="32"/>
          <w:szCs w:val="32"/>
          <w:lang w:val="en-US" w:eastAsia="zh-CN" w:bidi="ar-SA"/>
        </w:rPr>
        <w:t>（1）带动农民就业情况。2023年棉花大县奖励项目的实施对带动当地农民就业起到了重要作用，据统计。截止2023年12月31日，棉花大县奖励项目带动农民就业约980人，其中华容银源棉业有限公司带动农民就业210人，湖南锦衣源棉业有限公司带动农民就业280人,</w:t>
      </w:r>
      <w:r>
        <w:rPr>
          <w:rFonts w:hint="eastAsia" w:ascii="仿宋_GB2312" w:hAnsi="仿宋_GB2312" w:eastAsia="仿宋_GB2312" w:cs="仿宋_GB2312"/>
          <w:sz w:val="32"/>
          <w:szCs w:val="32"/>
          <w:lang w:val="en-US" w:eastAsia="zh-CN"/>
        </w:rPr>
        <w:t>新河乡福民惠农服务中心</w:t>
      </w:r>
      <w:r>
        <w:rPr>
          <w:rFonts w:hint="eastAsia" w:ascii="仿宋" w:hAnsi="仿宋" w:eastAsia="仿宋" w:cs="宋体"/>
          <w:color w:val="auto"/>
          <w:kern w:val="2"/>
          <w:sz w:val="32"/>
          <w:szCs w:val="32"/>
          <w:lang w:val="en-US" w:eastAsia="zh-CN" w:bidi="ar-SA"/>
        </w:rPr>
        <w:t>带动农民就业190人。</w:t>
      </w:r>
    </w:p>
    <w:p>
      <w:pPr>
        <w:pStyle w:val="11"/>
        <w:keepNext w:val="0"/>
        <w:keepLines w:val="0"/>
        <w:pageBreakBefore w:val="0"/>
        <w:numPr>
          <w:ilvl w:val="0"/>
          <w:numId w:val="0"/>
        </w:numPr>
        <w:kinsoku/>
        <w:wordWrap/>
        <w:overflowPunct/>
        <w:topLinePunct w:val="0"/>
        <w:autoSpaceDE/>
        <w:autoSpaceDN/>
        <w:bidi w:val="0"/>
        <w:spacing w:line="580" w:lineRule="exact"/>
        <w:ind w:firstLine="640" w:firstLineChars="200"/>
        <w:textAlignment w:val="auto"/>
        <w:rPr>
          <w:rFonts w:hint="eastAsia" w:ascii="仿宋" w:hAnsi="仿宋" w:eastAsia="仿宋" w:cs="宋体"/>
          <w:color w:val="auto"/>
          <w:kern w:val="2"/>
          <w:sz w:val="32"/>
          <w:szCs w:val="32"/>
          <w:lang w:val="en-US" w:eastAsia="zh-CN" w:bidi="ar-SA"/>
        </w:rPr>
      </w:pPr>
      <w:r>
        <w:rPr>
          <w:rFonts w:hint="eastAsia" w:ascii="仿宋" w:hAnsi="仿宋" w:eastAsia="仿宋" w:cs="宋体"/>
          <w:color w:val="auto"/>
          <w:kern w:val="2"/>
          <w:sz w:val="32"/>
          <w:szCs w:val="32"/>
          <w:lang w:val="en-US" w:eastAsia="zh-CN" w:bidi="ar-SA"/>
        </w:rPr>
        <w:t>（2）带动农民增收情况。据测算2023年棉花大县奖励项目的实施带动农村居民可支配收入增长约210元，三家“专业仓储+在库公检”试点企业带动植棉农户增收约100元/亩。</w:t>
      </w:r>
    </w:p>
    <w:p>
      <w:pPr>
        <w:pStyle w:val="11"/>
        <w:keepNext w:val="0"/>
        <w:keepLines w:val="0"/>
        <w:pageBreakBefore w:val="0"/>
        <w:numPr>
          <w:ilvl w:val="0"/>
          <w:numId w:val="0"/>
        </w:numPr>
        <w:kinsoku/>
        <w:wordWrap/>
        <w:overflowPunct/>
        <w:topLinePunct w:val="0"/>
        <w:autoSpaceDE/>
        <w:autoSpaceDN/>
        <w:bidi w:val="0"/>
        <w:spacing w:line="580" w:lineRule="exact"/>
        <w:ind w:firstLine="640" w:firstLineChars="200"/>
        <w:textAlignment w:val="auto"/>
        <w:rPr>
          <w:rFonts w:hint="eastAsia" w:ascii="仿宋" w:hAnsi="仿宋" w:eastAsia="仿宋" w:cs="宋体"/>
          <w:color w:val="auto"/>
          <w:kern w:val="2"/>
          <w:sz w:val="32"/>
          <w:szCs w:val="32"/>
          <w:lang w:val="en-US" w:eastAsia="zh-CN" w:bidi="ar-SA"/>
        </w:rPr>
      </w:pPr>
      <w:r>
        <w:rPr>
          <w:rFonts w:hint="eastAsia" w:ascii="仿宋" w:hAnsi="仿宋" w:eastAsia="仿宋" w:cs="宋体"/>
          <w:color w:val="auto"/>
          <w:kern w:val="2"/>
          <w:sz w:val="32"/>
          <w:szCs w:val="32"/>
          <w:lang w:val="en-US" w:eastAsia="zh-CN" w:bidi="ar-SA"/>
        </w:rPr>
        <w:t>6、政策创新和效益</w:t>
      </w:r>
    </w:p>
    <w:p>
      <w:pPr>
        <w:pStyle w:val="11"/>
        <w:keepNext w:val="0"/>
        <w:keepLines w:val="0"/>
        <w:pageBreakBefore w:val="0"/>
        <w:numPr>
          <w:ilvl w:val="0"/>
          <w:numId w:val="0"/>
        </w:numPr>
        <w:kinsoku/>
        <w:wordWrap/>
        <w:overflowPunct/>
        <w:topLinePunct w:val="0"/>
        <w:autoSpaceDE/>
        <w:autoSpaceDN/>
        <w:bidi w:val="0"/>
        <w:spacing w:line="580" w:lineRule="exact"/>
        <w:ind w:firstLine="640" w:firstLineChars="200"/>
        <w:textAlignment w:val="auto"/>
        <w:rPr>
          <w:rFonts w:hint="eastAsia" w:ascii="仿宋" w:hAnsi="仿宋" w:eastAsia="仿宋" w:cs="宋体"/>
          <w:color w:val="auto"/>
          <w:kern w:val="2"/>
          <w:sz w:val="32"/>
          <w:szCs w:val="32"/>
          <w:lang w:val="en-US" w:eastAsia="zh-CN" w:bidi="ar-SA"/>
        </w:rPr>
      </w:pPr>
      <w:r>
        <w:rPr>
          <w:rFonts w:hint="eastAsia" w:ascii="仿宋" w:hAnsi="仿宋" w:eastAsia="仿宋" w:cs="宋体"/>
          <w:color w:val="auto"/>
          <w:kern w:val="2"/>
          <w:sz w:val="32"/>
          <w:szCs w:val="32"/>
          <w:lang w:val="en-US" w:eastAsia="zh-CN" w:bidi="ar-SA"/>
        </w:rPr>
        <w:t>（1）在支持棉花产业发展上的改革、创新举措。一是推广棉花轻简化栽培技术推广，推广棉花直播、种肥同播、适度集中成铃、集中吐絮技术、病虫草害综合防治等轻简化栽培技术，优化农机和农艺配套技术，加快植棉轻简华、机械化进程；二是推广棉花高效种植模式推广，推广棉花-豇豆、棉花-芥菜、豇豆-棉花-芥菜等多种新型种植模式，最大限度地提高棉田的产出和效益；三是开展棉花社会化服务，结合我县实际，开展包括棉田改造、高标准棉田建设、棉花代耕代播、统防统治、肥料减施技术示范及棉花生产技术服务等，推进了我县棉花产业高质量发展；四是支持有条件的企业开展棉花“专业仓储+在库公检”，</w:t>
      </w:r>
      <w:r>
        <w:rPr>
          <w:rFonts w:hint="eastAsia" w:ascii="仿宋" w:hAnsi="仿宋" w:eastAsia="仿宋" w:cs="仿宋"/>
          <w:kern w:val="2"/>
          <w:sz w:val="32"/>
          <w:szCs w:val="32"/>
          <w:highlight w:val="none"/>
          <w:lang w:val="en-US" w:eastAsia="zh-CN" w:bidi="ar-SA"/>
        </w:rPr>
        <w:t>统筹兼顾保护了农民、企业的利益</w:t>
      </w:r>
      <w:r>
        <w:rPr>
          <w:rFonts w:hint="eastAsia" w:ascii="仿宋" w:hAnsi="仿宋" w:eastAsia="仿宋" w:cs="宋体"/>
          <w:color w:val="auto"/>
          <w:kern w:val="2"/>
          <w:sz w:val="32"/>
          <w:szCs w:val="32"/>
          <w:lang w:val="en-US" w:eastAsia="zh-CN" w:bidi="ar-SA"/>
        </w:rPr>
        <w:t>。</w:t>
      </w:r>
    </w:p>
    <w:p>
      <w:pPr>
        <w:pStyle w:val="11"/>
        <w:keepNext w:val="0"/>
        <w:keepLines w:val="0"/>
        <w:pageBreakBefore w:val="0"/>
        <w:kinsoku/>
        <w:wordWrap/>
        <w:overflowPunct/>
        <w:topLinePunct w:val="0"/>
        <w:autoSpaceDE/>
        <w:autoSpaceDN/>
        <w:bidi w:val="0"/>
        <w:spacing w:line="580" w:lineRule="exact"/>
        <w:ind w:left="0" w:leftChars="0" w:firstLine="640" w:firstLineChars="200"/>
        <w:textAlignment w:val="auto"/>
        <w:rPr>
          <w:rFonts w:hint="default" w:ascii="宋体" w:hAnsi="宋体"/>
          <w:color w:val="000000"/>
          <w:spacing w:val="-4"/>
          <w:sz w:val="30"/>
          <w:szCs w:val="30"/>
          <w:lang w:val="en-US" w:eastAsia="zh-CN"/>
        </w:rPr>
      </w:pPr>
      <w:r>
        <w:rPr>
          <w:rFonts w:hint="eastAsia" w:ascii="宋体" w:hAnsi="宋体" w:cs="宋体"/>
          <w:b w:val="0"/>
          <w:bCs w:val="0"/>
          <w:sz w:val="32"/>
          <w:szCs w:val="32"/>
          <w:lang w:val="en-US" w:eastAsia="zh-CN"/>
        </w:rPr>
        <w:t>7、满意度。通过对农民发放棉花大县奖励资金满意度问卷调查的方式进行满意度调查，经统计（发放问卷超100份），农民满意度超过90%。</w:t>
      </w:r>
    </w:p>
    <w:p>
      <w:pPr>
        <w:pStyle w:val="4"/>
        <w:keepNext w:val="0"/>
        <w:keepLines w:val="0"/>
        <w:pageBreakBefore w:val="0"/>
        <w:kinsoku/>
        <w:wordWrap/>
        <w:overflowPunct/>
        <w:topLinePunct w:val="0"/>
        <w:autoSpaceDE/>
        <w:autoSpaceDN/>
        <w:bidi w:val="0"/>
        <w:spacing w:line="580" w:lineRule="exact"/>
        <w:ind w:firstLine="643"/>
        <w:textAlignment w:val="auto"/>
      </w:pPr>
      <w:r>
        <w:t>（三）综合评价情况及评价结论。</w:t>
      </w:r>
    </w:p>
    <w:p>
      <w:pPr>
        <w:keepNext w:val="0"/>
        <w:keepLines w:val="0"/>
        <w:pageBreakBefore w:val="0"/>
        <w:widowControl w:val="0"/>
        <w:kinsoku/>
        <w:wordWrap/>
        <w:overflowPunct/>
        <w:topLinePunct w:val="0"/>
        <w:autoSpaceDE/>
        <w:autoSpaceDN/>
        <w:bidi w:val="0"/>
        <w:adjustRightInd w:val="0"/>
        <w:snapToGrid w:val="0"/>
        <w:spacing w:line="600" w:lineRule="exact"/>
        <w:ind w:firstLine="640" w:firstLineChars="200"/>
        <w:textAlignment w:val="auto"/>
        <w:rPr>
          <w:rFonts w:hint="default" w:ascii="Times New Roman" w:hAnsi="Times New Roman" w:eastAsia="仿宋_GB2312" w:cs="Times New Roman"/>
          <w:sz w:val="32"/>
          <w:lang w:val="en-US" w:eastAsia="zh-CN"/>
        </w:rPr>
      </w:pPr>
      <w:r>
        <w:rPr>
          <w:rFonts w:hint="eastAsia" w:ascii="Times New Roman" w:hAnsi="Times New Roman" w:eastAsia="仿宋_GB2312" w:cs="Times New Roman"/>
          <w:sz w:val="32"/>
          <w:lang w:val="en-US" w:eastAsia="zh-CN"/>
        </w:rPr>
        <w:t>2023年棉花大县奖励政策的实施，稳定了我县棉花面积，推动了我县棉花产业发展，政策执行到位，资金使用合规，绩效综合评价得分100分（满分100分）；机采棉规模示范和“专业仓储+在库公检”完成目标任务，绩效综合评价均得分100分（满分100分）。</w:t>
      </w:r>
    </w:p>
    <w:p>
      <w:pPr>
        <w:pStyle w:val="3"/>
        <w:keepNext w:val="0"/>
        <w:keepLines w:val="0"/>
        <w:pageBreakBefore w:val="0"/>
        <w:widowControl w:val="0"/>
        <w:kinsoku/>
        <w:wordWrap/>
        <w:overflowPunct/>
        <w:topLinePunct w:val="0"/>
        <w:autoSpaceDE/>
        <w:autoSpaceDN/>
        <w:bidi w:val="0"/>
        <w:adjustRightInd w:val="0"/>
        <w:snapToGrid w:val="0"/>
        <w:spacing w:line="600" w:lineRule="exact"/>
        <w:ind w:firstLine="640"/>
        <w:textAlignment w:val="auto"/>
      </w:pPr>
      <w:r>
        <w:t>三、主要做法及经验</w:t>
      </w:r>
    </w:p>
    <w:p>
      <w:pPr>
        <w:keepNext w:val="0"/>
        <w:keepLines w:val="0"/>
        <w:pageBreakBefore w:val="0"/>
        <w:numPr>
          <w:ilvl w:val="0"/>
          <w:numId w:val="0"/>
        </w:numPr>
        <w:kinsoku/>
        <w:wordWrap/>
        <w:overflowPunct/>
        <w:topLinePunct w:val="0"/>
        <w:autoSpaceDE/>
        <w:autoSpaceDN/>
        <w:bidi w:val="0"/>
        <w:adjustRightInd w:val="0"/>
        <w:snapToGrid w:val="0"/>
        <w:spacing w:line="580" w:lineRule="exact"/>
        <w:ind w:firstLine="643" w:firstLineChars="200"/>
        <w:jc w:val="left"/>
        <w:textAlignment w:val="auto"/>
        <w:rPr>
          <w:rFonts w:hint="eastAsia" w:ascii="楷体_GB2312" w:hAnsi="楷体_GB2312" w:eastAsia="楷体_GB2312" w:cs="楷体_GB2312"/>
          <w:b/>
          <w:bCs/>
          <w:kern w:val="2"/>
          <w:sz w:val="32"/>
          <w:szCs w:val="32"/>
          <w:lang w:val="en-US" w:eastAsia="zh-CN" w:bidi="ar-SA"/>
        </w:rPr>
      </w:pPr>
      <w:r>
        <w:rPr>
          <w:rFonts w:hint="eastAsia" w:ascii="楷体_GB2312" w:hAnsi="楷体_GB2312" w:eastAsia="楷体_GB2312" w:cs="楷体_GB2312"/>
          <w:b/>
          <w:bCs/>
          <w:kern w:val="2"/>
          <w:sz w:val="32"/>
          <w:szCs w:val="32"/>
          <w:lang w:val="en-US" w:eastAsia="zh-CN" w:bidi="ar-SA"/>
        </w:rPr>
        <w:t>1、强化宣传，促进棉花生产措施落地。</w:t>
      </w:r>
    </w:p>
    <w:p>
      <w:pPr>
        <w:keepNext w:val="0"/>
        <w:keepLines w:val="0"/>
        <w:pageBreakBefore w:val="0"/>
        <w:widowControl w:val="0"/>
        <w:numPr>
          <w:ilvl w:val="0"/>
          <w:numId w:val="0"/>
        </w:numPr>
        <w:kinsoku/>
        <w:wordWrap/>
        <w:overflowPunct/>
        <w:topLinePunct w:val="0"/>
        <w:autoSpaceDE/>
        <w:autoSpaceDN/>
        <w:bidi w:val="0"/>
        <w:adjustRightInd/>
        <w:snapToGrid/>
        <w:spacing w:line="580" w:lineRule="exact"/>
        <w:ind w:firstLine="640" w:firstLineChars="200"/>
        <w:jc w:val="left"/>
        <w:textAlignment w:val="auto"/>
        <w:rPr>
          <w:rFonts w:hint="eastAsia" w:ascii="仿宋" w:hAnsi="仿宋" w:eastAsia="仿宋" w:cs="宋体"/>
          <w:kern w:val="2"/>
          <w:sz w:val="32"/>
          <w:szCs w:val="32"/>
          <w:lang w:val="en-US" w:eastAsia="zh-CN" w:bidi="ar-SA"/>
        </w:rPr>
      </w:pPr>
      <w:r>
        <w:rPr>
          <w:rFonts w:hint="eastAsia" w:ascii="仿宋" w:hAnsi="仿宋" w:eastAsia="仿宋" w:cs="宋体"/>
          <w:kern w:val="2"/>
          <w:sz w:val="32"/>
          <w:szCs w:val="32"/>
          <w:lang w:val="en-US" w:eastAsia="zh-CN" w:bidi="ar-SA"/>
        </w:rPr>
        <w:t>我县高度重视，把稳定发展棉花生产作为当前一项重要工作，充分利用各种新闻媒体，通过移动终端、网络等媒介形式广泛宣传棉花生产相关政策、典型案例以及种植技术，在棉花生产主产乡镇有针对性地开展技术培训并印发技术资料，广泛动员农民开展棉花生产。</w:t>
      </w:r>
    </w:p>
    <w:p>
      <w:pPr>
        <w:keepNext w:val="0"/>
        <w:keepLines w:val="0"/>
        <w:pageBreakBefore w:val="0"/>
        <w:numPr>
          <w:ilvl w:val="0"/>
          <w:numId w:val="0"/>
        </w:numPr>
        <w:kinsoku/>
        <w:wordWrap/>
        <w:overflowPunct/>
        <w:topLinePunct w:val="0"/>
        <w:autoSpaceDE/>
        <w:autoSpaceDN/>
        <w:bidi w:val="0"/>
        <w:adjustRightInd w:val="0"/>
        <w:snapToGrid w:val="0"/>
        <w:spacing w:line="580" w:lineRule="exact"/>
        <w:ind w:firstLine="643" w:firstLineChars="200"/>
        <w:jc w:val="left"/>
        <w:textAlignment w:val="auto"/>
        <w:rPr>
          <w:rFonts w:hint="eastAsia" w:ascii="仿宋" w:hAnsi="仿宋" w:eastAsia="仿宋" w:cs="宋体"/>
          <w:kern w:val="2"/>
          <w:sz w:val="32"/>
          <w:szCs w:val="32"/>
          <w:lang w:val="en-US" w:eastAsia="zh-CN" w:bidi="ar-SA"/>
        </w:rPr>
      </w:pPr>
      <w:r>
        <w:rPr>
          <w:rFonts w:hint="eastAsia" w:ascii="楷体_GB2312" w:hAnsi="楷体_GB2312" w:eastAsia="楷体_GB2312" w:cs="楷体_GB2312"/>
          <w:b/>
          <w:bCs/>
          <w:kern w:val="2"/>
          <w:sz w:val="32"/>
          <w:szCs w:val="32"/>
          <w:lang w:val="en-US" w:eastAsia="zh-CN" w:bidi="ar-SA"/>
        </w:rPr>
        <w:t>2、推进优势棉花板块建设。</w:t>
      </w:r>
      <w:r>
        <w:rPr>
          <w:rFonts w:hint="eastAsia" w:ascii="仿宋" w:hAnsi="仿宋" w:eastAsia="仿宋" w:cs="宋体"/>
          <w:kern w:val="2"/>
          <w:sz w:val="32"/>
          <w:szCs w:val="32"/>
          <w:lang w:val="en-US" w:eastAsia="zh-CN" w:bidi="ar-SA"/>
        </w:rPr>
        <w:t>在章华镇、新河乡、鲇鱼须镇、东山镇、注滋口镇、团洲乡各创建一个千亩示范片，其他乡镇创建一个百亩示范片，总实施面积1万亩以上，按照棉花生产五统一的模式进行，即“统一种植模式、统一示范品种、统一肥水管理、统一化学调控、统一病虫害防治”的“五统一”方法，依靠科技挖掘增产潜力，通过示范引导，以点带面，辐射带动棉花新品种、栽培新技术、耕作新模式、农技新装备的推广普及，实现良种良法相配套和高产优质相结合，稳定棉花生产面积。</w:t>
      </w:r>
    </w:p>
    <w:p>
      <w:pPr>
        <w:keepNext w:val="0"/>
        <w:keepLines w:val="0"/>
        <w:pageBreakBefore w:val="0"/>
        <w:numPr>
          <w:ilvl w:val="0"/>
          <w:numId w:val="0"/>
        </w:numPr>
        <w:kinsoku/>
        <w:wordWrap/>
        <w:overflowPunct/>
        <w:topLinePunct w:val="0"/>
        <w:autoSpaceDE/>
        <w:autoSpaceDN/>
        <w:bidi w:val="0"/>
        <w:adjustRightInd w:val="0"/>
        <w:snapToGrid w:val="0"/>
        <w:spacing w:line="580" w:lineRule="exact"/>
        <w:ind w:firstLine="643" w:firstLineChars="200"/>
        <w:jc w:val="left"/>
        <w:textAlignment w:val="auto"/>
        <w:rPr>
          <w:rFonts w:hint="default" w:ascii="仿宋" w:hAnsi="仿宋" w:eastAsia="仿宋" w:cs="宋体"/>
          <w:kern w:val="2"/>
          <w:sz w:val="32"/>
          <w:szCs w:val="32"/>
          <w:lang w:val="en-US" w:eastAsia="zh-CN" w:bidi="ar-SA"/>
        </w:rPr>
      </w:pPr>
      <w:r>
        <w:rPr>
          <w:rFonts w:hint="eastAsia" w:ascii="楷体_GB2312" w:hAnsi="楷体_GB2312" w:eastAsia="楷体_GB2312" w:cs="楷体_GB2312"/>
          <w:b/>
          <w:bCs/>
          <w:kern w:val="2"/>
          <w:sz w:val="32"/>
          <w:szCs w:val="32"/>
          <w:lang w:val="en-US" w:eastAsia="zh-CN" w:bidi="ar-SA"/>
        </w:rPr>
        <w:t>3、推进棉花生产适度规模经营。</w:t>
      </w:r>
      <w:r>
        <w:rPr>
          <w:rFonts w:hint="eastAsia" w:ascii="仿宋" w:hAnsi="仿宋" w:eastAsia="仿宋" w:cs="宋体"/>
          <w:kern w:val="2"/>
          <w:sz w:val="32"/>
          <w:szCs w:val="32"/>
          <w:lang w:val="en-US" w:eastAsia="zh-CN" w:bidi="ar-SA"/>
        </w:rPr>
        <w:t>积极引导农户开展土地流转，规范土地流转程序，严格土地流转管理和服务，加强土地流转用途管理，消除土地分散经营制约，为棉花生产规模效益经营铺平道路，同时，依托棉花大县奖励资金支持棉田标准化建设、棉花代耕代种、统防统治、代收代储等社会化服务，切实解决劳动力短缺的问题。例如注滋口镇隆西村7组植棉大户田伏生种植棉花170亩，带动周边农户种植棉花达到2000亩，其中新增50亩以上大户3个。</w:t>
      </w:r>
    </w:p>
    <w:p>
      <w:pPr>
        <w:keepNext w:val="0"/>
        <w:keepLines w:val="0"/>
        <w:pageBreakBefore w:val="0"/>
        <w:numPr>
          <w:ilvl w:val="0"/>
          <w:numId w:val="0"/>
        </w:numPr>
        <w:kinsoku/>
        <w:wordWrap/>
        <w:overflowPunct/>
        <w:topLinePunct w:val="0"/>
        <w:autoSpaceDE/>
        <w:autoSpaceDN/>
        <w:bidi w:val="0"/>
        <w:adjustRightInd w:val="0"/>
        <w:snapToGrid w:val="0"/>
        <w:spacing w:line="580" w:lineRule="exact"/>
        <w:ind w:firstLine="643" w:firstLineChars="200"/>
        <w:jc w:val="left"/>
        <w:textAlignment w:val="auto"/>
        <w:rPr>
          <w:rFonts w:hint="eastAsia" w:ascii="仿宋" w:hAnsi="仿宋" w:eastAsia="仿宋" w:cs="宋体"/>
          <w:kern w:val="2"/>
          <w:sz w:val="32"/>
          <w:szCs w:val="32"/>
          <w:lang w:val="en-US" w:eastAsia="zh-CN" w:bidi="ar-SA"/>
        </w:rPr>
      </w:pPr>
      <w:r>
        <w:rPr>
          <w:rFonts w:hint="eastAsia" w:ascii="楷体_GB2312" w:hAnsi="楷体_GB2312" w:eastAsia="楷体_GB2312" w:cs="楷体_GB2312"/>
          <w:b/>
          <w:bCs/>
          <w:kern w:val="2"/>
          <w:sz w:val="32"/>
          <w:szCs w:val="32"/>
          <w:lang w:val="en-US" w:eastAsia="zh-CN" w:bidi="ar-SA"/>
        </w:rPr>
        <w:t>4、强化棉花新品种推广。</w:t>
      </w:r>
      <w:r>
        <w:rPr>
          <w:rFonts w:hint="eastAsia" w:ascii="仿宋" w:hAnsi="仿宋" w:eastAsia="仿宋" w:cs="宋体"/>
          <w:kern w:val="2"/>
          <w:sz w:val="32"/>
          <w:szCs w:val="32"/>
          <w:lang w:val="en-US" w:eastAsia="zh-CN" w:bidi="ar-SA"/>
        </w:rPr>
        <w:t>加大棉花优良品种推广力度，推广主导品种为中棉所65、湘XH50。开展早熟棉品种试验，鉴定新选育早熟棉品种的丰产性、抗逆性、适应性、纤维品质及综合表现，客观评价参试早熟棉品种特性与生产利用价值，为我县早熟棉品种推广提供依据。农业行政执法部门要加强种子市场管理，杜绝品种“多乱杂”现象，充分发挥优质新品种的增产潜力。</w:t>
      </w:r>
    </w:p>
    <w:p>
      <w:pPr>
        <w:keepNext w:val="0"/>
        <w:keepLines w:val="0"/>
        <w:pageBreakBefore w:val="0"/>
        <w:numPr>
          <w:ilvl w:val="0"/>
          <w:numId w:val="0"/>
        </w:numPr>
        <w:kinsoku/>
        <w:wordWrap/>
        <w:overflowPunct/>
        <w:topLinePunct w:val="0"/>
        <w:autoSpaceDE/>
        <w:autoSpaceDN/>
        <w:bidi w:val="0"/>
        <w:adjustRightInd w:val="0"/>
        <w:snapToGrid w:val="0"/>
        <w:spacing w:line="580" w:lineRule="exact"/>
        <w:ind w:firstLine="643" w:firstLineChars="200"/>
        <w:jc w:val="left"/>
        <w:textAlignment w:val="auto"/>
        <w:rPr>
          <w:rFonts w:hint="eastAsia" w:ascii="仿宋" w:hAnsi="仿宋" w:eastAsia="仿宋" w:cs="宋体"/>
          <w:kern w:val="2"/>
          <w:sz w:val="32"/>
          <w:szCs w:val="32"/>
          <w:lang w:val="en-US" w:eastAsia="zh-CN" w:bidi="ar-SA"/>
        </w:rPr>
      </w:pPr>
      <w:r>
        <w:rPr>
          <w:rFonts w:hint="eastAsia" w:ascii="楷体_GB2312" w:hAnsi="楷体_GB2312" w:eastAsia="楷体_GB2312" w:cs="楷体_GB2312"/>
          <w:b/>
          <w:bCs/>
          <w:kern w:val="2"/>
          <w:sz w:val="32"/>
          <w:szCs w:val="32"/>
          <w:lang w:val="en-US" w:eastAsia="zh-CN" w:bidi="ar-SA"/>
        </w:rPr>
        <w:t>5、推广棉花生产轻简化栽培。</w:t>
      </w:r>
      <w:r>
        <w:rPr>
          <w:rFonts w:hint="eastAsia" w:ascii="仿宋" w:hAnsi="仿宋" w:eastAsia="仿宋" w:cs="宋体"/>
          <w:kern w:val="2"/>
          <w:sz w:val="32"/>
          <w:szCs w:val="32"/>
          <w:lang w:val="en-US" w:eastAsia="zh-CN" w:bidi="ar-SA"/>
        </w:rPr>
        <w:t>在新河乡、章华镇各建立一个直播轻简化栽培示范片，实施面积300亩。推广棉花直播技术，节省棉花用工。推广缓释肥一次性深施，节省用工和提高肥料利用率。推广适度集中成铃，集中吐絮技术，提高采收效率和棉花品质。推广病、虫、草害综合防治技术，减少用药量和用药次数。</w:t>
      </w:r>
    </w:p>
    <w:p>
      <w:pPr>
        <w:keepNext w:val="0"/>
        <w:keepLines w:val="0"/>
        <w:pageBreakBefore w:val="0"/>
        <w:numPr>
          <w:ilvl w:val="0"/>
          <w:numId w:val="0"/>
        </w:numPr>
        <w:kinsoku/>
        <w:wordWrap/>
        <w:overflowPunct/>
        <w:topLinePunct w:val="0"/>
        <w:autoSpaceDE/>
        <w:autoSpaceDN/>
        <w:bidi w:val="0"/>
        <w:adjustRightInd w:val="0"/>
        <w:snapToGrid w:val="0"/>
        <w:spacing w:line="580" w:lineRule="exact"/>
        <w:ind w:firstLine="643" w:firstLineChars="200"/>
        <w:jc w:val="left"/>
        <w:textAlignment w:val="auto"/>
        <w:rPr>
          <w:rFonts w:hint="eastAsia" w:ascii="仿宋" w:hAnsi="仿宋" w:eastAsia="仿宋" w:cs="宋体"/>
          <w:kern w:val="2"/>
          <w:sz w:val="32"/>
          <w:szCs w:val="32"/>
          <w:lang w:val="en-US" w:eastAsia="zh-CN" w:bidi="ar-SA"/>
        </w:rPr>
      </w:pPr>
      <w:r>
        <w:rPr>
          <w:rFonts w:hint="eastAsia" w:ascii="楷体_GB2312" w:hAnsi="楷体_GB2312" w:eastAsia="楷体_GB2312" w:cs="楷体_GB2312"/>
          <w:b/>
          <w:bCs/>
          <w:kern w:val="2"/>
          <w:sz w:val="32"/>
          <w:szCs w:val="32"/>
          <w:lang w:val="en-US" w:eastAsia="zh-CN" w:bidi="ar-SA"/>
        </w:rPr>
        <w:t>6、加强棉花生产绿色引领。</w:t>
      </w:r>
      <w:r>
        <w:rPr>
          <w:rFonts w:hint="eastAsia" w:ascii="仿宋" w:hAnsi="仿宋" w:eastAsia="仿宋" w:cs="宋体"/>
          <w:kern w:val="2"/>
          <w:sz w:val="32"/>
          <w:szCs w:val="32"/>
          <w:lang w:val="en-US" w:eastAsia="zh-CN" w:bidi="ar-SA"/>
        </w:rPr>
        <w:t>坚持“绿色植保、公共植保”的工作理念和“预防为主，综合防治”的植保方针，加强重大病虫草鼠害防控力度，切实减少生物灾害损失。及时监测病虫害发生动态，准确预报发生趋势，提前制定重大病虫害防控预案，并根据病虫害发生形势，科学制定综合防治方案，集合农业防治、生物防治、物理防治、化学防治等技术措施，实行统防统治。2023年全县完成植保专业化服务面积2000亩以上。</w:t>
      </w:r>
    </w:p>
    <w:p>
      <w:pPr>
        <w:keepNext w:val="0"/>
        <w:keepLines w:val="0"/>
        <w:pageBreakBefore w:val="0"/>
        <w:numPr>
          <w:ilvl w:val="0"/>
          <w:numId w:val="0"/>
        </w:numPr>
        <w:kinsoku/>
        <w:wordWrap/>
        <w:overflowPunct/>
        <w:topLinePunct w:val="0"/>
        <w:autoSpaceDE/>
        <w:autoSpaceDN/>
        <w:bidi w:val="0"/>
        <w:adjustRightInd w:val="0"/>
        <w:snapToGrid w:val="0"/>
        <w:spacing w:line="580" w:lineRule="exact"/>
        <w:ind w:firstLine="643" w:firstLineChars="200"/>
        <w:jc w:val="left"/>
        <w:textAlignment w:val="auto"/>
        <w:rPr>
          <w:rFonts w:hint="eastAsia" w:ascii="仿宋" w:hAnsi="仿宋" w:eastAsia="仿宋" w:cs="宋体"/>
          <w:kern w:val="2"/>
          <w:sz w:val="32"/>
          <w:szCs w:val="32"/>
          <w:lang w:val="en-US" w:eastAsia="zh-CN" w:bidi="ar-SA"/>
        </w:rPr>
      </w:pPr>
      <w:r>
        <w:rPr>
          <w:rFonts w:hint="eastAsia" w:ascii="楷体_GB2312" w:hAnsi="楷体_GB2312" w:eastAsia="楷体_GB2312" w:cs="楷体_GB2312"/>
          <w:b/>
          <w:bCs/>
          <w:kern w:val="2"/>
          <w:sz w:val="32"/>
          <w:szCs w:val="32"/>
          <w:lang w:val="en-US" w:eastAsia="zh-CN" w:bidi="ar-SA"/>
        </w:rPr>
        <w:t>7、推广高效棉田栽培模式。</w:t>
      </w:r>
      <w:r>
        <w:rPr>
          <w:rFonts w:hint="eastAsia" w:ascii="仿宋" w:hAnsi="仿宋" w:eastAsia="仿宋" w:cs="宋体"/>
          <w:kern w:val="2"/>
          <w:sz w:val="32"/>
          <w:szCs w:val="32"/>
          <w:lang w:val="en-US" w:eastAsia="zh-CN" w:bidi="ar-SA"/>
        </w:rPr>
        <w:t>为提高棉田综合效益，增加棉农收入，推广棉-油、棉-豆、棉-菜、豇豆-棉花-芥菜等多种新型种植模式，利用不同作物的生长时间差，组装栽培、植保、农产品加工等成熟技术，进行合理间套作，最大限度地提高棉田的产出和效益，增加棉农收入完成总面积在2500亩以上。</w:t>
      </w:r>
    </w:p>
    <w:p>
      <w:pPr>
        <w:keepNext w:val="0"/>
        <w:keepLines w:val="0"/>
        <w:pageBreakBefore w:val="0"/>
        <w:numPr>
          <w:ilvl w:val="0"/>
          <w:numId w:val="0"/>
        </w:numPr>
        <w:kinsoku/>
        <w:wordWrap/>
        <w:overflowPunct/>
        <w:topLinePunct w:val="0"/>
        <w:autoSpaceDE/>
        <w:autoSpaceDN/>
        <w:bidi w:val="0"/>
        <w:adjustRightInd w:val="0"/>
        <w:snapToGrid w:val="0"/>
        <w:spacing w:line="580" w:lineRule="exact"/>
        <w:ind w:firstLine="643" w:firstLineChars="200"/>
        <w:jc w:val="left"/>
        <w:textAlignment w:val="auto"/>
        <w:rPr>
          <w:rFonts w:hint="eastAsia" w:ascii="仿宋" w:hAnsi="仿宋" w:eastAsia="仿宋" w:cs="宋体"/>
          <w:kern w:val="2"/>
          <w:sz w:val="32"/>
          <w:szCs w:val="32"/>
          <w:lang w:val="en-US" w:eastAsia="zh-CN" w:bidi="ar-SA"/>
        </w:rPr>
      </w:pPr>
      <w:r>
        <w:rPr>
          <w:rFonts w:hint="eastAsia" w:ascii="楷体_GB2312" w:hAnsi="楷体_GB2312" w:eastAsia="楷体_GB2312" w:cs="楷体_GB2312"/>
          <w:b/>
          <w:bCs/>
          <w:kern w:val="2"/>
          <w:sz w:val="32"/>
          <w:szCs w:val="32"/>
          <w:lang w:val="en-US" w:eastAsia="zh-CN" w:bidi="ar-SA"/>
        </w:rPr>
        <w:t>8、努力提升棉花生产农机化水平。</w:t>
      </w:r>
      <w:r>
        <w:rPr>
          <w:rFonts w:hint="eastAsia" w:ascii="仿宋" w:hAnsi="仿宋" w:eastAsia="仿宋" w:cs="宋体"/>
          <w:kern w:val="2"/>
          <w:sz w:val="32"/>
          <w:szCs w:val="32"/>
          <w:lang w:val="en-US" w:eastAsia="zh-CN" w:bidi="ar-SA"/>
        </w:rPr>
        <w:t>依托联合湖南省棉花科学研究所，在注滋口镇注西村开展棉花机播机收试验示范，实施面积203亩，推进棉花生产的机械化进程，加快推广应用先进适用的棉花播种、采摘机械。</w:t>
      </w:r>
    </w:p>
    <w:p>
      <w:pPr>
        <w:keepNext w:val="0"/>
        <w:keepLines w:val="0"/>
        <w:pageBreakBefore w:val="0"/>
        <w:numPr>
          <w:ilvl w:val="0"/>
          <w:numId w:val="0"/>
        </w:numPr>
        <w:kinsoku/>
        <w:wordWrap/>
        <w:overflowPunct/>
        <w:topLinePunct w:val="0"/>
        <w:autoSpaceDE/>
        <w:autoSpaceDN/>
        <w:bidi w:val="0"/>
        <w:adjustRightInd w:val="0"/>
        <w:snapToGrid w:val="0"/>
        <w:spacing w:line="580" w:lineRule="exact"/>
        <w:ind w:firstLine="643" w:firstLineChars="200"/>
        <w:jc w:val="left"/>
        <w:textAlignment w:val="auto"/>
        <w:rPr>
          <w:rFonts w:hint="eastAsia" w:ascii="仿宋" w:hAnsi="仿宋" w:eastAsia="仿宋" w:cs="宋体"/>
          <w:kern w:val="2"/>
          <w:sz w:val="32"/>
          <w:szCs w:val="32"/>
          <w:lang w:val="en-US" w:eastAsia="zh-CN" w:bidi="ar-SA"/>
        </w:rPr>
      </w:pPr>
      <w:r>
        <w:rPr>
          <w:rFonts w:hint="eastAsia" w:ascii="楷体_GB2312" w:hAnsi="楷体_GB2312" w:eastAsia="楷体_GB2312" w:cs="楷体_GB2312"/>
          <w:b/>
          <w:bCs/>
          <w:kern w:val="2"/>
          <w:sz w:val="32"/>
          <w:szCs w:val="32"/>
          <w:lang w:val="en-US" w:eastAsia="zh-CN" w:bidi="ar-SA"/>
        </w:rPr>
        <w:t>9、开展棉花“专业仓储+在库公检”试点。</w:t>
      </w:r>
      <w:r>
        <w:rPr>
          <w:rFonts w:hint="eastAsia" w:ascii="仿宋" w:hAnsi="仿宋" w:eastAsia="仿宋" w:cs="宋体"/>
          <w:kern w:val="2"/>
          <w:sz w:val="32"/>
          <w:szCs w:val="32"/>
          <w:lang w:val="en-US" w:eastAsia="zh-CN" w:bidi="ar-SA"/>
        </w:rPr>
        <w:t>湖南锦衣源棉业有限公司、华容县银源棉业有限公司、华容县新河乡惠民惠农服务有限公司等3家棉花收储加工企业开展棉花“专业仓储+在库公检”试点，以公司+基地+农户为主要模式，大力发展订单生产，为企业做优品牌提供优质棉花，为农户优质优价增收提供保障，解决棉花供销矛盾，带动全县棉花产业的发展，完成试点任务2280吨。</w:t>
      </w:r>
    </w:p>
    <w:p>
      <w:pPr>
        <w:keepNext w:val="0"/>
        <w:keepLines w:val="0"/>
        <w:pageBreakBefore w:val="0"/>
        <w:numPr>
          <w:ilvl w:val="0"/>
          <w:numId w:val="0"/>
        </w:numPr>
        <w:kinsoku/>
        <w:wordWrap/>
        <w:overflowPunct/>
        <w:topLinePunct w:val="0"/>
        <w:autoSpaceDE/>
        <w:autoSpaceDN/>
        <w:bidi w:val="0"/>
        <w:adjustRightInd w:val="0"/>
        <w:snapToGrid w:val="0"/>
        <w:spacing w:line="580" w:lineRule="exact"/>
        <w:ind w:firstLine="643" w:firstLineChars="200"/>
        <w:jc w:val="left"/>
        <w:textAlignment w:val="auto"/>
        <w:rPr>
          <w:rFonts w:hint="eastAsia" w:ascii="仿宋" w:hAnsi="仿宋" w:eastAsia="仿宋" w:cs="宋体"/>
          <w:kern w:val="2"/>
          <w:sz w:val="32"/>
          <w:szCs w:val="32"/>
          <w:lang w:val="en-US" w:eastAsia="zh-CN" w:bidi="ar-SA"/>
        </w:rPr>
      </w:pPr>
      <w:r>
        <w:rPr>
          <w:rFonts w:hint="eastAsia" w:ascii="楷体_GB2312" w:hAnsi="楷体_GB2312" w:eastAsia="楷体_GB2312" w:cs="楷体_GB2312"/>
          <w:b/>
          <w:bCs/>
          <w:kern w:val="2"/>
          <w:sz w:val="32"/>
          <w:szCs w:val="32"/>
          <w:lang w:val="en-US" w:eastAsia="zh-CN" w:bidi="ar-SA"/>
        </w:rPr>
        <w:t>10、深入开展技术服务指导</w:t>
      </w:r>
      <w:r>
        <w:rPr>
          <w:rFonts w:hint="eastAsia" w:ascii="仿宋" w:hAnsi="仿宋" w:eastAsia="仿宋" w:cs="宋体"/>
          <w:kern w:val="2"/>
          <w:sz w:val="32"/>
          <w:szCs w:val="32"/>
          <w:lang w:val="en-US" w:eastAsia="zh-CN" w:bidi="ar-SA"/>
        </w:rPr>
        <w:t>。一是成立华容县农业农村局棉花生产技术指导小组，抽调局内8位农技专家，每位专家负责2个乡镇，深入生产一线,有针对性地开展技术培训和指导服务,指导农户掌握技术要领,确保技术要领及时入户、技术措施及时下田,为棉花生产提供有力的技术保障。二是积极对接省棉科所、湖南农业大学等科研机构，结合我县实际种植情况，探索棉花生产轻简化、机械化技术研究与集成，具体包括直播、种肥同播、机械中耕除草、无人机应用等田间管理技术、免整枝免打顶的化控技术等，为“轻简植棉”、“快乐植棉”的实现做好技术储备，优化农机和农艺配套技术，加快植棉轻简花、机械化进程。</w:t>
      </w:r>
    </w:p>
    <w:p>
      <w:pPr>
        <w:keepNext w:val="0"/>
        <w:keepLines w:val="0"/>
        <w:pageBreakBefore w:val="0"/>
        <w:numPr>
          <w:ilvl w:val="0"/>
          <w:numId w:val="0"/>
        </w:numPr>
        <w:kinsoku/>
        <w:wordWrap/>
        <w:overflowPunct/>
        <w:topLinePunct w:val="0"/>
        <w:autoSpaceDE/>
        <w:autoSpaceDN/>
        <w:bidi w:val="0"/>
        <w:adjustRightInd w:val="0"/>
        <w:snapToGrid w:val="0"/>
        <w:spacing w:line="580" w:lineRule="exact"/>
        <w:ind w:firstLine="643" w:firstLineChars="200"/>
        <w:jc w:val="left"/>
        <w:textAlignment w:val="auto"/>
        <w:rPr>
          <w:rFonts w:hint="eastAsia" w:ascii="仿宋_GB2312" w:hAnsi="仿宋_GB2312" w:eastAsia="仿宋_GB2312" w:cs="仿宋_GB2312"/>
          <w:b w:val="0"/>
          <w:bCs w:val="0"/>
          <w:sz w:val="32"/>
          <w:szCs w:val="32"/>
          <w:lang w:val="en-US" w:eastAsia="zh-CN"/>
        </w:rPr>
      </w:pPr>
      <w:r>
        <w:rPr>
          <w:rFonts w:hint="eastAsia" w:ascii="楷体_GB2312" w:hAnsi="楷体_GB2312" w:eastAsia="楷体_GB2312" w:cs="楷体_GB2312"/>
          <w:b/>
          <w:bCs/>
          <w:kern w:val="2"/>
          <w:sz w:val="32"/>
          <w:szCs w:val="32"/>
          <w:lang w:val="en-US" w:eastAsia="zh-CN" w:bidi="ar-SA"/>
        </w:rPr>
        <w:t>11、加强棉田基础设施建设。</w:t>
      </w:r>
      <w:r>
        <w:rPr>
          <w:rFonts w:hint="eastAsia" w:ascii="仿宋_GB2312" w:hAnsi="仿宋_GB2312" w:eastAsia="仿宋_GB2312" w:cs="仿宋_GB2312"/>
          <w:b w:val="0"/>
          <w:bCs w:val="0"/>
          <w:sz w:val="32"/>
          <w:szCs w:val="32"/>
          <w:lang w:val="en-US" w:eastAsia="zh-CN"/>
        </w:rPr>
        <w:t>推进高标准棉田建设，对低产棉田改造，进行标准化整厢、疏通沟渠，支持机耕道建设，为棉花机械化生产奠定基础，同时加强抗旱及防涝设施建设，以应对极端灾害气候影响，确保棉田产量稳定。</w:t>
      </w:r>
    </w:p>
    <w:p>
      <w:pPr>
        <w:pStyle w:val="3"/>
        <w:keepNext w:val="0"/>
        <w:keepLines w:val="0"/>
        <w:pageBreakBefore w:val="0"/>
        <w:numPr>
          <w:ilvl w:val="0"/>
          <w:numId w:val="9"/>
        </w:numPr>
        <w:kinsoku/>
        <w:wordWrap/>
        <w:overflowPunct/>
        <w:topLinePunct w:val="0"/>
        <w:autoSpaceDE/>
        <w:autoSpaceDN/>
        <w:bidi w:val="0"/>
        <w:spacing w:line="580" w:lineRule="exact"/>
        <w:ind w:firstLine="640"/>
        <w:textAlignment w:val="auto"/>
      </w:pPr>
      <w:r>
        <w:t>存在问题及原因分析</w:t>
      </w:r>
    </w:p>
    <w:p>
      <w:pPr>
        <w:keepNext w:val="0"/>
        <w:keepLines w:val="0"/>
        <w:pageBreakBefore w:val="0"/>
        <w:kinsoku/>
        <w:wordWrap/>
        <w:overflowPunct/>
        <w:topLinePunct w:val="0"/>
        <w:autoSpaceDE/>
        <w:autoSpaceDN/>
        <w:bidi w:val="0"/>
        <w:adjustRightInd w:val="0"/>
        <w:snapToGrid w:val="0"/>
        <w:spacing w:line="580" w:lineRule="exact"/>
        <w:ind w:firstLine="643" w:firstLineChars="200"/>
        <w:textAlignment w:val="auto"/>
        <w:rPr>
          <w:rFonts w:hint="default" w:ascii="仿宋_GB2312" w:hAnsi="Times New Roman" w:eastAsia="仿宋_GB2312" w:cs="Times New Roman"/>
          <w:sz w:val="32"/>
          <w:szCs w:val="32"/>
          <w:lang w:val="en-US" w:eastAsia="zh-CN"/>
        </w:rPr>
      </w:pPr>
      <w:r>
        <w:rPr>
          <w:rFonts w:hint="eastAsia" w:ascii="楷体_GB2312" w:hAnsi="楷体_GB2312" w:eastAsia="楷体_GB2312" w:cs="楷体_GB2312"/>
          <w:b/>
          <w:bCs/>
          <w:kern w:val="2"/>
          <w:sz w:val="32"/>
          <w:szCs w:val="32"/>
          <w:lang w:val="en-US" w:eastAsia="zh-CN" w:bidi="ar-SA"/>
        </w:rPr>
        <w:t>1、机械化程度低、新技术推广困难。</w:t>
      </w:r>
      <w:r>
        <w:rPr>
          <w:rFonts w:hint="eastAsia" w:ascii="仿宋_GB2312" w:hAnsi="Times New Roman" w:eastAsia="仿宋_GB2312" w:cs="Times New Roman"/>
          <w:sz w:val="32"/>
          <w:szCs w:val="32"/>
          <w:lang w:val="en-US" w:eastAsia="zh-CN"/>
        </w:rPr>
        <w:t>机械化程度底、生产用工多是造成种棉比较效益低的主要原因，也是造成我县棉花面积逐年减少的内在因素。直播棉可以减少用工、降低成本、提高效益，但是直播棉一直未在我县推开，主要有以下原因：一是并未找到合适我县直播的品种；二是直播技术并不成熟，直播最适宜的播种时间和播种密度还在探索之中，同时直播对整地质量、播种深度、盖土厚度等要求比较高，农民还没有完全掌握；三是推广直播出于省工高效的目的，必然需要配套的播种及收获机械，但是目前也没有使用效果满意的机械；四是农户对新技术的接受度不一，部分农户因对新技术不了解，思维固化，对新技术有抵触心理，导致新技术难以推广。</w:t>
      </w:r>
    </w:p>
    <w:p>
      <w:pPr>
        <w:keepNext w:val="0"/>
        <w:keepLines w:val="0"/>
        <w:pageBreakBefore w:val="0"/>
        <w:kinsoku/>
        <w:wordWrap/>
        <w:overflowPunct/>
        <w:topLinePunct w:val="0"/>
        <w:autoSpaceDE/>
        <w:autoSpaceDN/>
        <w:bidi w:val="0"/>
        <w:adjustRightInd w:val="0"/>
        <w:snapToGrid w:val="0"/>
        <w:spacing w:line="580" w:lineRule="exact"/>
        <w:ind w:firstLine="643" w:firstLineChars="200"/>
        <w:textAlignment w:val="auto"/>
        <w:rPr>
          <w:rFonts w:hint="eastAsia" w:ascii="仿宋_GB2312" w:hAnsi="Times New Roman" w:eastAsia="仿宋_GB2312" w:cs="Times New Roman"/>
          <w:sz w:val="32"/>
          <w:szCs w:val="32"/>
          <w:lang w:val="en-US" w:eastAsia="zh-CN"/>
        </w:rPr>
      </w:pPr>
      <w:r>
        <w:rPr>
          <w:rFonts w:hint="eastAsia" w:ascii="楷体_GB2312" w:hAnsi="楷体_GB2312" w:eastAsia="楷体_GB2312" w:cs="楷体_GB2312"/>
          <w:b/>
          <w:bCs/>
          <w:kern w:val="2"/>
          <w:sz w:val="32"/>
          <w:szCs w:val="32"/>
          <w:lang w:val="en-US" w:eastAsia="zh-CN" w:bidi="ar-SA"/>
        </w:rPr>
        <w:t>2、管理措施粗放</w:t>
      </w:r>
      <w:r>
        <w:rPr>
          <w:rFonts w:hint="eastAsia" w:ascii="仿宋_GB2312" w:hAnsi="Times New Roman" w:eastAsia="仿宋_GB2312" w:cs="Times New Roman"/>
          <w:sz w:val="32"/>
          <w:szCs w:val="32"/>
          <w:lang w:val="en-US" w:eastAsia="zh-CN"/>
        </w:rPr>
        <w:t>。受棉花价格的影响，今年植棉户主由于担忧棉花价格不理想，再加上劳动力投入不够，导致管理粗放，措施不到位，种植的人工投入成本相应地降低。</w:t>
      </w:r>
    </w:p>
    <w:p>
      <w:pPr>
        <w:keepNext w:val="0"/>
        <w:keepLines w:val="0"/>
        <w:pageBreakBefore w:val="0"/>
        <w:kinsoku/>
        <w:wordWrap/>
        <w:overflowPunct/>
        <w:topLinePunct w:val="0"/>
        <w:autoSpaceDE/>
        <w:autoSpaceDN/>
        <w:bidi w:val="0"/>
        <w:adjustRightInd w:val="0"/>
        <w:snapToGrid w:val="0"/>
        <w:spacing w:line="580" w:lineRule="exact"/>
        <w:ind w:firstLine="643" w:firstLineChars="200"/>
        <w:textAlignment w:val="auto"/>
        <w:rPr>
          <w:rFonts w:hint="eastAsia" w:ascii="仿宋_GB2312" w:hAnsi="Times New Roman" w:eastAsia="仿宋_GB2312" w:cs="Times New Roman"/>
          <w:sz w:val="32"/>
          <w:szCs w:val="32"/>
          <w:lang w:val="en-US" w:eastAsia="zh-CN"/>
        </w:rPr>
      </w:pPr>
      <w:r>
        <w:rPr>
          <w:rFonts w:hint="eastAsia" w:ascii="楷体_GB2312" w:hAnsi="楷体_GB2312" w:eastAsia="楷体_GB2312" w:cs="楷体_GB2312"/>
          <w:b/>
          <w:bCs/>
          <w:kern w:val="2"/>
          <w:sz w:val="32"/>
          <w:szCs w:val="32"/>
          <w:lang w:val="en-US" w:eastAsia="zh-CN" w:bidi="ar-SA"/>
        </w:rPr>
        <w:t>3、棉花生产比较效益低下，棉农改种意愿强烈。</w:t>
      </w:r>
      <w:r>
        <w:rPr>
          <w:rFonts w:hint="eastAsia" w:ascii="仿宋_GB2312" w:hAnsi="Times New Roman" w:eastAsia="仿宋_GB2312" w:cs="Times New Roman"/>
          <w:sz w:val="32"/>
          <w:szCs w:val="32"/>
          <w:lang w:val="en-US" w:eastAsia="zh-CN"/>
        </w:rPr>
        <w:t>一是用工比较效益差，据对全县种植的水稻、玉米、芝麻、大豆、南瓜、棉花等6种作物，进了比较效益调查，结果表明，从用工价值角度计算，劳动用工比较效益最高的是水稻（一季稻），其次是玉米、芝麻、大豆、南瓜，棉花比较效益差，一个工价值仅有98元。二是整体效益下降，随着农业生产资料价格的上涨，现在棉农种植一亩棉花的直接物化成本约590元（不计人工成本），如果加上抗旱成本、土地流转费等成本，农民种植棉花，辛苦一年，基本无利可图，种得不好的甚至亏损，这也使许多棉农纷纷改种其它更加高效省工的作物。</w:t>
      </w:r>
    </w:p>
    <w:p>
      <w:pPr>
        <w:keepNext w:val="0"/>
        <w:keepLines w:val="0"/>
        <w:pageBreakBefore w:val="0"/>
        <w:kinsoku/>
        <w:wordWrap/>
        <w:overflowPunct/>
        <w:topLinePunct w:val="0"/>
        <w:autoSpaceDE/>
        <w:autoSpaceDN/>
        <w:bidi w:val="0"/>
        <w:adjustRightInd w:val="0"/>
        <w:snapToGrid w:val="0"/>
        <w:spacing w:line="580" w:lineRule="exact"/>
        <w:ind w:firstLine="643" w:firstLineChars="200"/>
        <w:textAlignment w:val="auto"/>
        <w:rPr>
          <w:rFonts w:hint="eastAsia" w:ascii="仿宋_GB2312" w:hAnsi="Times New Roman" w:eastAsia="仿宋_GB2312" w:cs="Times New Roman"/>
          <w:b w:val="0"/>
          <w:bCs w:val="0"/>
          <w:sz w:val="32"/>
          <w:szCs w:val="32"/>
          <w:lang w:val="en-US" w:eastAsia="zh-CN"/>
        </w:rPr>
      </w:pPr>
      <w:r>
        <w:rPr>
          <w:rFonts w:hint="eastAsia" w:ascii="楷体_GB2312" w:hAnsi="楷体_GB2312" w:eastAsia="楷体_GB2312" w:cs="楷体_GB2312"/>
          <w:b/>
          <w:bCs/>
          <w:kern w:val="2"/>
          <w:sz w:val="32"/>
          <w:szCs w:val="32"/>
          <w:lang w:val="en-US" w:eastAsia="zh-CN" w:bidi="ar-SA"/>
        </w:rPr>
        <w:t>4、棉花大县奖励实施问题。</w:t>
      </w:r>
      <w:r>
        <w:rPr>
          <w:rFonts w:hint="eastAsia" w:ascii="仿宋_GB2312" w:hAnsi="Times New Roman" w:eastAsia="仿宋_GB2312" w:cs="Times New Roman"/>
          <w:sz w:val="32"/>
          <w:szCs w:val="32"/>
          <w:lang w:val="en-US" w:eastAsia="zh-CN"/>
        </w:rPr>
        <w:t>一是资金到位及发放时间问题，棉花大县奖励种植户补贴按照政策是补贴上一年种植户，而资金下达时间在年种，补贴发放在当年12月20日之前，从棉花完成收花到得到补贴，时间上间隔一年左右，由于没有及时享受补贴，加上棉花种植用工多，比较效益相对较低，而当年的补贴政策在棉花种植季节具有不确定性，一定程度上影响农户当年的积极性；二是资金使用方向上在引导棉农种植优质品种上缺少资金支持，奖励资金的一个基本原则是突出重点、鼓励优质，但资金实际使用方向在棉花种植补贴及棉花提质增效，而农户往往</w:t>
      </w:r>
      <w:r>
        <w:rPr>
          <w:rFonts w:hint="eastAsia" w:ascii="仿宋_GB2312" w:hAnsi="Times New Roman" w:eastAsia="仿宋_GB2312" w:cs="Times New Roman"/>
          <w:b w:val="0"/>
          <w:bCs w:val="0"/>
          <w:sz w:val="32"/>
          <w:szCs w:val="32"/>
          <w:lang w:val="en-US" w:eastAsia="zh-CN"/>
        </w:rPr>
        <w:t>习惯种植老品种，如若不通过政策采购，我省新的优质棉种难以推广。</w:t>
      </w:r>
    </w:p>
    <w:p>
      <w:pPr>
        <w:keepNext w:val="0"/>
        <w:keepLines w:val="0"/>
        <w:pageBreakBefore w:val="0"/>
        <w:kinsoku/>
        <w:wordWrap/>
        <w:overflowPunct/>
        <w:topLinePunct w:val="0"/>
        <w:autoSpaceDE/>
        <w:autoSpaceDN/>
        <w:bidi w:val="0"/>
        <w:adjustRightInd w:val="0"/>
        <w:snapToGrid w:val="0"/>
        <w:spacing w:line="580" w:lineRule="exact"/>
        <w:ind w:firstLine="640" w:firstLineChars="200"/>
        <w:textAlignment w:val="auto"/>
        <w:rPr>
          <w:rFonts w:ascii="Times New Roman" w:hAnsi="Times New Roman" w:eastAsia="黑体" w:cs="Times New Roman"/>
          <w:bCs/>
          <w:kern w:val="2"/>
          <w:sz w:val="32"/>
          <w:szCs w:val="32"/>
          <w:lang w:val="en-US" w:eastAsia="zh-CN" w:bidi="ar-SA"/>
        </w:rPr>
      </w:pPr>
      <w:r>
        <w:rPr>
          <w:rFonts w:ascii="Times New Roman" w:hAnsi="Times New Roman" w:eastAsia="黑体" w:cs="Times New Roman"/>
          <w:bCs/>
          <w:kern w:val="2"/>
          <w:sz w:val="32"/>
          <w:szCs w:val="32"/>
          <w:lang w:val="en-US" w:eastAsia="zh-CN" w:bidi="ar-SA"/>
        </w:rPr>
        <w:t>五、有关建议</w:t>
      </w:r>
    </w:p>
    <w:p>
      <w:pPr>
        <w:keepNext w:val="0"/>
        <w:keepLines w:val="0"/>
        <w:pageBreakBefore w:val="0"/>
        <w:widowControl w:val="0"/>
        <w:kinsoku/>
        <w:wordWrap/>
        <w:overflowPunct/>
        <w:topLinePunct w:val="0"/>
        <w:autoSpaceDE/>
        <w:autoSpaceDN/>
        <w:bidi w:val="0"/>
        <w:adjustRightInd/>
        <w:snapToGrid/>
        <w:spacing w:line="580" w:lineRule="exact"/>
        <w:ind w:firstLine="643" w:firstLineChars="200"/>
        <w:textAlignment w:val="auto"/>
        <w:rPr>
          <w:rFonts w:hint="default" w:ascii="仿宋" w:hAnsi="仿宋" w:eastAsia="仿宋" w:cs="宋体"/>
          <w:color w:val="auto"/>
          <w:sz w:val="32"/>
          <w:szCs w:val="32"/>
          <w:lang w:val="en-US" w:eastAsia="zh-CN"/>
        </w:rPr>
      </w:pPr>
      <w:r>
        <w:rPr>
          <w:rFonts w:hint="eastAsia" w:ascii="楷体_GB2312" w:hAnsi="楷体_GB2312" w:eastAsia="楷体_GB2312" w:cs="楷体_GB2312"/>
          <w:b/>
          <w:bCs/>
          <w:kern w:val="2"/>
          <w:sz w:val="32"/>
          <w:szCs w:val="32"/>
          <w:lang w:val="en-US" w:eastAsia="zh-CN" w:bidi="ar-SA"/>
        </w:rPr>
        <w:t>1、重新实行棉花临时收储政策。</w:t>
      </w:r>
      <w:r>
        <w:rPr>
          <w:rFonts w:hint="eastAsia" w:ascii="仿宋" w:hAnsi="仿宋" w:eastAsia="仿宋" w:cs="宋体"/>
          <w:color w:val="auto"/>
          <w:sz w:val="32"/>
          <w:szCs w:val="32"/>
          <w:lang w:val="en-US" w:eastAsia="zh-CN"/>
        </w:rPr>
        <w:t>近三年我县籽棉市场收购价格分别为10、7.4、7.2元/公斤，收购价格低且不稳定，极大挫伤农户植棉积极性，建议国家恢复棉花临时收储政策，实行棉花收购最低保护价，稳定棉花价格，从而稳定棉农信心。</w:t>
      </w:r>
    </w:p>
    <w:p>
      <w:pPr>
        <w:keepNext w:val="0"/>
        <w:keepLines w:val="0"/>
        <w:pageBreakBefore w:val="0"/>
        <w:numPr>
          <w:ilvl w:val="0"/>
          <w:numId w:val="0"/>
        </w:numPr>
        <w:kinsoku/>
        <w:wordWrap/>
        <w:overflowPunct/>
        <w:topLinePunct w:val="0"/>
        <w:autoSpaceDE/>
        <w:autoSpaceDN/>
        <w:bidi w:val="0"/>
        <w:adjustRightInd w:val="0"/>
        <w:snapToGrid w:val="0"/>
        <w:spacing w:line="580" w:lineRule="exact"/>
        <w:ind w:firstLine="643" w:firstLineChars="200"/>
        <w:jc w:val="left"/>
        <w:textAlignment w:val="auto"/>
        <w:rPr>
          <w:rFonts w:hint="default" w:ascii="仿宋" w:hAnsi="仿宋" w:eastAsia="仿宋" w:cs="宋体"/>
          <w:color w:val="auto"/>
          <w:sz w:val="32"/>
          <w:szCs w:val="32"/>
          <w:lang w:val="en-US" w:eastAsia="zh-CN"/>
        </w:rPr>
      </w:pPr>
      <w:r>
        <w:rPr>
          <w:rFonts w:hint="eastAsia" w:ascii="楷体_GB2312" w:hAnsi="楷体_GB2312" w:eastAsia="楷体_GB2312" w:cs="楷体_GB2312"/>
          <w:b/>
          <w:bCs/>
          <w:kern w:val="2"/>
          <w:sz w:val="32"/>
          <w:szCs w:val="32"/>
          <w:lang w:val="en-US" w:eastAsia="zh-CN" w:bidi="ar-SA"/>
        </w:rPr>
        <w:t>2、</w:t>
      </w:r>
      <w:r>
        <w:rPr>
          <w:rFonts w:hint="default" w:ascii="楷体_GB2312" w:hAnsi="楷体_GB2312" w:eastAsia="楷体_GB2312" w:cs="楷体_GB2312"/>
          <w:b/>
          <w:bCs/>
          <w:kern w:val="2"/>
          <w:sz w:val="32"/>
          <w:szCs w:val="32"/>
          <w:lang w:val="en-US" w:eastAsia="zh-CN" w:bidi="ar-SA"/>
        </w:rPr>
        <w:t>积极开展棉花政策性保险，降低棉花种植风险。</w:t>
      </w:r>
      <w:r>
        <w:rPr>
          <w:rFonts w:hint="default" w:ascii="仿宋" w:hAnsi="仿宋" w:eastAsia="仿宋" w:cs="宋体"/>
          <w:color w:val="auto"/>
          <w:sz w:val="32"/>
          <w:szCs w:val="32"/>
          <w:lang w:val="en-US" w:eastAsia="zh-CN"/>
        </w:rPr>
        <w:t>近年自然灾害频发重发，给棉花生产带来不利影响。面对频发的自然灾害，积极稳妥推进种植业政策性保险工作，加快建立农业风险防范机制。</w:t>
      </w:r>
    </w:p>
    <w:p>
      <w:pPr>
        <w:keepNext w:val="0"/>
        <w:keepLines w:val="0"/>
        <w:pageBreakBefore w:val="0"/>
        <w:widowControl w:val="0"/>
        <w:kinsoku/>
        <w:wordWrap/>
        <w:overflowPunct/>
        <w:topLinePunct w:val="0"/>
        <w:autoSpaceDE/>
        <w:autoSpaceDN/>
        <w:bidi w:val="0"/>
        <w:adjustRightInd/>
        <w:snapToGrid/>
        <w:spacing w:line="580" w:lineRule="exact"/>
        <w:ind w:firstLine="643" w:firstLineChars="200"/>
        <w:textAlignment w:val="auto"/>
        <w:rPr>
          <w:rFonts w:hint="eastAsia" w:ascii="仿宋" w:hAnsi="仿宋" w:eastAsia="仿宋" w:cs="宋体"/>
          <w:color w:val="auto"/>
          <w:sz w:val="32"/>
          <w:szCs w:val="32"/>
        </w:rPr>
      </w:pPr>
      <w:r>
        <w:rPr>
          <w:rFonts w:hint="eastAsia" w:ascii="楷体_GB2312" w:hAnsi="楷体_GB2312" w:eastAsia="楷体_GB2312" w:cs="楷体_GB2312"/>
          <w:b/>
          <w:bCs/>
          <w:kern w:val="2"/>
          <w:sz w:val="32"/>
          <w:szCs w:val="32"/>
          <w:lang w:val="en-US" w:eastAsia="zh-CN" w:bidi="ar-SA"/>
        </w:rPr>
        <w:t>3、构建轻简高效植棉技术体系。</w:t>
      </w:r>
      <w:r>
        <w:rPr>
          <w:rFonts w:hint="eastAsia" w:ascii="仿宋" w:hAnsi="仿宋" w:eastAsia="仿宋" w:cs="宋体"/>
          <w:color w:val="auto"/>
          <w:sz w:val="32"/>
          <w:szCs w:val="32"/>
        </w:rPr>
        <w:t>建议科研机构加快推进棉花生产轻简化、机械化技术研究与集成，具体包括直播、种肥同播、机械中耕除草、无人机应用等田间管理技术、免整枝免打顶的化控技术等，为“轻简植棉”、“快乐植棉”的实现做好技术储备，优化农机和农艺配套技术，加快植棉轻简花、机械化进程。</w:t>
      </w:r>
    </w:p>
    <w:p>
      <w:pPr>
        <w:keepNext w:val="0"/>
        <w:keepLines w:val="0"/>
        <w:pageBreakBefore w:val="0"/>
        <w:numPr>
          <w:ilvl w:val="0"/>
          <w:numId w:val="0"/>
        </w:numPr>
        <w:kinsoku/>
        <w:wordWrap/>
        <w:overflowPunct/>
        <w:topLinePunct w:val="0"/>
        <w:autoSpaceDE/>
        <w:autoSpaceDN/>
        <w:bidi w:val="0"/>
        <w:adjustRightInd w:val="0"/>
        <w:snapToGrid w:val="0"/>
        <w:spacing w:line="580" w:lineRule="exact"/>
        <w:ind w:firstLine="643" w:firstLineChars="200"/>
        <w:jc w:val="left"/>
        <w:textAlignment w:val="auto"/>
        <w:rPr>
          <w:rFonts w:hint="eastAsia" w:ascii="仿宋" w:hAnsi="仿宋" w:eastAsia="仿宋" w:cs="宋体"/>
          <w:color w:val="auto"/>
          <w:sz w:val="32"/>
          <w:szCs w:val="32"/>
          <w:lang w:val="en-US" w:eastAsia="zh-CN"/>
        </w:rPr>
      </w:pPr>
      <w:r>
        <w:rPr>
          <w:rFonts w:hint="eastAsia" w:ascii="楷体_GB2312" w:hAnsi="楷体_GB2312" w:eastAsia="楷体_GB2312" w:cs="楷体_GB2312"/>
          <w:b/>
          <w:bCs/>
          <w:kern w:val="2"/>
          <w:sz w:val="32"/>
          <w:szCs w:val="32"/>
          <w:lang w:val="en-US" w:eastAsia="zh-CN" w:bidi="ar-SA"/>
        </w:rPr>
        <w:t>4、建议开展高标准棉田建设。</w:t>
      </w:r>
      <w:r>
        <w:rPr>
          <w:rFonts w:hint="eastAsia" w:ascii="仿宋" w:hAnsi="仿宋" w:eastAsia="仿宋" w:cs="宋体"/>
          <w:color w:val="auto"/>
          <w:sz w:val="32"/>
          <w:szCs w:val="32"/>
          <w:lang w:val="en-US" w:eastAsia="zh-CN"/>
        </w:rPr>
        <w:t>目前棉田基础设施差，极大制约了棉花生产轻简化的发展和规模化种植，影响棉花种植效益，建议立足棉花种植节本、提质、增产、增效的要求，从“田、土、水、路、管”等五个方面，加强棉田改造和基础设施建设，增强棉花生产抵抗自然灾害的能力，开展高标准棉田建设，为推动棉花产业高质量发展奠定基础。</w:t>
      </w:r>
    </w:p>
    <w:p>
      <w:pPr>
        <w:keepNext w:val="0"/>
        <w:keepLines w:val="0"/>
        <w:pageBreakBefore w:val="0"/>
        <w:numPr>
          <w:ilvl w:val="0"/>
          <w:numId w:val="0"/>
        </w:numPr>
        <w:kinsoku/>
        <w:wordWrap/>
        <w:overflowPunct/>
        <w:topLinePunct w:val="0"/>
        <w:autoSpaceDE/>
        <w:autoSpaceDN/>
        <w:bidi w:val="0"/>
        <w:adjustRightInd w:val="0"/>
        <w:snapToGrid w:val="0"/>
        <w:spacing w:line="580" w:lineRule="exact"/>
        <w:ind w:firstLine="643" w:firstLineChars="200"/>
        <w:textAlignment w:val="auto"/>
        <w:rPr>
          <w:rFonts w:hint="eastAsia" w:ascii="仿宋" w:hAnsi="仿宋" w:eastAsia="仿宋" w:cs="宋体"/>
          <w:b/>
          <w:bCs/>
          <w:color w:val="auto"/>
          <w:sz w:val="32"/>
          <w:szCs w:val="32"/>
          <w:lang w:val="en-US" w:eastAsia="zh-CN"/>
        </w:rPr>
      </w:pPr>
      <w:r>
        <w:rPr>
          <w:rFonts w:hint="eastAsia" w:ascii="楷体_GB2312" w:hAnsi="楷体_GB2312" w:eastAsia="楷体_GB2312" w:cs="楷体_GB2312"/>
          <w:b/>
          <w:bCs/>
          <w:sz w:val="32"/>
          <w:szCs w:val="32"/>
          <w:lang w:val="en-US" w:eastAsia="zh-CN"/>
        </w:rPr>
        <w:t>5、调整资金下达时间，加大扶持力度。</w:t>
      </w:r>
      <w:r>
        <w:rPr>
          <w:rFonts w:hint="eastAsia" w:ascii="仿宋_GB2312" w:hAnsi="Times New Roman" w:eastAsia="仿宋_GB2312" w:cs="Times New Roman"/>
          <w:b w:val="0"/>
          <w:bCs w:val="0"/>
          <w:sz w:val="32"/>
          <w:szCs w:val="32"/>
          <w:lang w:val="en-US" w:eastAsia="zh-CN"/>
        </w:rPr>
        <w:t>提前下达资金，争取在农历年前下达资金，在每年棉花种植之前（4月份）之前完成种植户补贴发放，同时加大资金扶持力度，重点在优质棉种采购、标准棉田改造、大户扶持以及棉花机械补贴方向。</w:t>
      </w:r>
    </w:p>
    <w:p>
      <w:pPr>
        <w:pStyle w:val="3"/>
        <w:keepNext w:val="0"/>
        <w:keepLines w:val="0"/>
        <w:pageBreakBefore w:val="0"/>
        <w:kinsoku/>
        <w:wordWrap/>
        <w:overflowPunct/>
        <w:topLinePunct w:val="0"/>
        <w:autoSpaceDE/>
        <w:autoSpaceDN/>
        <w:bidi w:val="0"/>
        <w:spacing w:line="580" w:lineRule="exact"/>
        <w:ind w:firstLine="640"/>
        <w:textAlignment w:val="auto"/>
      </w:pPr>
      <w:r>
        <w:t>六、其他需要说明的事项</w:t>
      </w:r>
    </w:p>
    <w:p>
      <w:pPr>
        <w:keepNext w:val="0"/>
        <w:keepLines w:val="0"/>
        <w:pageBreakBefore w:val="0"/>
        <w:kinsoku/>
        <w:wordWrap/>
        <w:overflowPunct/>
        <w:topLinePunct w:val="0"/>
        <w:autoSpaceDE/>
        <w:autoSpaceDN/>
        <w:bidi w:val="0"/>
        <w:adjustRightInd w:val="0"/>
        <w:snapToGrid w:val="0"/>
        <w:spacing w:line="580" w:lineRule="exact"/>
        <w:ind w:firstLine="640" w:firstLineChars="200"/>
        <w:jc w:val="left"/>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各级单位</w:t>
      </w:r>
      <w:r>
        <w:rPr>
          <w:rFonts w:hint="eastAsia" w:ascii="仿宋_GB2312" w:hAnsi="仿宋_GB2312" w:eastAsia="仿宋_GB2312" w:cs="仿宋_GB2312"/>
          <w:sz w:val="32"/>
          <w:szCs w:val="32"/>
        </w:rPr>
        <w:t>对</w:t>
      </w:r>
      <w:r>
        <w:rPr>
          <w:rFonts w:hint="eastAsia" w:ascii="仿宋_GB2312" w:hAnsi="仿宋_GB2312" w:eastAsia="仿宋_GB2312" w:cs="仿宋_GB2312"/>
          <w:sz w:val="32"/>
          <w:szCs w:val="32"/>
          <w:lang w:val="en-US" w:eastAsia="zh-CN"/>
        </w:rPr>
        <w:t>项目</w:t>
      </w:r>
      <w:r>
        <w:rPr>
          <w:rFonts w:hint="eastAsia" w:ascii="仿宋_GB2312" w:hAnsi="仿宋_GB2312" w:eastAsia="仿宋_GB2312" w:cs="仿宋_GB2312"/>
          <w:sz w:val="32"/>
          <w:szCs w:val="32"/>
        </w:rPr>
        <w:t>资金的申报、公示、审核、发放等各个环节严格把关，确保</w:t>
      </w:r>
      <w:r>
        <w:rPr>
          <w:rFonts w:hint="eastAsia" w:ascii="仿宋_GB2312" w:hAnsi="仿宋_GB2312" w:eastAsia="仿宋_GB2312" w:cs="仿宋_GB2312"/>
          <w:sz w:val="32"/>
          <w:szCs w:val="32"/>
          <w:lang w:val="en-US" w:eastAsia="zh-CN"/>
        </w:rPr>
        <w:t>项目</w:t>
      </w:r>
      <w:r>
        <w:rPr>
          <w:rFonts w:hint="eastAsia" w:ascii="仿宋_GB2312" w:hAnsi="仿宋_GB2312" w:eastAsia="仿宋_GB2312" w:cs="仿宋_GB2312"/>
          <w:sz w:val="32"/>
          <w:szCs w:val="32"/>
        </w:rPr>
        <w:t>资金足额发放到实际</w:t>
      </w:r>
      <w:r>
        <w:rPr>
          <w:rFonts w:hint="eastAsia" w:ascii="仿宋_GB2312" w:hAnsi="仿宋_GB2312" w:eastAsia="仿宋_GB2312" w:cs="仿宋_GB2312"/>
          <w:sz w:val="32"/>
          <w:szCs w:val="32"/>
          <w:lang w:val="en-US" w:eastAsia="zh-CN"/>
        </w:rPr>
        <w:t>棉花</w:t>
      </w:r>
      <w:r>
        <w:rPr>
          <w:rFonts w:hint="eastAsia" w:ascii="仿宋_GB2312" w:hAnsi="仿宋_GB2312" w:eastAsia="仿宋_GB2312" w:cs="仿宋_GB2312"/>
          <w:sz w:val="32"/>
          <w:szCs w:val="32"/>
        </w:rPr>
        <w:t>种植者手里，</w:t>
      </w:r>
      <w:r>
        <w:rPr>
          <w:rFonts w:hint="eastAsia" w:ascii="仿宋_GB2312" w:hAnsi="仿宋_GB2312" w:eastAsia="仿宋_GB2312" w:cs="仿宋_GB2312"/>
          <w:sz w:val="32"/>
          <w:szCs w:val="32"/>
          <w:lang w:val="en-US" w:eastAsia="zh-CN"/>
        </w:rPr>
        <w:t>未发现</w:t>
      </w:r>
      <w:r>
        <w:rPr>
          <w:rFonts w:hint="eastAsia" w:ascii="仿宋_GB2312" w:hAnsi="仿宋_GB2312" w:eastAsia="仿宋_GB2312" w:cs="仿宋_GB2312"/>
          <w:sz w:val="32"/>
          <w:szCs w:val="32"/>
        </w:rPr>
        <w:t>将</w:t>
      </w:r>
      <w:r>
        <w:rPr>
          <w:rFonts w:hint="eastAsia" w:ascii="仿宋_GB2312" w:hAnsi="仿宋_GB2312" w:eastAsia="仿宋_GB2312" w:cs="仿宋_GB2312"/>
          <w:sz w:val="32"/>
          <w:szCs w:val="32"/>
          <w:lang w:val="en-US" w:eastAsia="zh-CN"/>
        </w:rPr>
        <w:t>项目</w:t>
      </w:r>
      <w:r>
        <w:rPr>
          <w:rFonts w:hint="eastAsia" w:ascii="仿宋_GB2312" w:hAnsi="仿宋_GB2312" w:eastAsia="仿宋_GB2312" w:cs="仿宋_GB2312"/>
          <w:sz w:val="32"/>
          <w:szCs w:val="32"/>
        </w:rPr>
        <w:t>资金抵顶任何费用</w:t>
      </w:r>
      <w:r>
        <w:rPr>
          <w:rFonts w:hint="eastAsia" w:ascii="仿宋_GB2312" w:hAnsi="仿宋_GB2312" w:eastAsia="仿宋_GB2312" w:cs="仿宋_GB2312"/>
          <w:sz w:val="32"/>
          <w:szCs w:val="32"/>
          <w:lang w:val="en-US" w:eastAsia="zh-CN"/>
        </w:rPr>
        <w:t>及</w:t>
      </w:r>
      <w:r>
        <w:rPr>
          <w:rFonts w:hint="eastAsia" w:ascii="仿宋_GB2312" w:hAnsi="仿宋_GB2312" w:eastAsia="仿宋_GB2312" w:cs="仿宋_GB2312"/>
          <w:sz w:val="32"/>
          <w:szCs w:val="32"/>
        </w:rPr>
        <w:t>截留、挤占和挪用补贴款</w:t>
      </w:r>
      <w:r>
        <w:rPr>
          <w:rFonts w:hint="eastAsia" w:ascii="仿宋_GB2312" w:hAnsi="仿宋_GB2312" w:eastAsia="仿宋_GB2312" w:cs="仿宋_GB2312"/>
          <w:sz w:val="32"/>
          <w:szCs w:val="32"/>
          <w:lang w:val="en-US" w:eastAsia="zh-CN"/>
        </w:rPr>
        <w:t>等问题</w:t>
      </w:r>
      <w:r>
        <w:rPr>
          <w:rFonts w:hint="eastAsia" w:ascii="仿宋_GB2312" w:hAnsi="仿宋_GB2312" w:eastAsia="仿宋_GB2312" w:cs="仿宋_GB2312"/>
          <w:sz w:val="32"/>
          <w:szCs w:val="32"/>
        </w:rPr>
        <w:t>。</w:t>
      </w:r>
    </w:p>
    <w:p>
      <w:pPr>
        <w:keepNext w:val="0"/>
        <w:keepLines w:val="0"/>
        <w:pageBreakBefore w:val="0"/>
        <w:kinsoku/>
        <w:wordWrap/>
        <w:overflowPunct/>
        <w:topLinePunct w:val="0"/>
        <w:autoSpaceDE/>
        <w:autoSpaceDN/>
        <w:bidi w:val="0"/>
        <w:adjustRightInd w:val="0"/>
        <w:snapToGrid w:val="0"/>
        <w:spacing w:line="580" w:lineRule="exact"/>
        <w:ind w:firstLine="640" w:firstLineChars="200"/>
        <w:textAlignment w:val="auto"/>
        <w:rPr>
          <w:rFonts w:hint="eastAsia" w:ascii="Times New Roman" w:hAnsi="Times New Roman" w:eastAsia="宋体" w:cs="Times New Roman"/>
          <w:sz w:val="32"/>
          <w:lang w:eastAsia="zh-CN"/>
        </w:rPr>
      </w:pPr>
    </w:p>
    <w:p>
      <w:pPr>
        <w:pStyle w:val="11"/>
        <w:keepNext w:val="0"/>
        <w:keepLines w:val="0"/>
        <w:pageBreakBefore w:val="0"/>
        <w:kinsoku/>
        <w:wordWrap w:val="0"/>
        <w:overflowPunct/>
        <w:topLinePunct w:val="0"/>
        <w:autoSpaceDE/>
        <w:autoSpaceDN/>
        <w:bidi w:val="0"/>
        <w:spacing w:line="580" w:lineRule="exact"/>
        <w:jc w:val="center"/>
        <w:textAlignment w:val="auto"/>
        <w:rPr>
          <w:rFonts w:hint="default" w:ascii="仿宋_GB2312" w:hAnsi="仿宋_GB2312" w:eastAsia="仿宋_GB2312" w:cs="仿宋_GB2312"/>
          <w:kern w:val="2"/>
          <w:sz w:val="32"/>
          <w:szCs w:val="32"/>
          <w:lang w:val="en-US" w:eastAsia="zh-CN" w:bidi="ar-SA"/>
        </w:rPr>
      </w:pPr>
    </w:p>
    <w:p>
      <w:pPr>
        <w:pStyle w:val="11"/>
        <w:keepNext w:val="0"/>
        <w:keepLines w:val="0"/>
        <w:pageBreakBefore w:val="0"/>
        <w:kinsoku/>
        <w:wordWrap w:val="0"/>
        <w:overflowPunct/>
        <w:topLinePunct w:val="0"/>
        <w:autoSpaceDE/>
        <w:autoSpaceDN/>
        <w:bidi w:val="0"/>
        <w:spacing w:line="580" w:lineRule="exact"/>
        <w:jc w:val="center"/>
        <w:textAlignment w:val="auto"/>
        <w:rPr>
          <w:rFonts w:hint="default" w:ascii="仿宋_GB2312" w:hAnsi="仿宋_GB2312" w:eastAsia="仿宋_GB2312" w:cs="仿宋_GB2312"/>
          <w:kern w:val="2"/>
          <w:sz w:val="32"/>
          <w:szCs w:val="32"/>
          <w:lang w:val="en-US" w:eastAsia="zh-CN" w:bidi="ar-SA"/>
        </w:rPr>
      </w:pPr>
    </w:p>
    <w:p>
      <w:pPr>
        <w:pStyle w:val="11"/>
        <w:keepNext w:val="0"/>
        <w:keepLines w:val="0"/>
        <w:pageBreakBefore w:val="0"/>
        <w:kinsoku/>
        <w:wordWrap w:val="0"/>
        <w:overflowPunct/>
        <w:topLinePunct w:val="0"/>
        <w:autoSpaceDE/>
        <w:autoSpaceDN/>
        <w:bidi w:val="0"/>
        <w:spacing w:line="580" w:lineRule="exact"/>
        <w:jc w:val="center"/>
        <w:textAlignment w:val="auto"/>
        <w:rPr>
          <w:rFonts w:hint="default" w:ascii="仿宋_GB2312" w:hAnsi="仿宋_GB2312" w:eastAsia="仿宋_GB2312" w:cs="仿宋_GB2312"/>
          <w:kern w:val="2"/>
          <w:sz w:val="32"/>
          <w:szCs w:val="32"/>
          <w:lang w:val="en-US" w:eastAsia="zh-CN" w:bidi="ar-SA"/>
        </w:rPr>
      </w:pPr>
    </w:p>
    <w:p>
      <w:pPr>
        <w:pStyle w:val="11"/>
        <w:keepNext w:val="0"/>
        <w:keepLines w:val="0"/>
        <w:pageBreakBefore w:val="0"/>
        <w:kinsoku/>
        <w:wordWrap w:val="0"/>
        <w:overflowPunct/>
        <w:topLinePunct w:val="0"/>
        <w:autoSpaceDE/>
        <w:autoSpaceDN/>
        <w:bidi w:val="0"/>
        <w:spacing w:line="580" w:lineRule="exact"/>
        <w:jc w:val="center"/>
        <w:textAlignment w:val="auto"/>
        <w:rPr>
          <w:rFonts w:hint="default" w:ascii="仿宋_GB2312" w:hAnsi="仿宋_GB2312" w:eastAsia="仿宋_GB2312" w:cs="仿宋_GB2312"/>
          <w:kern w:val="2"/>
          <w:sz w:val="32"/>
          <w:szCs w:val="32"/>
          <w:lang w:val="en-US" w:eastAsia="zh-CN" w:bidi="ar-SA"/>
        </w:rPr>
      </w:pPr>
    </w:p>
    <w:p>
      <w:pPr>
        <w:pStyle w:val="11"/>
        <w:keepNext w:val="0"/>
        <w:keepLines w:val="0"/>
        <w:pageBreakBefore w:val="0"/>
        <w:kinsoku/>
        <w:wordWrap w:val="0"/>
        <w:overflowPunct/>
        <w:topLinePunct w:val="0"/>
        <w:autoSpaceDE/>
        <w:autoSpaceDN/>
        <w:bidi w:val="0"/>
        <w:spacing w:line="580" w:lineRule="exact"/>
        <w:jc w:val="center"/>
        <w:textAlignment w:val="auto"/>
        <w:rPr>
          <w:rFonts w:hint="default" w:ascii="仿宋_GB2312" w:hAnsi="仿宋_GB2312" w:eastAsia="仿宋_GB2312" w:cs="仿宋_GB2312"/>
          <w:kern w:val="2"/>
          <w:sz w:val="32"/>
          <w:szCs w:val="32"/>
          <w:lang w:val="en-US" w:eastAsia="zh-CN" w:bidi="ar-SA"/>
        </w:rPr>
      </w:pPr>
    </w:p>
    <w:p>
      <w:pPr>
        <w:pStyle w:val="11"/>
        <w:keepNext w:val="0"/>
        <w:keepLines w:val="0"/>
        <w:pageBreakBefore w:val="0"/>
        <w:kinsoku/>
        <w:wordWrap w:val="0"/>
        <w:overflowPunct/>
        <w:topLinePunct w:val="0"/>
        <w:autoSpaceDE/>
        <w:autoSpaceDN/>
        <w:bidi w:val="0"/>
        <w:spacing w:line="580" w:lineRule="exact"/>
        <w:jc w:val="center"/>
        <w:textAlignment w:val="auto"/>
        <w:rPr>
          <w:rFonts w:hint="default" w:ascii="仿宋_GB2312" w:hAnsi="仿宋_GB2312" w:eastAsia="仿宋_GB2312" w:cs="仿宋_GB2312"/>
          <w:kern w:val="2"/>
          <w:sz w:val="32"/>
          <w:szCs w:val="32"/>
          <w:lang w:val="en-US" w:eastAsia="zh-CN" w:bidi="ar-SA"/>
        </w:rPr>
      </w:pPr>
    </w:p>
    <w:p>
      <w:pPr>
        <w:pStyle w:val="11"/>
        <w:keepNext w:val="0"/>
        <w:keepLines w:val="0"/>
        <w:pageBreakBefore w:val="0"/>
        <w:kinsoku/>
        <w:wordWrap w:val="0"/>
        <w:overflowPunct/>
        <w:topLinePunct w:val="0"/>
        <w:autoSpaceDE/>
        <w:autoSpaceDN/>
        <w:bidi w:val="0"/>
        <w:spacing w:line="580" w:lineRule="exact"/>
        <w:jc w:val="center"/>
        <w:textAlignment w:val="auto"/>
        <w:rPr>
          <w:rFonts w:hint="default" w:ascii="仿宋_GB2312" w:hAnsi="仿宋_GB2312" w:eastAsia="仿宋_GB2312" w:cs="仿宋_GB2312"/>
          <w:kern w:val="2"/>
          <w:sz w:val="32"/>
          <w:szCs w:val="32"/>
          <w:lang w:val="en-US" w:eastAsia="zh-CN" w:bidi="ar-SA"/>
        </w:rPr>
      </w:pPr>
    </w:p>
    <w:p>
      <w:pPr>
        <w:pStyle w:val="11"/>
        <w:keepNext w:val="0"/>
        <w:keepLines w:val="0"/>
        <w:pageBreakBefore w:val="0"/>
        <w:kinsoku/>
        <w:wordWrap w:val="0"/>
        <w:overflowPunct/>
        <w:topLinePunct w:val="0"/>
        <w:autoSpaceDE/>
        <w:autoSpaceDN/>
        <w:bidi w:val="0"/>
        <w:spacing w:line="580" w:lineRule="exact"/>
        <w:jc w:val="center"/>
        <w:textAlignment w:val="auto"/>
        <w:rPr>
          <w:rFonts w:hint="default" w:ascii="仿宋_GB2312" w:hAnsi="仿宋_GB2312" w:eastAsia="仿宋_GB2312" w:cs="仿宋_GB2312"/>
          <w:kern w:val="2"/>
          <w:sz w:val="32"/>
          <w:szCs w:val="32"/>
          <w:lang w:val="en-US" w:eastAsia="zh-CN" w:bidi="ar-SA"/>
        </w:rPr>
      </w:pPr>
    </w:p>
    <w:p>
      <w:pPr>
        <w:pStyle w:val="11"/>
        <w:keepNext w:val="0"/>
        <w:keepLines w:val="0"/>
        <w:pageBreakBefore w:val="0"/>
        <w:kinsoku/>
        <w:wordWrap w:val="0"/>
        <w:overflowPunct/>
        <w:topLinePunct w:val="0"/>
        <w:autoSpaceDE/>
        <w:autoSpaceDN/>
        <w:bidi w:val="0"/>
        <w:spacing w:line="580" w:lineRule="exact"/>
        <w:jc w:val="center"/>
        <w:textAlignment w:val="auto"/>
        <w:rPr>
          <w:rFonts w:hint="default" w:ascii="仿宋_GB2312" w:hAnsi="仿宋_GB2312" w:eastAsia="仿宋_GB2312" w:cs="仿宋_GB2312"/>
          <w:kern w:val="2"/>
          <w:sz w:val="32"/>
          <w:szCs w:val="32"/>
          <w:lang w:val="en-US" w:eastAsia="zh-CN" w:bidi="ar-SA"/>
        </w:rPr>
      </w:pPr>
    </w:p>
    <w:p>
      <w:pPr>
        <w:pStyle w:val="11"/>
        <w:keepNext w:val="0"/>
        <w:keepLines w:val="0"/>
        <w:pageBreakBefore w:val="0"/>
        <w:kinsoku/>
        <w:wordWrap w:val="0"/>
        <w:overflowPunct/>
        <w:topLinePunct w:val="0"/>
        <w:autoSpaceDE/>
        <w:autoSpaceDN/>
        <w:bidi w:val="0"/>
        <w:spacing w:line="580" w:lineRule="exact"/>
        <w:jc w:val="center"/>
        <w:textAlignment w:val="auto"/>
        <w:rPr>
          <w:rFonts w:hint="default" w:ascii="仿宋_GB2312" w:hAnsi="仿宋_GB2312" w:eastAsia="仿宋_GB2312" w:cs="仿宋_GB2312"/>
          <w:kern w:val="2"/>
          <w:sz w:val="32"/>
          <w:szCs w:val="32"/>
          <w:lang w:val="en-US" w:eastAsia="zh-CN" w:bidi="ar-SA"/>
        </w:rPr>
      </w:pPr>
    </w:p>
    <w:p>
      <w:pPr>
        <w:pStyle w:val="11"/>
        <w:keepNext w:val="0"/>
        <w:keepLines w:val="0"/>
        <w:pageBreakBefore w:val="0"/>
        <w:kinsoku/>
        <w:wordWrap w:val="0"/>
        <w:overflowPunct/>
        <w:topLinePunct w:val="0"/>
        <w:autoSpaceDE/>
        <w:autoSpaceDN/>
        <w:bidi w:val="0"/>
        <w:spacing w:line="580" w:lineRule="exact"/>
        <w:jc w:val="center"/>
        <w:textAlignment w:val="auto"/>
        <w:rPr>
          <w:rFonts w:hint="default" w:ascii="仿宋_GB2312" w:hAnsi="仿宋_GB2312" w:eastAsia="仿宋_GB2312" w:cs="仿宋_GB2312"/>
          <w:kern w:val="2"/>
          <w:sz w:val="32"/>
          <w:szCs w:val="32"/>
          <w:lang w:val="en-US" w:eastAsia="zh-CN" w:bidi="ar-SA"/>
        </w:rPr>
      </w:pPr>
    </w:p>
    <w:p>
      <w:pPr>
        <w:pStyle w:val="11"/>
        <w:keepNext w:val="0"/>
        <w:keepLines w:val="0"/>
        <w:pageBreakBefore w:val="0"/>
        <w:kinsoku/>
        <w:wordWrap w:val="0"/>
        <w:overflowPunct/>
        <w:topLinePunct w:val="0"/>
        <w:autoSpaceDE/>
        <w:autoSpaceDN/>
        <w:bidi w:val="0"/>
        <w:spacing w:line="580" w:lineRule="exact"/>
        <w:jc w:val="center"/>
        <w:textAlignment w:val="auto"/>
        <w:rPr>
          <w:rFonts w:hint="default" w:ascii="仿宋_GB2312" w:hAnsi="仿宋_GB2312" w:eastAsia="仿宋_GB2312" w:cs="仿宋_GB2312"/>
          <w:kern w:val="2"/>
          <w:sz w:val="32"/>
          <w:szCs w:val="32"/>
          <w:lang w:val="en-US" w:eastAsia="zh-CN" w:bidi="ar-SA"/>
        </w:rPr>
      </w:pPr>
    </w:p>
    <w:p>
      <w:pPr>
        <w:pStyle w:val="11"/>
        <w:keepNext w:val="0"/>
        <w:keepLines w:val="0"/>
        <w:pageBreakBefore w:val="0"/>
        <w:kinsoku/>
        <w:wordWrap w:val="0"/>
        <w:overflowPunct/>
        <w:topLinePunct w:val="0"/>
        <w:autoSpaceDE/>
        <w:autoSpaceDN/>
        <w:bidi w:val="0"/>
        <w:spacing w:line="580" w:lineRule="exact"/>
        <w:jc w:val="center"/>
        <w:textAlignment w:val="auto"/>
        <w:rPr>
          <w:rFonts w:hint="default" w:ascii="仿宋_GB2312" w:hAnsi="仿宋_GB2312" w:eastAsia="仿宋_GB2312" w:cs="仿宋_GB2312"/>
          <w:kern w:val="2"/>
          <w:sz w:val="32"/>
          <w:szCs w:val="32"/>
          <w:lang w:val="en-US" w:eastAsia="zh-CN" w:bidi="ar-SA"/>
        </w:rPr>
      </w:pPr>
    </w:p>
    <w:p>
      <w:pPr>
        <w:pStyle w:val="11"/>
        <w:keepNext w:val="0"/>
        <w:keepLines w:val="0"/>
        <w:pageBreakBefore w:val="0"/>
        <w:kinsoku/>
        <w:wordWrap w:val="0"/>
        <w:overflowPunct/>
        <w:topLinePunct w:val="0"/>
        <w:autoSpaceDE/>
        <w:autoSpaceDN/>
        <w:bidi w:val="0"/>
        <w:spacing w:line="580" w:lineRule="exact"/>
        <w:jc w:val="center"/>
        <w:textAlignment w:val="auto"/>
        <w:rPr>
          <w:rFonts w:hint="default" w:ascii="仿宋_GB2312" w:hAnsi="仿宋_GB2312" w:eastAsia="仿宋_GB2312" w:cs="仿宋_GB2312"/>
          <w:kern w:val="2"/>
          <w:sz w:val="32"/>
          <w:szCs w:val="32"/>
          <w:lang w:val="en-US" w:eastAsia="zh-CN" w:bidi="ar-SA"/>
        </w:rPr>
      </w:pPr>
    </w:p>
    <w:p>
      <w:pPr>
        <w:pStyle w:val="11"/>
        <w:keepNext w:val="0"/>
        <w:keepLines w:val="0"/>
        <w:pageBreakBefore w:val="0"/>
        <w:kinsoku/>
        <w:wordWrap w:val="0"/>
        <w:overflowPunct/>
        <w:topLinePunct w:val="0"/>
        <w:autoSpaceDE/>
        <w:autoSpaceDN/>
        <w:bidi w:val="0"/>
        <w:spacing w:line="580" w:lineRule="exact"/>
        <w:jc w:val="center"/>
        <w:textAlignment w:val="auto"/>
        <w:rPr>
          <w:rFonts w:hint="default" w:ascii="仿宋_GB2312" w:hAnsi="仿宋_GB2312" w:eastAsia="仿宋_GB2312" w:cs="仿宋_GB2312"/>
          <w:kern w:val="2"/>
          <w:sz w:val="32"/>
          <w:szCs w:val="32"/>
          <w:lang w:val="en-US" w:eastAsia="zh-CN" w:bidi="ar-SA"/>
        </w:rPr>
      </w:pPr>
    </w:p>
    <w:p>
      <w:pPr>
        <w:adjustRightInd w:val="0"/>
        <w:snapToGrid w:val="0"/>
        <w:spacing w:before="181" w:line="171" w:lineRule="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rPr>
        <w:t>附件</w:t>
      </w:r>
      <w:r>
        <w:rPr>
          <w:rFonts w:hint="eastAsia" w:ascii="仿宋_GB2312" w:hAnsi="仿宋_GB2312" w:eastAsia="仿宋_GB2312" w:cs="仿宋_GB2312"/>
          <w:sz w:val="32"/>
          <w:szCs w:val="32"/>
          <w:lang w:val="en-US" w:eastAsia="zh-CN"/>
        </w:rPr>
        <w:t>6</w:t>
      </w:r>
    </w:p>
    <w:p>
      <w:pPr>
        <w:keepNext w:val="0"/>
        <w:keepLines w:val="0"/>
        <w:pageBreakBefore w:val="0"/>
        <w:widowControl w:val="0"/>
        <w:kinsoku/>
        <w:wordWrap/>
        <w:overflowPunct/>
        <w:topLinePunct w:val="0"/>
        <w:autoSpaceDE/>
        <w:autoSpaceDN/>
        <w:bidi w:val="0"/>
        <w:adjustRightInd/>
        <w:snapToGrid/>
        <w:spacing w:after="158" w:afterLines="50" w:line="580" w:lineRule="exact"/>
        <w:ind w:left="0" w:firstLine="908" w:firstLineChars="200"/>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pacing w:val="7"/>
          <w:sz w:val="44"/>
          <w:szCs w:val="44"/>
        </w:rPr>
        <w:t>2023年度项目支出绩效自评表</w:t>
      </w:r>
    </w:p>
    <w:tbl>
      <w:tblPr>
        <w:tblStyle w:val="19"/>
        <w:tblW w:w="5053"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896"/>
        <w:gridCol w:w="896"/>
        <w:gridCol w:w="1122"/>
        <w:gridCol w:w="939"/>
        <w:gridCol w:w="989"/>
        <w:gridCol w:w="1132"/>
        <w:gridCol w:w="593"/>
        <w:gridCol w:w="698"/>
        <w:gridCol w:w="1334"/>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1694" w:type="pct"/>
            <w:gridSpan w:val="3"/>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黑体" w:hAnsi="黑体" w:eastAsia="黑体" w:cs="黑体"/>
                <w:sz w:val="21"/>
                <w:szCs w:val="21"/>
              </w:rPr>
            </w:pPr>
            <w:r>
              <w:rPr>
                <w:rFonts w:hint="eastAsia" w:ascii="黑体" w:hAnsi="黑体" w:eastAsia="黑体" w:cs="黑体"/>
                <w:sz w:val="21"/>
                <w:szCs w:val="21"/>
              </w:rPr>
              <w:t>项目支出名称</w:t>
            </w:r>
          </w:p>
        </w:tc>
        <w:tc>
          <w:tcPr>
            <w:tcW w:w="3305" w:type="pct"/>
            <w:gridSpan w:val="6"/>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黑体" w:hAnsi="黑体" w:eastAsia="黑体" w:cs="黑体"/>
                <w:sz w:val="21"/>
                <w:szCs w:val="21"/>
                <w:lang w:val="en-US" w:eastAsia="zh-CN"/>
              </w:rPr>
            </w:pPr>
            <w:r>
              <w:rPr>
                <w:rFonts w:hint="eastAsia" w:ascii="黑体" w:hAnsi="黑体" w:eastAsia="黑体" w:cs="黑体"/>
                <w:sz w:val="21"/>
                <w:szCs w:val="21"/>
                <w:lang w:val="en-US" w:eastAsia="zh-CN"/>
              </w:rPr>
              <w:t>2023年棉花大县奖励资金</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1"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黑体" w:hAnsi="黑体" w:eastAsia="黑体" w:cs="黑体"/>
                <w:sz w:val="21"/>
                <w:szCs w:val="21"/>
              </w:rPr>
            </w:pPr>
            <w:r>
              <w:rPr>
                <w:rFonts w:hint="eastAsia" w:ascii="黑体" w:hAnsi="黑体" w:eastAsia="黑体" w:cs="黑体"/>
                <w:sz w:val="21"/>
                <w:szCs w:val="21"/>
              </w:rPr>
              <w:t>主管</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黑体" w:hAnsi="黑体" w:eastAsia="黑体" w:cs="黑体"/>
                <w:sz w:val="21"/>
                <w:szCs w:val="21"/>
              </w:rPr>
            </w:pPr>
            <w:r>
              <w:rPr>
                <w:rFonts w:hint="eastAsia" w:ascii="黑体" w:hAnsi="黑体" w:eastAsia="黑体" w:cs="黑体"/>
                <w:sz w:val="21"/>
                <w:szCs w:val="21"/>
              </w:rPr>
              <w:t>部门</w:t>
            </w:r>
          </w:p>
        </w:tc>
        <w:tc>
          <w:tcPr>
            <w:tcW w:w="2294" w:type="pct"/>
            <w:gridSpan w:val="4"/>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黑体" w:hAnsi="黑体" w:eastAsia="黑体" w:cs="黑体"/>
                <w:sz w:val="21"/>
                <w:szCs w:val="21"/>
                <w:lang w:val="en-US" w:eastAsia="zh-CN"/>
              </w:rPr>
            </w:pPr>
            <w:r>
              <w:rPr>
                <w:rFonts w:hint="eastAsia" w:ascii="黑体" w:hAnsi="黑体" w:eastAsia="黑体" w:cs="黑体"/>
                <w:sz w:val="21"/>
                <w:szCs w:val="21"/>
                <w:lang w:val="en-US" w:eastAsia="zh-CN"/>
              </w:rPr>
              <w:t>华容县农业农村局</w:t>
            </w:r>
          </w:p>
        </w:tc>
        <w:tc>
          <w:tcPr>
            <w:tcW w:w="658"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黑体" w:hAnsi="黑体" w:eastAsia="黑体" w:cs="黑体"/>
                <w:sz w:val="21"/>
                <w:szCs w:val="21"/>
              </w:rPr>
            </w:pPr>
            <w:r>
              <w:rPr>
                <w:rFonts w:hint="eastAsia" w:ascii="黑体" w:hAnsi="黑体" w:eastAsia="黑体" w:cs="黑体"/>
                <w:sz w:val="21"/>
                <w:szCs w:val="21"/>
              </w:rPr>
              <w:t>实施单位</w:t>
            </w:r>
          </w:p>
        </w:tc>
        <w:tc>
          <w:tcPr>
            <w:tcW w:w="1526" w:type="pct"/>
            <w:gridSpan w:val="3"/>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黑体" w:hAnsi="黑体" w:eastAsia="黑体" w:cs="黑体"/>
                <w:sz w:val="21"/>
                <w:szCs w:val="21"/>
              </w:rPr>
            </w:pPr>
            <w:r>
              <w:rPr>
                <w:rFonts w:hint="eastAsia" w:ascii="黑体" w:hAnsi="黑体" w:eastAsia="黑体" w:cs="黑体"/>
                <w:sz w:val="21"/>
                <w:szCs w:val="21"/>
                <w:lang w:val="en-US" w:eastAsia="zh-CN"/>
              </w:rPr>
              <w:t>华容县农业农村局</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1" w:type="pct"/>
            <w:vMerge w:val="restart"/>
            <w:tcBorders>
              <w:bottom w:val="nil"/>
            </w:tcBorders>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黑体" w:hAnsi="黑体" w:eastAsia="黑体" w:cs="黑体"/>
                <w:sz w:val="21"/>
                <w:szCs w:val="21"/>
              </w:rPr>
            </w:pPr>
            <w:r>
              <w:rPr>
                <w:rFonts w:hint="eastAsia" w:ascii="黑体" w:hAnsi="黑体" w:eastAsia="黑体" w:cs="黑体"/>
                <w:sz w:val="21"/>
                <w:szCs w:val="21"/>
              </w:rPr>
              <w:t>项目资金（万元）</w:t>
            </w:r>
          </w:p>
        </w:tc>
        <w:tc>
          <w:tcPr>
            <w:tcW w:w="1172"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黑体" w:hAnsi="黑体" w:eastAsia="黑体" w:cs="黑体"/>
                <w:sz w:val="21"/>
                <w:szCs w:val="21"/>
              </w:rPr>
            </w:pPr>
          </w:p>
        </w:tc>
        <w:tc>
          <w:tcPr>
            <w:tcW w:w="546"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黑体" w:hAnsi="黑体" w:eastAsia="黑体" w:cs="黑体"/>
                <w:sz w:val="21"/>
                <w:szCs w:val="21"/>
              </w:rPr>
            </w:pPr>
            <w:r>
              <w:rPr>
                <w:rFonts w:hint="eastAsia" w:ascii="黑体" w:hAnsi="黑体" w:eastAsia="黑体" w:cs="黑体"/>
                <w:sz w:val="21"/>
                <w:szCs w:val="21"/>
              </w:rPr>
              <w:t>年初</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黑体" w:hAnsi="黑体" w:eastAsia="黑体" w:cs="黑体"/>
                <w:sz w:val="21"/>
                <w:szCs w:val="21"/>
              </w:rPr>
            </w:pPr>
            <w:r>
              <w:rPr>
                <w:rFonts w:hint="eastAsia" w:ascii="黑体" w:hAnsi="黑体" w:eastAsia="黑体" w:cs="黑体"/>
                <w:sz w:val="21"/>
                <w:szCs w:val="21"/>
              </w:rPr>
              <w:t>预算数</w:t>
            </w:r>
          </w:p>
        </w:tc>
        <w:tc>
          <w:tcPr>
            <w:tcW w:w="57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黑体" w:hAnsi="黑体" w:eastAsia="黑体" w:cs="黑体"/>
                <w:sz w:val="21"/>
                <w:szCs w:val="21"/>
              </w:rPr>
            </w:pPr>
            <w:r>
              <w:rPr>
                <w:rFonts w:hint="eastAsia" w:ascii="黑体" w:hAnsi="黑体" w:eastAsia="黑体" w:cs="黑体"/>
                <w:sz w:val="21"/>
                <w:szCs w:val="21"/>
              </w:rPr>
              <w:t>全年</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黑体" w:hAnsi="黑体" w:eastAsia="黑体" w:cs="黑体"/>
                <w:sz w:val="21"/>
                <w:szCs w:val="21"/>
              </w:rPr>
            </w:pPr>
            <w:r>
              <w:rPr>
                <w:rFonts w:hint="eastAsia" w:ascii="黑体" w:hAnsi="黑体" w:eastAsia="黑体" w:cs="黑体"/>
                <w:sz w:val="21"/>
                <w:szCs w:val="21"/>
              </w:rPr>
              <w:t>预算数</w:t>
            </w:r>
          </w:p>
        </w:tc>
        <w:tc>
          <w:tcPr>
            <w:tcW w:w="658"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黑体" w:hAnsi="黑体" w:eastAsia="黑体" w:cs="黑体"/>
                <w:sz w:val="21"/>
                <w:szCs w:val="21"/>
              </w:rPr>
            </w:pPr>
            <w:r>
              <w:rPr>
                <w:rFonts w:hint="eastAsia" w:ascii="黑体" w:hAnsi="黑体" w:eastAsia="黑体" w:cs="黑体"/>
                <w:sz w:val="21"/>
                <w:szCs w:val="21"/>
              </w:rPr>
              <w:t>全年</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黑体" w:hAnsi="黑体" w:eastAsia="黑体" w:cs="黑体"/>
                <w:sz w:val="21"/>
                <w:szCs w:val="21"/>
              </w:rPr>
            </w:pPr>
            <w:r>
              <w:rPr>
                <w:rFonts w:hint="eastAsia" w:ascii="黑体" w:hAnsi="黑体" w:eastAsia="黑体" w:cs="黑体"/>
                <w:sz w:val="21"/>
                <w:szCs w:val="21"/>
              </w:rPr>
              <w:t>执行数</w:t>
            </w:r>
          </w:p>
        </w:tc>
        <w:tc>
          <w:tcPr>
            <w:tcW w:w="34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黑体" w:hAnsi="黑体" w:eastAsia="黑体" w:cs="黑体"/>
                <w:sz w:val="21"/>
                <w:szCs w:val="21"/>
                <w:lang w:eastAsia="zh-CN"/>
              </w:rPr>
            </w:pPr>
            <w:r>
              <w:rPr>
                <w:rFonts w:hint="eastAsia" w:ascii="黑体" w:hAnsi="黑体" w:eastAsia="黑体" w:cs="黑体"/>
                <w:sz w:val="21"/>
                <w:szCs w:val="21"/>
                <w:lang w:eastAsia="zh-CN"/>
              </w:rPr>
              <w:t>分值</w:t>
            </w:r>
          </w:p>
        </w:tc>
        <w:tc>
          <w:tcPr>
            <w:tcW w:w="406"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黑体" w:hAnsi="黑体" w:eastAsia="黑体" w:cs="黑体"/>
                <w:sz w:val="21"/>
                <w:szCs w:val="21"/>
              </w:rPr>
            </w:pPr>
            <w:r>
              <w:rPr>
                <w:rFonts w:hint="eastAsia" w:ascii="黑体" w:hAnsi="黑体" w:eastAsia="黑体" w:cs="黑体"/>
                <w:sz w:val="21"/>
                <w:szCs w:val="21"/>
              </w:rPr>
              <w:t>执行率</w:t>
            </w:r>
          </w:p>
        </w:tc>
        <w:tc>
          <w:tcPr>
            <w:tcW w:w="774"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黑体" w:hAnsi="黑体" w:eastAsia="黑体" w:cs="黑体"/>
                <w:sz w:val="21"/>
                <w:szCs w:val="21"/>
              </w:rPr>
            </w:pPr>
            <w:r>
              <w:rPr>
                <w:rFonts w:hint="eastAsia" w:ascii="黑体" w:hAnsi="黑体" w:eastAsia="黑体" w:cs="黑体"/>
                <w:sz w:val="21"/>
                <w:szCs w:val="21"/>
              </w:rPr>
              <w:t>自评得分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1" w:type="pct"/>
            <w:vMerge w:val="continue"/>
            <w:tcBorders>
              <w:top w:val="nil"/>
              <w:bottom w:val="nil"/>
            </w:tcBorders>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c>
          <w:tcPr>
            <w:tcW w:w="1172"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eastAsia" w:ascii="宋体" w:hAnsi="宋体" w:eastAsia="宋体" w:cs="宋体"/>
                <w:sz w:val="21"/>
                <w:szCs w:val="21"/>
              </w:rPr>
            </w:pPr>
            <w:r>
              <w:rPr>
                <w:rFonts w:hint="eastAsia" w:ascii="宋体" w:hAnsi="宋体" w:eastAsia="宋体" w:cs="宋体"/>
                <w:sz w:val="21"/>
                <w:szCs w:val="21"/>
              </w:rPr>
              <w:t>年度资金总额</w:t>
            </w:r>
          </w:p>
        </w:tc>
        <w:tc>
          <w:tcPr>
            <w:tcW w:w="546"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c>
          <w:tcPr>
            <w:tcW w:w="57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14232.78</w:t>
            </w:r>
          </w:p>
        </w:tc>
        <w:tc>
          <w:tcPr>
            <w:tcW w:w="658"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14232.78</w:t>
            </w:r>
          </w:p>
        </w:tc>
        <w:tc>
          <w:tcPr>
            <w:tcW w:w="34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10</w:t>
            </w:r>
          </w:p>
        </w:tc>
        <w:tc>
          <w:tcPr>
            <w:tcW w:w="406"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c>
          <w:tcPr>
            <w:tcW w:w="774"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1" w:type="pct"/>
            <w:vMerge w:val="continue"/>
            <w:tcBorders>
              <w:top w:val="nil"/>
              <w:bottom w:val="nil"/>
            </w:tcBorders>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c>
          <w:tcPr>
            <w:tcW w:w="1172"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其中：当年财政拨款</w:t>
            </w:r>
          </w:p>
        </w:tc>
        <w:tc>
          <w:tcPr>
            <w:tcW w:w="546"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c>
          <w:tcPr>
            <w:tcW w:w="57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14232.78</w:t>
            </w:r>
          </w:p>
        </w:tc>
        <w:tc>
          <w:tcPr>
            <w:tcW w:w="658"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14232.78</w:t>
            </w:r>
          </w:p>
        </w:tc>
        <w:tc>
          <w:tcPr>
            <w:tcW w:w="34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宋体" w:hAnsi="宋体" w:eastAsia="宋体" w:cs="宋体"/>
                <w:sz w:val="21"/>
                <w:szCs w:val="21"/>
                <w:lang w:val="en-US"/>
              </w:rPr>
            </w:pPr>
            <w:r>
              <w:rPr>
                <w:rFonts w:hint="eastAsia" w:ascii="宋体" w:hAnsi="宋体" w:eastAsia="宋体" w:cs="宋体"/>
                <w:sz w:val="21"/>
                <w:szCs w:val="21"/>
                <w:lang w:val="en-US" w:eastAsia="zh-CN"/>
              </w:rPr>
              <w:t>10</w:t>
            </w:r>
          </w:p>
        </w:tc>
        <w:tc>
          <w:tcPr>
            <w:tcW w:w="406"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c>
          <w:tcPr>
            <w:tcW w:w="774"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1" w:type="pct"/>
            <w:vMerge w:val="continue"/>
            <w:tcBorders>
              <w:top w:val="nil"/>
              <w:bottom w:val="nil"/>
            </w:tcBorders>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c>
          <w:tcPr>
            <w:tcW w:w="1172"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both"/>
              <w:textAlignment w:val="auto"/>
              <w:rPr>
                <w:rFonts w:hint="eastAsia" w:ascii="宋体" w:hAnsi="宋体" w:eastAsia="宋体" w:cs="宋体"/>
                <w:sz w:val="21"/>
                <w:szCs w:val="21"/>
              </w:rPr>
            </w:pPr>
            <w:r>
              <w:rPr>
                <w:rFonts w:hint="eastAsia" w:ascii="宋体" w:hAnsi="宋体" w:eastAsia="宋体" w:cs="宋体"/>
                <w:sz w:val="21"/>
                <w:szCs w:val="21"/>
              </w:rPr>
              <w:t>上年结转资金</w:t>
            </w:r>
          </w:p>
        </w:tc>
        <w:tc>
          <w:tcPr>
            <w:tcW w:w="546"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c>
          <w:tcPr>
            <w:tcW w:w="57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c>
          <w:tcPr>
            <w:tcW w:w="658"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c>
          <w:tcPr>
            <w:tcW w:w="34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c>
          <w:tcPr>
            <w:tcW w:w="406"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c>
          <w:tcPr>
            <w:tcW w:w="774"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1" w:type="pct"/>
            <w:vMerge w:val="continue"/>
            <w:tcBorders>
              <w:top w:val="nil"/>
            </w:tcBorders>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c>
          <w:tcPr>
            <w:tcW w:w="1172"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both"/>
              <w:textAlignment w:val="auto"/>
              <w:rPr>
                <w:rFonts w:hint="eastAsia" w:ascii="宋体" w:hAnsi="宋体" w:eastAsia="宋体" w:cs="宋体"/>
                <w:sz w:val="21"/>
                <w:szCs w:val="21"/>
              </w:rPr>
            </w:pPr>
            <w:r>
              <w:rPr>
                <w:rFonts w:hint="eastAsia" w:ascii="宋体" w:hAnsi="宋体" w:eastAsia="宋体" w:cs="宋体"/>
                <w:sz w:val="21"/>
                <w:szCs w:val="21"/>
              </w:rPr>
              <w:t>其他资金</w:t>
            </w:r>
          </w:p>
        </w:tc>
        <w:tc>
          <w:tcPr>
            <w:tcW w:w="546"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c>
          <w:tcPr>
            <w:tcW w:w="57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c>
          <w:tcPr>
            <w:tcW w:w="658"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c>
          <w:tcPr>
            <w:tcW w:w="34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c>
          <w:tcPr>
            <w:tcW w:w="406"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c>
          <w:tcPr>
            <w:tcW w:w="774"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1" w:type="pct"/>
            <w:vMerge w:val="restart"/>
            <w:tcBorders>
              <w:bottom w:val="nil"/>
            </w:tcBorders>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黑体" w:hAnsi="黑体" w:eastAsia="黑体" w:cs="黑体"/>
                <w:sz w:val="21"/>
                <w:szCs w:val="21"/>
              </w:rPr>
            </w:pPr>
            <w:r>
              <w:rPr>
                <w:rFonts w:hint="eastAsia" w:ascii="黑体" w:hAnsi="黑体" w:eastAsia="黑体" w:cs="黑体"/>
                <w:sz w:val="21"/>
                <w:szCs w:val="21"/>
              </w:rPr>
              <w:t>年度总</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黑体" w:hAnsi="黑体" w:eastAsia="黑体" w:cs="黑体"/>
                <w:sz w:val="21"/>
                <w:szCs w:val="21"/>
              </w:rPr>
            </w:pPr>
            <w:r>
              <w:rPr>
                <w:rFonts w:hint="eastAsia" w:ascii="黑体" w:hAnsi="黑体" w:eastAsia="黑体" w:cs="黑体"/>
                <w:sz w:val="21"/>
                <w:szCs w:val="21"/>
                <w:lang w:eastAsia="zh-CN"/>
              </w:rPr>
              <w:t>体</w:t>
            </w:r>
            <w:r>
              <w:rPr>
                <w:rFonts w:hint="eastAsia" w:ascii="黑体" w:hAnsi="黑体" w:eastAsia="黑体" w:cs="黑体"/>
                <w:sz w:val="21"/>
                <w:szCs w:val="21"/>
              </w:rPr>
              <w:t>目标</w:t>
            </w:r>
          </w:p>
        </w:tc>
        <w:tc>
          <w:tcPr>
            <w:tcW w:w="2294" w:type="pct"/>
            <w:gridSpan w:val="4"/>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黑体" w:hAnsi="黑体" w:eastAsia="黑体" w:cs="黑体"/>
                <w:sz w:val="21"/>
                <w:szCs w:val="21"/>
              </w:rPr>
            </w:pPr>
            <w:r>
              <w:rPr>
                <w:rFonts w:hint="eastAsia" w:ascii="黑体" w:hAnsi="黑体" w:eastAsia="黑体" w:cs="黑体"/>
                <w:sz w:val="21"/>
                <w:szCs w:val="21"/>
              </w:rPr>
              <w:t>预期目标</w:t>
            </w:r>
          </w:p>
        </w:tc>
        <w:tc>
          <w:tcPr>
            <w:tcW w:w="2184" w:type="pct"/>
            <w:gridSpan w:val="4"/>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黑体" w:hAnsi="黑体" w:eastAsia="黑体" w:cs="黑体"/>
                <w:sz w:val="21"/>
                <w:szCs w:val="21"/>
              </w:rPr>
            </w:pPr>
            <w:r>
              <w:rPr>
                <w:rFonts w:hint="eastAsia" w:ascii="黑体" w:hAnsi="黑体" w:eastAsia="黑体" w:cs="黑体"/>
                <w:sz w:val="21"/>
                <w:szCs w:val="21"/>
              </w:rPr>
              <w:t>实际完成情况</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521" w:type="pct"/>
            <w:vMerge w:val="continue"/>
            <w:tcBorders>
              <w:top w:val="nil"/>
            </w:tcBorders>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c>
          <w:tcPr>
            <w:tcW w:w="2294" w:type="pct"/>
            <w:gridSpan w:val="4"/>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宋体" w:hAnsi="宋体" w:eastAsia="宋体" w:cs="宋体"/>
                <w:sz w:val="21"/>
                <w:szCs w:val="21"/>
                <w:lang w:val="en-US" w:eastAsia="zh-CN"/>
              </w:rPr>
            </w:pPr>
            <w:r>
              <w:rPr>
                <w:rFonts w:hint="eastAsia" w:ascii="宋体" w:hAnsi="宋体" w:cs="宋体"/>
                <w:sz w:val="21"/>
                <w:szCs w:val="21"/>
                <w:lang w:val="en-US" w:eastAsia="zh-CN"/>
              </w:rPr>
              <w:t>将棉花大县奖励资金落实到实处，调动农民种棉积极性，提高我县棉花质量效益和竞争力，促进我县棉花高质量发展。</w:t>
            </w:r>
          </w:p>
        </w:tc>
        <w:tc>
          <w:tcPr>
            <w:tcW w:w="2184" w:type="pct"/>
            <w:gridSpan w:val="4"/>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cs="宋体"/>
                <w:sz w:val="21"/>
                <w:szCs w:val="21"/>
                <w:lang w:val="en-US" w:eastAsia="zh-CN"/>
              </w:rPr>
              <w:t>将棉花大县奖励资金落实到实处，调动农民种棉积极性，提高我县棉花质量效益和竞争力，促进我县棉花高质量发展。</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521" w:type="pct"/>
            <w:vMerge w:val="restar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黑体" w:hAnsi="黑体" w:eastAsia="黑体" w:cs="黑体"/>
                <w:sz w:val="21"/>
                <w:szCs w:val="21"/>
              </w:rPr>
            </w:pPr>
            <w:r>
              <w:rPr>
                <w:rFonts w:hint="eastAsia" w:ascii="黑体" w:hAnsi="黑体" w:eastAsia="黑体" w:cs="黑体"/>
                <w:sz w:val="21"/>
                <w:szCs w:val="21"/>
              </w:rPr>
              <w:t>绩</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黑体" w:hAnsi="黑体" w:eastAsia="黑体" w:cs="黑体"/>
                <w:sz w:val="21"/>
                <w:szCs w:val="21"/>
              </w:rPr>
            </w:pPr>
            <w:r>
              <w:rPr>
                <w:rFonts w:hint="eastAsia" w:ascii="黑体" w:hAnsi="黑体" w:eastAsia="黑体" w:cs="黑体"/>
                <w:sz w:val="21"/>
                <w:szCs w:val="21"/>
              </w:rPr>
              <w:t>效</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黑体" w:hAnsi="黑体" w:eastAsia="黑体" w:cs="黑体"/>
                <w:sz w:val="21"/>
                <w:szCs w:val="21"/>
              </w:rPr>
            </w:pPr>
            <w:r>
              <w:rPr>
                <w:rFonts w:hint="eastAsia" w:ascii="黑体" w:hAnsi="黑体" w:eastAsia="黑体" w:cs="黑体"/>
                <w:sz w:val="21"/>
                <w:szCs w:val="21"/>
              </w:rPr>
              <w:t>指</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黑体" w:hAnsi="黑体" w:eastAsia="黑体" w:cs="黑体"/>
                <w:sz w:val="21"/>
                <w:szCs w:val="21"/>
              </w:rPr>
            </w:pPr>
            <w:r>
              <w:rPr>
                <w:rFonts w:hint="eastAsia" w:ascii="黑体" w:hAnsi="黑体" w:eastAsia="黑体" w:cs="黑体"/>
                <w:sz w:val="21"/>
                <w:szCs w:val="21"/>
              </w:rPr>
              <w:t>标</w:t>
            </w:r>
          </w:p>
        </w:tc>
        <w:tc>
          <w:tcPr>
            <w:tcW w:w="521"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黑体" w:hAnsi="黑体" w:eastAsia="黑体" w:cs="黑体"/>
                <w:sz w:val="21"/>
                <w:szCs w:val="21"/>
              </w:rPr>
            </w:pPr>
            <w:r>
              <w:rPr>
                <w:rFonts w:hint="eastAsia" w:ascii="黑体" w:hAnsi="黑体" w:eastAsia="黑体" w:cs="黑体"/>
                <w:sz w:val="21"/>
                <w:szCs w:val="21"/>
              </w:rPr>
              <w:t>一级指标</w:t>
            </w:r>
          </w:p>
        </w:tc>
        <w:tc>
          <w:tcPr>
            <w:tcW w:w="651"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黑体" w:hAnsi="黑体" w:eastAsia="黑体" w:cs="黑体"/>
                <w:sz w:val="21"/>
                <w:szCs w:val="21"/>
              </w:rPr>
            </w:pPr>
            <w:r>
              <w:rPr>
                <w:rFonts w:hint="eastAsia" w:ascii="黑体" w:hAnsi="黑体" w:eastAsia="黑体" w:cs="黑体"/>
                <w:sz w:val="21"/>
                <w:szCs w:val="21"/>
              </w:rPr>
              <w:t>二级指标</w:t>
            </w:r>
          </w:p>
        </w:tc>
        <w:tc>
          <w:tcPr>
            <w:tcW w:w="546"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黑体" w:hAnsi="黑体" w:eastAsia="黑体" w:cs="黑体"/>
                <w:sz w:val="21"/>
                <w:szCs w:val="21"/>
              </w:rPr>
            </w:pPr>
            <w:r>
              <w:rPr>
                <w:rFonts w:hint="eastAsia" w:ascii="黑体" w:hAnsi="黑体" w:eastAsia="黑体" w:cs="黑体"/>
                <w:sz w:val="21"/>
                <w:szCs w:val="21"/>
              </w:rPr>
              <w:t>三级指标</w:t>
            </w:r>
          </w:p>
        </w:tc>
        <w:tc>
          <w:tcPr>
            <w:tcW w:w="57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黑体" w:hAnsi="黑体" w:eastAsia="黑体" w:cs="黑体"/>
                <w:sz w:val="21"/>
                <w:szCs w:val="21"/>
              </w:rPr>
            </w:pPr>
            <w:r>
              <w:rPr>
                <w:rFonts w:hint="eastAsia" w:ascii="黑体" w:hAnsi="黑体" w:eastAsia="黑体" w:cs="黑体"/>
                <w:sz w:val="21"/>
                <w:szCs w:val="21"/>
              </w:rPr>
              <w:t>年度</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黑体" w:hAnsi="黑体" w:eastAsia="黑体" w:cs="黑体"/>
                <w:sz w:val="21"/>
                <w:szCs w:val="21"/>
              </w:rPr>
            </w:pPr>
            <w:r>
              <w:rPr>
                <w:rFonts w:hint="eastAsia" w:ascii="黑体" w:hAnsi="黑体" w:eastAsia="黑体" w:cs="黑体"/>
                <w:sz w:val="21"/>
                <w:szCs w:val="21"/>
              </w:rPr>
              <w:t>指标值</w:t>
            </w:r>
          </w:p>
        </w:tc>
        <w:tc>
          <w:tcPr>
            <w:tcW w:w="658"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黑体" w:hAnsi="黑体" w:eastAsia="黑体" w:cs="黑体"/>
                <w:sz w:val="21"/>
                <w:szCs w:val="21"/>
              </w:rPr>
            </w:pPr>
            <w:r>
              <w:rPr>
                <w:rFonts w:hint="eastAsia" w:ascii="黑体" w:hAnsi="黑体" w:eastAsia="黑体" w:cs="黑体"/>
                <w:sz w:val="21"/>
                <w:szCs w:val="21"/>
              </w:rPr>
              <w:t>实际</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黑体" w:hAnsi="黑体" w:eastAsia="黑体" w:cs="黑体"/>
                <w:sz w:val="21"/>
                <w:szCs w:val="21"/>
              </w:rPr>
            </w:pPr>
            <w:r>
              <w:rPr>
                <w:rFonts w:hint="eastAsia" w:ascii="黑体" w:hAnsi="黑体" w:eastAsia="黑体" w:cs="黑体"/>
                <w:sz w:val="21"/>
                <w:szCs w:val="21"/>
              </w:rPr>
              <w:t>完成值</w:t>
            </w:r>
          </w:p>
        </w:tc>
        <w:tc>
          <w:tcPr>
            <w:tcW w:w="34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黑体" w:hAnsi="黑体" w:eastAsia="黑体" w:cs="黑体"/>
                <w:sz w:val="21"/>
                <w:szCs w:val="21"/>
              </w:rPr>
            </w:pPr>
            <w:r>
              <w:rPr>
                <w:rFonts w:hint="eastAsia" w:ascii="黑体" w:hAnsi="黑体" w:eastAsia="黑体" w:cs="黑体"/>
                <w:sz w:val="21"/>
                <w:szCs w:val="21"/>
              </w:rPr>
              <w:t>分值</w:t>
            </w:r>
          </w:p>
        </w:tc>
        <w:tc>
          <w:tcPr>
            <w:tcW w:w="406"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黑体" w:hAnsi="黑体" w:eastAsia="黑体" w:cs="黑体"/>
                <w:sz w:val="21"/>
                <w:szCs w:val="21"/>
              </w:rPr>
            </w:pPr>
            <w:r>
              <w:rPr>
                <w:rFonts w:hint="eastAsia" w:ascii="黑体" w:hAnsi="黑体" w:eastAsia="黑体" w:cs="黑体"/>
                <w:sz w:val="21"/>
                <w:szCs w:val="21"/>
              </w:rPr>
              <w:t>自评</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黑体" w:hAnsi="黑体" w:eastAsia="黑体" w:cs="黑体"/>
                <w:sz w:val="21"/>
                <w:szCs w:val="21"/>
              </w:rPr>
            </w:pPr>
            <w:r>
              <w:rPr>
                <w:rFonts w:hint="eastAsia" w:ascii="黑体" w:hAnsi="黑体" w:eastAsia="黑体" w:cs="黑体"/>
                <w:sz w:val="21"/>
                <w:szCs w:val="21"/>
              </w:rPr>
              <w:t>得分</w:t>
            </w:r>
          </w:p>
        </w:tc>
        <w:tc>
          <w:tcPr>
            <w:tcW w:w="774"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黑体" w:hAnsi="黑体" w:eastAsia="黑体" w:cs="黑体"/>
                <w:sz w:val="21"/>
                <w:szCs w:val="21"/>
              </w:rPr>
            </w:pPr>
            <w:r>
              <w:rPr>
                <w:rFonts w:hint="eastAsia" w:ascii="黑体" w:hAnsi="黑体" w:eastAsia="黑体" w:cs="黑体"/>
                <w:sz w:val="21"/>
                <w:szCs w:val="21"/>
              </w:rPr>
              <w:t>偏差原因分析及改进措施</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1" w:hRule="atLeast"/>
        </w:trPr>
        <w:tc>
          <w:tcPr>
            <w:tcW w:w="521" w:type="pct"/>
            <w:vMerge w:val="continue"/>
            <w:noWrap w:val="0"/>
            <w:textDirection w:val="tbRlV"/>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黑体" w:hAnsi="黑体" w:eastAsia="黑体" w:cs="黑体"/>
                <w:sz w:val="21"/>
                <w:szCs w:val="21"/>
              </w:rPr>
            </w:pPr>
          </w:p>
        </w:tc>
        <w:tc>
          <w:tcPr>
            <w:tcW w:w="521" w:type="pct"/>
            <w:vMerge w:val="restart"/>
            <w:tcBorders>
              <w:bottom w:val="nil"/>
            </w:tcBorders>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产</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出</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指</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标</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w:t>
            </w:r>
            <w:r>
              <w:rPr>
                <w:rFonts w:hint="eastAsia" w:ascii="宋体" w:hAnsi="宋体" w:eastAsia="宋体" w:cs="宋体"/>
                <w:sz w:val="21"/>
                <w:szCs w:val="21"/>
                <w:lang w:val="en-US" w:eastAsia="zh-CN"/>
              </w:rPr>
              <w:t>3</w:t>
            </w:r>
            <w:r>
              <w:rPr>
                <w:rFonts w:hint="eastAsia" w:ascii="宋体" w:hAnsi="宋体" w:eastAsia="宋体" w:cs="宋体"/>
                <w:sz w:val="21"/>
                <w:szCs w:val="21"/>
              </w:rPr>
              <w:t>0分</w:t>
            </w:r>
            <w:r>
              <w:rPr>
                <w:rFonts w:hint="eastAsia" w:ascii="宋体" w:hAnsi="宋体" w:eastAsia="宋体" w:cs="宋体"/>
                <w:sz w:val="21"/>
                <w:szCs w:val="21"/>
                <w:lang w:eastAsia="zh-CN"/>
              </w:rPr>
              <w:t>）</w:t>
            </w:r>
          </w:p>
        </w:tc>
        <w:tc>
          <w:tcPr>
            <w:tcW w:w="651" w:type="pct"/>
            <w:tcBorders>
              <w:bottom w:val="nil"/>
            </w:tcBorders>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数</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量</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指</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标</w:t>
            </w:r>
          </w:p>
        </w:tc>
        <w:tc>
          <w:tcPr>
            <w:tcW w:w="546"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宋体" w:hAnsi="宋体" w:eastAsia="宋体" w:cs="宋体"/>
                <w:sz w:val="21"/>
                <w:szCs w:val="21"/>
                <w:lang w:val="en-US" w:eastAsia="zh-CN"/>
              </w:rPr>
            </w:pPr>
            <w:r>
              <w:rPr>
                <w:rFonts w:hint="eastAsia" w:ascii="宋体" w:hAnsi="宋体" w:cs="宋体"/>
                <w:sz w:val="21"/>
                <w:szCs w:val="21"/>
                <w:lang w:val="en-US" w:eastAsia="zh-CN"/>
              </w:rPr>
              <w:t>棉花</w:t>
            </w:r>
            <w:r>
              <w:rPr>
                <w:rFonts w:hint="eastAsia" w:ascii="宋体" w:hAnsi="宋体" w:eastAsia="宋体" w:cs="宋体"/>
                <w:sz w:val="21"/>
                <w:szCs w:val="21"/>
                <w:lang w:val="en-US" w:eastAsia="zh-CN"/>
              </w:rPr>
              <w:t>大县资金发放率</w:t>
            </w:r>
          </w:p>
        </w:tc>
        <w:tc>
          <w:tcPr>
            <w:tcW w:w="57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default" w:ascii="宋体" w:hAnsi="宋体" w:eastAsia="宋体" w:cs="宋体"/>
                <w:sz w:val="21"/>
                <w:szCs w:val="21"/>
                <w:lang w:val="en-US" w:eastAsia="zh-CN"/>
              </w:rPr>
              <w:t>≥</w:t>
            </w:r>
            <w:r>
              <w:rPr>
                <w:rFonts w:hint="eastAsia" w:ascii="宋体" w:hAnsi="宋体" w:eastAsia="宋体" w:cs="宋体"/>
                <w:sz w:val="21"/>
                <w:szCs w:val="21"/>
                <w:lang w:val="en-US" w:eastAsia="zh-CN"/>
              </w:rPr>
              <w:t>95％</w:t>
            </w:r>
          </w:p>
        </w:tc>
        <w:tc>
          <w:tcPr>
            <w:tcW w:w="658"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100%</w:t>
            </w:r>
          </w:p>
        </w:tc>
        <w:tc>
          <w:tcPr>
            <w:tcW w:w="34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10</w:t>
            </w:r>
          </w:p>
        </w:tc>
        <w:tc>
          <w:tcPr>
            <w:tcW w:w="406"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10</w:t>
            </w:r>
          </w:p>
        </w:tc>
        <w:tc>
          <w:tcPr>
            <w:tcW w:w="774"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1" w:hRule="atLeast"/>
        </w:trPr>
        <w:tc>
          <w:tcPr>
            <w:tcW w:w="521" w:type="pct"/>
            <w:vMerge w:val="continue"/>
            <w:noWrap w:val="0"/>
            <w:textDirection w:val="tbRlV"/>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黑体" w:hAnsi="黑体" w:eastAsia="黑体" w:cs="黑体"/>
                <w:sz w:val="21"/>
                <w:szCs w:val="21"/>
              </w:rPr>
            </w:pPr>
          </w:p>
        </w:tc>
        <w:tc>
          <w:tcPr>
            <w:tcW w:w="521" w:type="pct"/>
            <w:vMerge w:val="continue"/>
            <w:tcBorders>
              <w:top w:val="nil"/>
              <w:bottom w:val="nil"/>
            </w:tcBorders>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c>
          <w:tcPr>
            <w:tcW w:w="651" w:type="pct"/>
            <w:tcBorders>
              <w:bottom w:val="nil"/>
            </w:tcBorders>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质</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量</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指</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标</w:t>
            </w:r>
          </w:p>
        </w:tc>
        <w:tc>
          <w:tcPr>
            <w:tcW w:w="546"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补贴对象审核准确性</w:t>
            </w:r>
          </w:p>
        </w:tc>
        <w:tc>
          <w:tcPr>
            <w:tcW w:w="57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default" w:ascii="宋体" w:hAnsi="宋体" w:eastAsia="宋体" w:cs="宋体"/>
                <w:sz w:val="21"/>
                <w:szCs w:val="21"/>
                <w:lang w:val="en-US" w:eastAsia="zh-CN"/>
              </w:rPr>
              <w:t>≥</w:t>
            </w:r>
            <w:r>
              <w:rPr>
                <w:rFonts w:hint="eastAsia" w:ascii="宋体" w:hAnsi="宋体" w:eastAsia="宋体" w:cs="宋体"/>
                <w:sz w:val="21"/>
                <w:szCs w:val="21"/>
                <w:lang w:val="en-US" w:eastAsia="zh-CN"/>
              </w:rPr>
              <w:t>95％</w:t>
            </w:r>
          </w:p>
        </w:tc>
        <w:tc>
          <w:tcPr>
            <w:tcW w:w="658"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100%</w:t>
            </w:r>
          </w:p>
        </w:tc>
        <w:tc>
          <w:tcPr>
            <w:tcW w:w="34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10</w:t>
            </w:r>
          </w:p>
        </w:tc>
        <w:tc>
          <w:tcPr>
            <w:tcW w:w="406"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10</w:t>
            </w:r>
          </w:p>
        </w:tc>
        <w:tc>
          <w:tcPr>
            <w:tcW w:w="774"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1" w:hRule="atLeast"/>
        </w:trPr>
        <w:tc>
          <w:tcPr>
            <w:tcW w:w="521" w:type="pct"/>
            <w:vMerge w:val="continue"/>
            <w:noWrap w:val="0"/>
            <w:textDirection w:val="tbRlV"/>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黑体" w:hAnsi="黑体" w:eastAsia="黑体" w:cs="黑体"/>
                <w:sz w:val="21"/>
                <w:szCs w:val="21"/>
              </w:rPr>
            </w:pPr>
          </w:p>
        </w:tc>
        <w:tc>
          <w:tcPr>
            <w:tcW w:w="521" w:type="pct"/>
            <w:vMerge w:val="continue"/>
            <w:tcBorders>
              <w:top w:val="nil"/>
              <w:bottom w:val="nil"/>
            </w:tcBorders>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c>
          <w:tcPr>
            <w:tcW w:w="651" w:type="pct"/>
            <w:tcBorders>
              <w:bottom w:val="nil"/>
            </w:tcBorders>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时</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效</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指</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标</w:t>
            </w:r>
          </w:p>
        </w:tc>
        <w:tc>
          <w:tcPr>
            <w:tcW w:w="546"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在2023年12月前完成</w:t>
            </w:r>
          </w:p>
        </w:tc>
        <w:tc>
          <w:tcPr>
            <w:tcW w:w="57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2023年1-12月完成</w:t>
            </w:r>
          </w:p>
        </w:tc>
        <w:tc>
          <w:tcPr>
            <w:tcW w:w="658"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2023年1-12月</w:t>
            </w:r>
          </w:p>
        </w:tc>
        <w:tc>
          <w:tcPr>
            <w:tcW w:w="34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10</w:t>
            </w:r>
          </w:p>
        </w:tc>
        <w:tc>
          <w:tcPr>
            <w:tcW w:w="406"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10</w:t>
            </w:r>
          </w:p>
        </w:tc>
        <w:tc>
          <w:tcPr>
            <w:tcW w:w="774"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1" w:type="pct"/>
            <w:vMerge w:val="restar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黑体" w:hAnsi="黑体" w:eastAsia="黑体" w:cs="黑体"/>
                <w:sz w:val="21"/>
                <w:szCs w:val="21"/>
              </w:rPr>
            </w:pPr>
            <w:r>
              <w:rPr>
                <w:rFonts w:hint="eastAsia" w:ascii="黑体" w:hAnsi="黑体" w:eastAsia="黑体" w:cs="黑体"/>
                <w:sz w:val="21"/>
                <w:szCs w:val="21"/>
              </w:rPr>
              <w:t>绩</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黑体" w:hAnsi="黑体" w:eastAsia="黑体" w:cs="黑体"/>
                <w:sz w:val="21"/>
                <w:szCs w:val="21"/>
              </w:rPr>
            </w:pPr>
            <w:r>
              <w:rPr>
                <w:rFonts w:hint="eastAsia" w:ascii="黑体" w:hAnsi="黑体" w:eastAsia="黑体" w:cs="黑体"/>
                <w:sz w:val="21"/>
                <w:szCs w:val="21"/>
              </w:rPr>
              <w:t>效</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黑体" w:hAnsi="黑体" w:eastAsia="黑体" w:cs="黑体"/>
                <w:sz w:val="21"/>
                <w:szCs w:val="21"/>
              </w:rPr>
            </w:pPr>
            <w:r>
              <w:rPr>
                <w:rFonts w:hint="eastAsia" w:ascii="黑体" w:hAnsi="黑体" w:eastAsia="黑体" w:cs="黑体"/>
                <w:sz w:val="21"/>
                <w:szCs w:val="21"/>
              </w:rPr>
              <w:t>指</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黑体" w:hAnsi="黑体" w:eastAsia="黑体" w:cs="黑体"/>
                <w:sz w:val="21"/>
                <w:szCs w:val="21"/>
              </w:rPr>
            </w:pPr>
            <w:r>
              <w:rPr>
                <w:rFonts w:hint="eastAsia" w:ascii="黑体" w:hAnsi="黑体" w:eastAsia="黑体" w:cs="黑体"/>
                <w:sz w:val="21"/>
                <w:szCs w:val="21"/>
              </w:rPr>
              <w:t>标</w:t>
            </w:r>
          </w:p>
        </w:tc>
        <w:tc>
          <w:tcPr>
            <w:tcW w:w="521" w:type="pct"/>
            <w:vMerge w:val="restar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效</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益</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指</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标</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（30分）</w:t>
            </w:r>
          </w:p>
        </w:tc>
        <w:tc>
          <w:tcPr>
            <w:tcW w:w="651" w:type="pct"/>
            <w:tcBorders>
              <w:left w:val="single" w:color="auto" w:sz="4" w:space="0"/>
              <w:bottom w:val="nil"/>
            </w:tcBorders>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经济</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效益</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指标</w:t>
            </w:r>
          </w:p>
        </w:tc>
        <w:tc>
          <w:tcPr>
            <w:tcW w:w="546"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增加粮食产能</w:t>
            </w:r>
          </w:p>
        </w:tc>
        <w:tc>
          <w:tcPr>
            <w:tcW w:w="57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default" w:ascii="宋体" w:hAnsi="宋体" w:eastAsia="宋体" w:cs="宋体"/>
                <w:sz w:val="21"/>
                <w:szCs w:val="21"/>
                <w:lang w:val="en-US" w:eastAsia="zh-CN"/>
              </w:rPr>
              <w:t>≥</w:t>
            </w:r>
            <w:r>
              <w:rPr>
                <w:rFonts w:hint="eastAsia" w:ascii="宋体" w:hAnsi="宋体" w:eastAsia="宋体" w:cs="宋体"/>
                <w:sz w:val="21"/>
                <w:szCs w:val="21"/>
                <w:lang w:val="en-US" w:eastAsia="zh-CN"/>
              </w:rPr>
              <w:t>5％</w:t>
            </w:r>
          </w:p>
        </w:tc>
        <w:tc>
          <w:tcPr>
            <w:tcW w:w="658"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4.5%</w:t>
            </w:r>
          </w:p>
        </w:tc>
        <w:tc>
          <w:tcPr>
            <w:tcW w:w="34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10</w:t>
            </w:r>
          </w:p>
        </w:tc>
        <w:tc>
          <w:tcPr>
            <w:tcW w:w="406"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9</w:t>
            </w:r>
          </w:p>
        </w:tc>
        <w:tc>
          <w:tcPr>
            <w:tcW w:w="774"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1" w:type="pct"/>
            <w:vMerge w:val="continue"/>
            <w:noWrap w:val="0"/>
            <w:textDirection w:val="tbRlV"/>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c>
          <w:tcPr>
            <w:tcW w:w="521" w:type="pct"/>
            <w:vMerge w:val="continue"/>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c>
          <w:tcPr>
            <w:tcW w:w="651" w:type="pct"/>
            <w:tcBorders>
              <w:left w:val="single" w:color="auto" w:sz="4" w:space="0"/>
              <w:bottom w:val="nil"/>
            </w:tcBorders>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社会</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效益</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指标</w:t>
            </w:r>
          </w:p>
        </w:tc>
        <w:tc>
          <w:tcPr>
            <w:tcW w:w="546"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粮食种植面积比上年增加</w:t>
            </w:r>
          </w:p>
        </w:tc>
        <w:tc>
          <w:tcPr>
            <w:tcW w:w="57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增加</w:t>
            </w:r>
          </w:p>
        </w:tc>
        <w:tc>
          <w:tcPr>
            <w:tcW w:w="658"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增加</w:t>
            </w:r>
          </w:p>
        </w:tc>
        <w:tc>
          <w:tcPr>
            <w:tcW w:w="34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10</w:t>
            </w:r>
          </w:p>
        </w:tc>
        <w:tc>
          <w:tcPr>
            <w:tcW w:w="406"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8</w:t>
            </w:r>
          </w:p>
        </w:tc>
        <w:tc>
          <w:tcPr>
            <w:tcW w:w="774"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1" w:type="pct"/>
            <w:vMerge w:val="continue"/>
            <w:noWrap w:val="0"/>
            <w:textDirection w:val="tbRlV"/>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c>
          <w:tcPr>
            <w:tcW w:w="521" w:type="pct"/>
            <w:vMerge w:val="continue"/>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c>
          <w:tcPr>
            <w:tcW w:w="651" w:type="pct"/>
            <w:tcBorders>
              <w:left w:val="single" w:color="auto" w:sz="4" w:space="0"/>
              <w:bottom w:val="nil"/>
            </w:tcBorders>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生态</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效益</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指标</w:t>
            </w:r>
          </w:p>
        </w:tc>
        <w:tc>
          <w:tcPr>
            <w:tcW w:w="546"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提升环境向良性方向发展率</w:t>
            </w:r>
          </w:p>
        </w:tc>
        <w:tc>
          <w:tcPr>
            <w:tcW w:w="57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default" w:ascii="宋体" w:hAnsi="宋体" w:eastAsia="宋体" w:cs="宋体"/>
                <w:sz w:val="21"/>
                <w:szCs w:val="21"/>
                <w:lang w:val="en-US" w:eastAsia="zh-CN"/>
              </w:rPr>
              <w:t>≥</w:t>
            </w:r>
            <w:r>
              <w:rPr>
                <w:rFonts w:hint="eastAsia" w:ascii="宋体" w:hAnsi="宋体" w:eastAsia="宋体" w:cs="宋体"/>
                <w:sz w:val="21"/>
                <w:szCs w:val="21"/>
                <w:lang w:val="en-US" w:eastAsia="zh-CN"/>
              </w:rPr>
              <w:t>1％</w:t>
            </w:r>
          </w:p>
        </w:tc>
        <w:tc>
          <w:tcPr>
            <w:tcW w:w="658"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0.8%</w:t>
            </w:r>
          </w:p>
        </w:tc>
        <w:tc>
          <w:tcPr>
            <w:tcW w:w="34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5</w:t>
            </w:r>
          </w:p>
        </w:tc>
        <w:tc>
          <w:tcPr>
            <w:tcW w:w="406"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4</w:t>
            </w:r>
          </w:p>
        </w:tc>
        <w:tc>
          <w:tcPr>
            <w:tcW w:w="774"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1" w:type="pct"/>
            <w:vMerge w:val="continue"/>
            <w:noWrap w:val="0"/>
            <w:textDirection w:val="tbRlV"/>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c>
          <w:tcPr>
            <w:tcW w:w="521" w:type="pct"/>
            <w:vMerge w:val="continue"/>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c>
          <w:tcPr>
            <w:tcW w:w="651" w:type="pct"/>
            <w:tcBorders>
              <w:left w:val="single" w:color="auto" w:sz="4" w:space="0"/>
              <w:bottom w:val="nil"/>
            </w:tcBorders>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可持续</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影响</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指标</w:t>
            </w:r>
          </w:p>
        </w:tc>
        <w:tc>
          <w:tcPr>
            <w:tcW w:w="546"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提高粮食产量</w:t>
            </w:r>
          </w:p>
        </w:tc>
        <w:tc>
          <w:tcPr>
            <w:tcW w:w="57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ascii="宋体" w:hAnsi="宋体" w:eastAsia="宋体" w:cs="宋体"/>
                <w:sz w:val="21"/>
                <w:szCs w:val="21"/>
                <w:lang w:val="en-US" w:eastAsia="zh-CN"/>
              </w:rPr>
            </w:pPr>
            <w:r>
              <w:rPr>
                <w:rFonts w:hint="default" w:ascii="宋体" w:hAnsi="宋体" w:eastAsia="宋体" w:cs="宋体"/>
                <w:sz w:val="21"/>
                <w:szCs w:val="21"/>
                <w:lang w:val="en-US" w:eastAsia="zh-CN"/>
              </w:rPr>
              <w:t>≥</w:t>
            </w:r>
            <w:r>
              <w:rPr>
                <w:rFonts w:hint="eastAsia" w:ascii="宋体" w:hAnsi="宋体" w:eastAsia="宋体" w:cs="宋体"/>
                <w:sz w:val="21"/>
                <w:szCs w:val="21"/>
                <w:lang w:val="en-US" w:eastAsia="zh-CN"/>
              </w:rPr>
              <w:t>25％</w:t>
            </w:r>
          </w:p>
        </w:tc>
        <w:tc>
          <w:tcPr>
            <w:tcW w:w="658"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25%</w:t>
            </w:r>
          </w:p>
        </w:tc>
        <w:tc>
          <w:tcPr>
            <w:tcW w:w="34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w:t>
            </w:r>
          </w:p>
        </w:tc>
        <w:tc>
          <w:tcPr>
            <w:tcW w:w="406"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w:t>
            </w:r>
          </w:p>
        </w:tc>
        <w:tc>
          <w:tcPr>
            <w:tcW w:w="774"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1" w:type="pct"/>
            <w:vMerge w:val="continue"/>
            <w:noWrap w:val="0"/>
            <w:textDirection w:val="tbRlV"/>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c>
          <w:tcPr>
            <w:tcW w:w="521"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满意度</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指标</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（10分）</w:t>
            </w:r>
          </w:p>
        </w:tc>
        <w:tc>
          <w:tcPr>
            <w:tcW w:w="651" w:type="pct"/>
            <w:tcBorders>
              <w:left w:val="single" w:color="auto" w:sz="4" w:space="0"/>
              <w:bottom w:val="nil"/>
            </w:tcBorders>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服务对象</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满意度</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指标</w:t>
            </w:r>
          </w:p>
        </w:tc>
        <w:tc>
          <w:tcPr>
            <w:tcW w:w="546"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农民群众满意度</w:t>
            </w:r>
          </w:p>
        </w:tc>
        <w:tc>
          <w:tcPr>
            <w:tcW w:w="57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default" w:ascii="宋体" w:hAnsi="宋体" w:eastAsia="宋体" w:cs="宋体"/>
                <w:sz w:val="21"/>
                <w:szCs w:val="21"/>
                <w:lang w:val="en-US" w:eastAsia="zh-CN"/>
              </w:rPr>
              <w:t>≥</w:t>
            </w:r>
            <w:r>
              <w:rPr>
                <w:rFonts w:hint="eastAsia" w:ascii="宋体" w:hAnsi="宋体" w:eastAsia="宋体" w:cs="宋体"/>
                <w:sz w:val="21"/>
                <w:szCs w:val="21"/>
                <w:lang w:val="en-US" w:eastAsia="zh-CN"/>
              </w:rPr>
              <w:t>95％</w:t>
            </w:r>
          </w:p>
        </w:tc>
        <w:tc>
          <w:tcPr>
            <w:tcW w:w="658"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宋体" w:hAnsi="宋体" w:eastAsia="宋体" w:cs="宋体"/>
                <w:sz w:val="21"/>
                <w:szCs w:val="21"/>
                <w:lang w:val="en-US" w:eastAsia="zh-CN"/>
              </w:rPr>
            </w:pPr>
            <w:r>
              <w:rPr>
                <w:rFonts w:hint="eastAsia" w:ascii="宋体" w:hAnsi="宋体" w:cs="宋体"/>
                <w:sz w:val="21"/>
                <w:szCs w:val="21"/>
                <w:lang w:val="en-US" w:eastAsia="zh-CN"/>
              </w:rPr>
              <w:t>98</w:t>
            </w:r>
            <w:r>
              <w:rPr>
                <w:rFonts w:hint="eastAsia" w:ascii="宋体" w:hAnsi="宋体" w:eastAsia="宋体" w:cs="宋体"/>
                <w:sz w:val="21"/>
                <w:szCs w:val="21"/>
                <w:lang w:val="en-US" w:eastAsia="zh-CN"/>
              </w:rPr>
              <w:t>%</w:t>
            </w:r>
          </w:p>
        </w:tc>
        <w:tc>
          <w:tcPr>
            <w:tcW w:w="34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10</w:t>
            </w:r>
          </w:p>
        </w:tc>
        <w:tc>
          <w:tcPr>
            <w:tcW w:w="406"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10</w:t>
            </w:r>
          </w:p>
        </w:tc>
        <w:tc>
          <w:tcPr>
            <w:tcW w:w="774"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1" w:type="pct"/>
            <w:vMerge w:val="continue"/>
            <w:noWrap w:val="0"/>
            <w:textDirection w:val="tbRlV"/>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c>
          <w:tcPr>
            <w:tcW w:w="521" w:type="pct"/>
            <w:vMerge w:val="restar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成</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本</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指</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标</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（2</w:t>
            </w:r>
            <w:r>
              <w:rPr>
                <w:rFonts w:hint="eastAsia" w:ascii="宋体" w:hAnsi="宋体" w:eastAsia="宋体" w:cs="宋体"/>
                <w:sz w:val="21"/>
                <w:szCs w:val="21"/>
              </w:rPr>
              <w:t>0分</w:t>
            </w:r>
            <w:r>
              <w:rPr>
                <w:rFonts w:hint="eastAsia" w:ascii="宋体" w:hAnsi="宋体" w:eastAsia="宋体" w:cs="宋体"/>
                <w:sz w:val="21"/>
                <w:szCs w:val="21"/>
                <w:lang w:val="en-US" w:eastAsia="zh-CN"/>
              </w:rPr>
              <w:t>）</w:t>
            </w:r>
          </w:p>
        </w:tc>
        <w:tc>
          <w:tcPr>
            <w:tcW w:w="651" w:type="pct"/>
            <w:tcBorders>
              <w:top w:val="single" w:color="auto" w:sz="4" w:space="0"/>
              <w:left w:val="single" w:color="auto" w:sz="4" w:space="0"/>
              <w:right w:val="single" w:color="auto" w:sz="4" w:space="0"/>
            </w:tcBorders>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经济</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成本</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eastAsia="zh-CN"/>
              </w:rPr>
              <w:t>指标</w:t>
            </w:r>
          </w:p>
        </w:tc>
        <w:tc>
          <w:tcPr>
            <w:tcW w:w="939" w:type="dxa"/>
            <w:tcBorders>
              <w:left w:val="single" w:color="auto" w:sz="4" w:space="0"/>
            </w:tcBorders>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lang w:val="en-US" w:eastAsia="zh-CN"/>
              </w:rPr>
            </w:pPr>
            <w:r>
              <w:rPr>
                <w:rFonts w:hint="eastAsia" w:ascii="黑体" w:hAnsi="黑体" w:eastAsia="黑体" w:cs="黑体"/>
                <w:sz w:val="21"/>
                <w:szCs w:val="21"/>
                <w:lang w:val="en-US" w:eastAsia="zh-CN"/>
              </w:rPr>
              <w:t>2023年产量大县奖励资金</w:t>
            </w:r>
          </w:p>
        </w:tc>
        <w:tc>
          <w:tcPr>
            <w:tcW w:w="989"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w:t>
            </w:r>
            <w:r>
              <w:rPr>
                <w:rFonts w:hint="eastAsia" w:ascii="宋体" w:hAnsi="宋体" w:eastAsia="宋体" w:cs="宋体"/>
                <w:sz w:val="21"/>
                <w:szCs w:val="21"/>
                <w:lang w:val="en-US" w:eastAsia="zh-CN"/>
              </w:rPr>
              <w:t>14232.78万元</w:t>
            </w:r>
          </w:p>
        </w:tc>
        <w:tc>
          <w:tcPr>
            <w:tcW w:w="1131"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w:t>
            </w:r>
            <w:r>
              <w:rPr>
                <w:rFonts w:hint="eastAsia" w:ascii="宋体" w:hAnsi="宋体" w:eastAsia="宋体" w:cs="宋体"/>
                <w:sz w:val="21"/>
                <w:szCs w:val="21"/>
                <w:lang w:val="en-US" w:eastAsia="zh-CN"/>
              </w:rPr>
              <w:t>14232.78万元</w:t>
            </w:r>
          </w:p>
        </w:tc>
        <w:tc>
          <w:tcPr>
            <w:tcW w:w="593"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10分</w:t>
            </w:r>
          </w:p>
        </w:tc>
        <w:tc>
          <w:tcPr>
            <w:tcW w:w="698"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10分</w:t>
            </w:r>
          </w:p>
        </w:tc>
        <w:tc>
          <w:tcPr>
            <w:tcW w:w="774"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1" w:type="pct"/>
            <w:vMerge w:val="continue"/>
            <w:noWrap w:val="0"/>
            <w:textDirection w:val="tbRlV"/>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c>
          <w:tcPr>
            <w:tcW w:w="521" w:type="pct"/>
            <w:vMerge w:val="continue"/>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c>
          <w:tcPr>
            <w:tcW w:w="651" w:type="pct"/>
            <w:tcBorders>
              <w:top w:val="single" w:color="auto" w:sz="4" w:space="0"/>
              <w:left w:val="single" w:color="auto" w:sz="4" w:space="0"/>
              <w:right w:val="single" w:color="auto" w:sz="4" w:space="0"/>
            </w:tcBorders>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社会</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成本</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eastAsia="zh-CN"/>
              </w:rPr>
              <w:t>指标</w:t>
            </w:r>
          </w:p>
        </w:tc>
        <w:tc>
          <w:tcPr>
            <w:tcW w:w="939" w:type="dxa"/>
            <w:tcBorders>
              <w:left w:val="single" w:color="auto" w:sz="4" w:space="0"/>
            </w:tcBorders>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粮食生产综合能力</w:t>
            </w:r>
          </w:p>
        </w:tc>
        <w:tc>
          <w:tcPr>
            <w:tcW w:w="989"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default" w:ascii="宋体" w:hAnsi="宋体" w:eastAsia="宋体" w:cs="宋体"/>
                <w:sz w:val="21"/>
                <w:szCs w:val="21"/>
                <w:lang w:val="en-US" w:eastAsia="zh-CN"/>
              </w:rPr>
              <w:t>≥</w:t>
            </w:r>
            <w:r>
              <w:rPr>
                <w:rFonts w:hint="eastAsia" w:ascii="宋体" w:hAnsi="宋体" w:eastAsia="宋体" w:cs="宋体"/>
                <w:sz w:val="21"/>
                <w:szCs w:val="21"/>
                <w:lang w:val="en-US" w:eastAsia="zh-CN"/>
              </w:rPr>
              <w:t>15％</w:t>
            </w:r>
          </w:p>
        </w:tc>
        <w:tc>
          <w:tcPr>
            <w:tcW w:w="1131"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default" w:ascii="宋体" w:hAnsi="宋体" w:eastAsia="宋体" w:cs="宋体"/>
                <w:sz w:val="21"/>
                <w:szCs w:val="21"/>
                <w:lang w:val="en-US" w:eastAsia="zh-CN"/>
              </w:rPr>
              <w:t>≥</w:t>
            </w:r>
            <w:r>
              <w:rPr>
                <w:rFonts w:hint="eastAsia" w:ascii="宋体" w:hAnsi="宋体" w:eastAsia="宋体" w:cs="宋体"/>
                <w:sz w:val="21"/>
                <w:szCs w:val="21"/>
                <w:lang w:val="en-US" w:eastAsia="zh-CN"/>
              </w:rPr>
              <w:t>12％</w:t>
            </w:r>
          </w:p>
        </w:tc>
        <w:tc>
          <w:tcPr>
            <w:tcW w:w="593"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5分</w:t>
            </w:r>
          </w:p>
        </w:tc>
        <w:tc>
          <w:tcPr>
            <w:tcW w:w="698"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4</w:t>
            </w:r>
          </w:p>
        </w:tc>
        <w:tc>
          <w:tcPr>
            <w:tcW w:w="774"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521" w:type="pct"/>
            <w:vMerge w:val="continue"/>
            <w:noWrap w:val="0"/>
            <w:textDirection w:val="tbRlV"/>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c>
          <w:tcPr>
            <w:tcW w:w="521" w:type="pct"/>
            <w:vMerge w:val="continue"/>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c>
          <w:tcPr>
            <w:tcW w:w="651" w:type="pct"/>
            <w:tcBorders>
              <w:top w:val="single" w:color="auto" w:sz="4" w:space="0"/>
              <w:left w:val="single" w:color="auto" w:sz="4" w:space="0"/>
              <w:right w:val="single" w:color="auto" w:sz="4" w:space="0"/>
            </w:tcBorders>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生态</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环境</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成本</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eastAsia="zh-CN"/>
              </w:rPr>
              <w:t>指标</w:t>
            </w:r>
          </w:p>
        </w:tc>
        <w:tc>
          <w:tcPr>
            <w:tcW w:w="939" w:type="dxa"/>
            <w:tcBorders>
              <w:left w:val="single" w:color="auto" w:sz="4" w:space="0"/>
            </w:tcBorders>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耕地质量提升</w:t>
            </w:r>
          </w:p>
        </w:tc>
        <w:tc>
          <w:tcPr>
            <w:tcW w:w="989"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default" w:ascii="宋体" w:hAnsi="宋体" w:eastAsia="宋体" w:cs="宋体"/>
                <w:sz w:val="21"/>
                <w:szCs w:val="21"/>
                <w:lang w:val="en-US" w:eastAsia="zh-CN"/>
              </w:rPr>
              <w:t>≥</w:t>
            </w:r>
            <w:r>
              <w:rPr>
                <w:rFonts w:hint="eastAsia" w:ascii="宋体" w:hAnsi="宋体" w:eastAsia="宋体" w:cs="宋体"/>
                <w:sz w:val="21"/>
                <w:szCs w:val="21"/>
                <w:lang w:val="en-US" w:eastAsia="zh-CN"/>
              </w:rPr>
              <w:t>30％</w:t>
            </w:r>
          </w:p>
        </w:tc>
        <w:tc>
          <w:tcPr>
            <w:tcW w:w="1131"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29％</w:t>
            </w:r>
          </w:p>
        </w:tc>
        <w:tc>
          <w:tcPr>
            <w:tcW w:w="593"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5分</w:t>
            </w:r>
          </w:p>
        </w:tc>
        <w:tc>
          <w:tcPr>
            <w:tcW w:w="698" w:type="dxa"/>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4.8</w:t>
            </w:r>
          </w:p>
        </w:tc>
        <w:tc>
          <w:tcPr>
            <w:tcW w:w="774"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3473" w:type="pct"/>
            <w:gridSpan w:val="6"/>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总分</w:t>
            </w:r>
          </w:p>
        </w:tc>
        <w:tc>
          <w:tcPr>
            <w:tcW w:w="345"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100</w:t>
            </w:r>
          </w:p>
        </w:tc>
        <w:tc>
          <w:tcPr>
            <w:tcW w:w="406"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宋体" w:hAnsi="宋体" w:eastAsia="宋体" w:cs="宋体"/>
                <w:sz w:val="21"/>
                <w:szCs w:val="21"/>
                <w:lang w:val="en-US" w:eastAsia="zh-CN"/>
              </w:rPr>
            </w:pPr>
            <w:r>
              <w:rPr>
                <w:rFonts w:hint="eastAsia" w:ascii="宋体" w:hAnsi="宋体" w:cs="宋体"/>
                <w:sz w:val="21"/>
                <w:szCs w:val="21"/>
                <w:lang w:val="en-US" w:eastAsia="zh-CN"/>
              </w:rPr>
              <w:t>94.8</w:t>
            </w:r>
            <w:bookmarkStart w:id="9" w:name="_GoBack"/>
            <w:bookmarkEnd w:id="9"/>
          </w:p>
        </w:tc>
        <w:tc>
          <w:tcPr>
            <w:tcW w:w="774" w:type="pct"/>
            <w:noWrap w:val="0"/>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sz w:val="21"/>
                <w:szCs w:val="21"/>
              </w:rPr>
            </w:pPr>
          </w:p>
        </w:tc>
      </w:tr>
    </w:tbl>
    <w:p>
      <w:pPr>
        <w:adjustRightInd w:val="0"/>
        <w:snapToGrid w:val="0"/>
        <w:spacing w:line="579" w:lineRule="atLeast"/>
        <w:ind w:firstLine="640" w:firstLineChars="200"/>
        <w:rPr>
          <w:rFonts w:hint="eastAsia" w:ascii="Times New Roman" w:hAnsi="Times New Roman" w:eastAsia="仿宋_GB2312" w:cs="Times New Roman"/>
          <w:sz w:val="32"/>
        </w:rPr>
      </w:pPr>
      <w:r>
        <w:rPr>
          <w:rFonts w:hint="eastAsia" w:ascii="Times New Roman" w:hAnsi="Times New Roman" w:eastAsia="仿宋_GB2312" w:cs="Times New Roman"/>
          <w:sz w:val="32"/>
        </w:rPr>
        <w:t>备注：每个一级项目支出一张表。如，业务工作经费，运行维护经费，其他事业发展类资金各一张表。</w:t>
      </w:r>
    </w:p>
    <w:p>
      <w:pPr>
        <w:adjustRightInd w:val="0"/>
        <w:snapToGrid w:val="0"/>
        <w:spacing w:line="579" w:lineRule="atLeast"/>
        <w:ind w:firstLine="640" w:firstLineChars="200"/>
        <w:rPr>
          <w:rFonts w:hint="eastAsia" w:ascii="Times New Roman" w:hAnsi="Times New Roman" w:eastAsia="仿宋_GB2312" w:cs="Times New Roman"/>
          <w:sz w:val="32"/>
        </w:rPr>
      </w:pPr>
    </w:p>
    <w:p>
      <w:pPr>
        <w:adjustRightInd w:val="0"/>
        <w:snapToGrid w:val="0"/>
        <w:spacing w:line="579" w:lineRule="atLeast"/>
        <w:rPr>
          <w:rFonts w:hint="eastAsia" w:ascii="Times New Roman" w:hAnsi="Times New Roman" w:eastAsia="仿宋_GB2312" w:cs="Times New Roman"/>
          <w:sz w:val="32"/>
        </w:rPr>
      </w:pPr>
      <w:r>
        <w:rPr>
          <w:rFonts w:hint="eastAsia" w:ascii="Times New Roman" w:hAnsi="Times New Roman" w:eastAsia="仿宋_GB2312" w:cs="Times New Roman"/>
          <w:sz w:val="32"/>
        </w:rPr>
        <w:t xml:space="preserve">填表人：        填报日期：            联系电话：    </w:t>
      </w:r>
    </w:p>
    <w:p>
      <w:pPr>
        <w:adjustRightInd w:val="0"/>
        <w:snapToGrid w:val="0"/>
        <w:spacing w:line="579" w:lineRule="atLeast"/>
        <w:rPr>
          <w:rFonts w:hint="eastAsia" w:ascii="Times New Roman" w:hAnsi="Times New Roman" w:eastAsia="仿宋_GB2312" w:cs="Times New Roman"/>
          <w:sz w:val="32"/>
        </w:rPr>
      </w:pPr>
    </w:p>
    <w:p>
      <w:pPr>
        <w:adjustRightInd w:val="0"/>
        <w:snapToGrid w:val="0"/>
        <w:spacing w:line="579" w:lineRule="atLeast"/>
        <w:rPr>
          <w:rFonts w:hint="eastAsia" w:ascii="Times New Roman" w:hAnsi="Times New Roman" w:eastAsia="仿宋_GB2312" w:cs="Times New Roman"/>
          <w:sz w:val="32"/>
        </w:rPr>
      </w:pPr>
      <w:r>
        <w:rPr>
          <w:rFonts w:hint="eastAsia" w:ascii="Times New Roman" w:hAnsi="Times New Roman" w:eastAsia="仿宋_GB2312" w:cs="Times New Roman"/>
          <w:sz w:val="32"/>
        </w:rPr>
        <w:t>单位负责人签字：</w:t>
      </w:r>
    </w:p>
    <w:p>
      <w:pPr>
        <w:ind w:left="0" w:leftChars="0" w:firstLine="0" w:firstLineChars="0"/>
        <w:sectPr>
          <w:footerReference r:id="rId11" w:type="default"/>
          <w:pgSz w:w="11905" w:h="16838"/>
          <w:pgMar w:top="1984" w:right="1701" w:bottom="1984" w:left="1701" w:header="850" w:footer="1587" w:gutter="0"/>
          <w:pgNumType w:fmt="numberInDash"/>
          <w:cols w:space="720" w:num="1"/>
          <w:rtlGutter w:val="0"/>
          <w:docGrid w:type="lines" w:linePitch="314" w:charSpace="0"/>
        </w:sectPr>
      </w:pPr>
    </w:p>
    <w:p>
      <w:pPr>
        <w:adjustRightInd w:val="0"/>
        <w:snapToGrid w:val="0"/>
        <w:spacing w:before="181" w:line="171" w:lineRule="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附表</w:t>
      </w:r>
      <w:r>
        <w:rPr>
          <w:rFonts w:hint="eastAsia" w:ascii="仿宋_GB2312" w:hAnsi="仿宋_GB2312" w:eastAsia="仿宋_GB2312" w:cs="仿宋_GB2312"/>
          <w:sz w:val="32"/>
          <w:szCs w:val="32"/>
          <w:lang w:val="en-US" w:eastAsia="zh-CN"/>
        </w:rPr>
        <w:t>7</w:t>
      </w:r>
    </w:p>
    <w:p>
      <w:pPr>
        <w:keepNext w:val="0"/>
        <w:keepLines w:val="0"/>
        <w:pageBreakBefore w:val="0"/>
        <w:kinsoku/>
        <w:overflowPunct/>
        <w:topLinePunct w:val="0"/>
        <w:autoSpaceDE/>
        <w:bidi w:val="0"/>
        <w:adjustRightInd w:val="0"/>
        <w:snapToGrid w:val="0"/>
        <w:spacing w:line="560" w:lineRule="exact"/>
        <w:ind w:firstLine="720" w:firstLineChars="200"/>
        <w:jc w:val="center"/>
        <w:rPr>
          <w:rFonts w:ascii="Times New Roman" w:hAnsi="Times New Roman" w:eastAsia="方正小标宋_GBK" w:cs="Times New Roman"/>
          <w:sz w:val="36"/>
          <w:szCs w:val="36"/>
        </w:rPr>
      </w:pPr>
      <w:r>
        <w:rPr>
          <w:rFonts w:ascii="Times New Roman" w:hAnsi="Times New Roman" w:eastAsia="方正小标宋_GBK" w:cs="Times New Roman"/>
          <w:sz w:val="36"/>
          <w:szCs w:val="36"/>
        </w:rPr>
        <w:t>绩效评价结果征求意见的反馈函</w:t>
      </w:r>
    </w:p>
    <w:p>
      <w:pPr>
        <w:keepNext w:val="0"/>
        <w:keepLines w:val="0"/>
        <w:pageBreakBefore w:val="0"/>
        <w:kinsoku/>
        <w:overflowPunct/>
        <w:topLinePunct w:val="0"/>
        <w:autoSpaceDE/>
        <w:bidi w:val="0"/>
        <w:adjustRightInd w:val="0"/>
        <w:snapToGrid w:val="0"/>
        <w:spacing w:line="560" w:lineRule="exact"/>
        <w:ind w:firstLine="480" w:firstLineChars="200"/>
        <w:jc w:val="center"/>
        <w:rPr>
          <w:rFonts w:hint="eastAsia" w:ascii="楷体" w:hAnsi="楷体" w:eastAsia="楷体" w:cs="楷体"/>
          <w:b w:val="0"/>
          <w:bCs w:val="0"/>
          <w:sz w:val="24"/>
          <w:szCs w:val="24"/>
          <w:lang w:val="en-US" w:eastAsia="zh-CN"/>
        </w:rPr>
      </w:pPr>
      <w:r>
        <w:rPr>
          <w:rFonts w:hint="eastAsia" w:ascii="楷体" w:hAnsi="楷体" w:eastAsia="楷体" w:cs="楷体"/>
          <w:b w:val="0"/>
          <w:bCs w:val="0"/>
          <w:sz w:val="24"/>
          <w:szCs w:val="24"/>
          <w:lang w:val="en-US" w:eastAsia="zh-CN"/>
        </w:rPr>
        <w:t>（重点绩效评价项目用）</w:t>
      </w:r>
    </w:p>
    <w:p>
      <w:pPr>
        <w:keepNext w:val="0"/>
        <w:keepLines w:val="0"/>
        <w:pageBreakBefore w:val="0"/>
        <w:kinsoku/>
        <w:overflowPunct/>
        <w:topLinePunct w:val="0"/>
        <w:autoSpaceDE/>
        <w:bidi w:val="0"/>
        <w:adjustRightInd w:val="0"/>
        <w:snapToGrid w:val="0"/>
        <w:spacing w:line="560" w:lineRule="exact"/>
        <w:ind w:firstLine="560" w:firstLineChars="200"/>
        <w:rPr>
          <w:rFonts w:ascii="Times New Roman" w:hAnsi="Times New Roman" w:eastAsia="仿宋_GB2312" w:cs="Times New Roman"/>
          <w:sz w:val="28"/>
          <w:szCs w:val="28"/>
        </w:rPr>
      </w:pPr>
      <w:r>
        <w:rPr>
          <w:rFonts w:ascii="Times New Roman" w:hAnsi="Times New Roman" w:eastAsia="仿宋_GB2312" w:cs="Times New Roman"/>
          <w:sz w:val="28"/>
          <w:szCs w:val="28"/>
          <w:u w:val="single"/>
        </w:rPr>
        <w:t xml:space="preserve">    </w:t>
      </w:r>
      <w:r>
        <w:rPr>
          <w:rFonts w:hint="eastAsia" w:ascii="Times New Roman" w:hAnsi="Times New Roman" w:eastAsia="仿宋_GB2312" w:cs="Times New Roman"/>
          <w:sz w:val="28"/>
          <w:szCs w:val="28"/>
          <w:u w:val="single"/>
          <w:lang w:val="en-US" w:eastAsia="zh-CN"/>
        </w:rPr>
        <w:t xml:space="preserve">    </w:t>
      </w:r>
      <w:r>
        <w:rPr>
          <w:rFonts w:ascii="Times New Roman" w:hAnsi="Times New Roman" w:eastAsia="仿宋_GB2312" w:cs="Times New Roman"/>
          <w:sz w:val="28"/>
          <w:szCs w:val="28"/>
          <w:u w:val="single"/>
        </w:rPr>
        <w:t xml:space="preserve">    </w:t>
      </w:r>
      <w:r>
        <w:rPr>
          <w:rFonts w:hint="eastAsia" w:ascii="Times New Roman" w:hAnsi="Times New Roman" w:eastAsia="仿宋_GB2312" w:cs="Times New Roman"/>
          <w:sz w:val="28"/>
          <w:szCs w:val="28"/>
          <w:u w:val="single"/>
          <w:lang w:val="en-US" w:eastAsia="zh-CN"/>
        </w:rPr>
        <w:t xml:space="preserve">   </w:t>
      </w:r>
      <w:r>
        <w:rPr>
          <w:rFonts w:ascii="Times New Roman" w:hAnsi="Times New Roman" w:eastAsia="仿宋_GB2312" w:cs="Times New Roman"/>
          <w:sz w:val="28"/>
          <w:szCs w:val="28"/>
          <w:u w:val="single"/>
        </w:rPr>
        <w:t xml:space="preserve">   </w:t>
      </w:r>
      <w:r>
        <w:rPr>
          <w:rFonts w:ascii="Times New Roman" w:hAnsi="Times New Roman" w:eastAsia="仿宋_GB2312" w:cs="Times New Roman"/>
          <w:sz w:val="28"/>
          <w:szCs w:val="28"/>
        </w:rPr>
        <w:t>：</w:t>
      </w:r>
    </w:p>
    <w:p>
      <w:pPr>
        <w:keepNext w:val="0"/>
        <w:keepLines w:val="0"/>
        <w:pageBreakBefore w:val="0"/>
        <w:kinsoku/>
        <w:overflowPunct/>
        <w:topLinePunct w:val="0"/>
        <w:autoSpaceDE/>
        <w:bidi w:val="0"/>
        <w:adjustRightInd w:val="0"/>
        <w:snapToGrid w:val="0"/>
        <w:spacing w:line="560" w:lineRule="exact"/>
        <w:ind w:firstLine="640" w:firstLineChars="200"/>
        <w:rPr>
          <w:rFonts w:ascii="Times New Roman" w:hAnsi="Times New Roman" w:eastAsia="仿宋_GB2312" w:cs="Times New Roman"/>
          <w:sz w:val="32"/>
          <w:szCs w:val="32"/>
        </w:rPr>
      </w:pPr>
      <w:r>
        <w:rPr>
          <w:rFonts w:ascii="Times New Roman" w:hAnsi="Times New Roman" w:eastAsia="仿宋_GB2312" w:cs="Times New Roman"/>
          <w:sz w:val="32"/>
          <w:szCs w:val="32"/>
        </w:rPr>
        <w:t>按照相关规定和绩效评价要求，根据贵单位的绩效自评报告和绩效评价工作组的现场评价情况，形成绩效评价报告。现将《×××绩效评价报告》反馈贵单位，请于    年     月   日前提出书面意见或说明，逾期未复，视为无异议。</w:t>
      </w:r>
    </w:p>
    <w:tbl>
      <w:tblPr>
        <w:tblStyle w:val="12"/>
        <w:tblW w:w="89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jc w:val="center"/>
        </w:trPr>
        <w:tc>
          <w:tcPr>
            <w:tcW w:w="8920" w:type="dxa"/>
            <w:noWrap w:val="0"/>
            <w:vAlign w:val="center"/>
          </w:tcPr>
          <w:p>
            <w:pPr>
              <w:keepNext w:val="0"/>
              <w:keepLines w:val="0"/>
              <w:pageBreakBefore w:val="0"/>
              <w:suppressLineNumbers w:val="0"/>
              <w:kinsoku/>
              <w:overflowPunct/>
              <w:topLinePunct w:val="0"/>
              <w:autoSpaceDE/>
              <w:bidi w:val="0"/>
              <w:adjustRightInd w:val="0"/>
              <w:snapToGrid w:val="0"/>
              <w:spacing w:before="0" w:beforeAutospacing="0" w:after="0" w:afterAutospacing="0" w:line="560" w:lineRule="exact"/>
              <w:ind w:left="0" w:right="0" w:firstLine="560" w:firstLineChars="200"/>
              <w:jc w:val="center"/>
              <w:rPr>
                <w:rFonts w:hint="default" w:ascii="Times New Roman" w:hAnsi="Times New Roman" w:eastAsia="黑体" w:cs="Times New Roman"/>
                <w:sz w:val="28"/>
                <w:szCs w:val="28"/>
              </w:rPr>
            </w:pPr>
            <w:r>
              <w:rPr>
                <w:rFonts w:hint="default" w:ascii="Times New Roman" w:hAnsi="Times New Roman" w:eastAsia="楷体_GB2312" w:cs="Times New Roman"/>
                <w:sz w:val="28"/>
                <w:szCs w:val="28"/>
              </w:rPr>
              <w:t>项目实施单位意见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3" w:hRule="atLeast"/>
          <w:jc w:val="center"/>
        </w:trPr>
        <w:tc>
          <w:tcPr>
            <w:tcW w:w="8920" w:type="dxa"/>
            <w:noWrap w:val="0"/>
            <w:vAlign w:val="top"/>
          </w:tcPr>
          <w:p>
            <w:pPr>
              <w:keepNext w:val="0"/>
              <w:keepLines w:val="0"/>
              <w:pageBreakBefore w:val="0"/>
              <w:suppressLineNumbers w:val="0"/>
              <w:kinsoku/>
              <w:overflowPunct/>
              <w:topLinePunct w:val="0"/>
              <w:autoSpaceDE/>
              <w:bidi w:val="0"/>
              <w:adjustRightInd w:val="0"/>
              <w:snapToGrid w:val="0"/>
              <w:spacing w:before="0" w:beforeAutospacing="0" w:after="0" w:afterAutospacing="0" w:line="560" w:lineRule="exact"/>
              <w:ind w:left="0" w:right="0" w:firstLine="140" w:firstLineChars="50"/>
              <w:rPr>
                <w:rFonts w:hint="default" w:ascii="Times New Roman" w:hAnsi="Times New Roman" w:eastAsia="黑体" w:cs="Times New Roman"/>
                <w:sz w:val="28"/>
                <w:szCs w:val="28"/>
              </w:rPr>
            </w:pPr>
            <w:r>
              <w:rPr>
                <w:rFonts w:hint="default" w:ascii="Times New Roman" w:hAnsi="Times New Roman" w:eastAsia="黑体" w:cs="Times New Roman"/>
                <w:sz w:val="28"/>
                <w:szCs w:val="28"/>
              </w:rPr>
              <w:t>一、对报告中“评价结论”的意见</w:t>
            </w:r>
          </w:p>
          <w:p>
            <w:pPr>
              <w:keepNext w:val="0"/>
              <w:keepLines w:val="0"/>
              <w:pageBreakBefore w:val="0"/>
              <w:suppressLineNumbers w:val="0"/>
              <w:kinsoku/>
              <w:overflowPunct/>
              <w:topLinePunct w:val="0"/>
              <w:autoSpaceDE/>
              <w:bidi w:val="0"/>
              <w:adjustRightInd w:val="0"/>
              <w:snapToGrid w:val="0"/>
              <w:spacing w:before="0" w:beforeAutospacing="0" w:after="0" w:afterAutospacing="0" w:line="560" w:lineRule="exact"/>
              <w:ind w:left="0" w:right="0" w:firstLine="560" w:firstLineChars="200"/>
              <w:rPr>
                <w:rFonts w:hint="default" w:ascii="Times New Roman" w:hAnsi="Times New Roman" w:eastAsia="仿宋_GB2312" w:cs="Times New Roman"/>
                <w:sz w:val="28"/>
                <w:szCs w:val="28"/>
              </w:rPr>
            </w:pPr>
          </w:p>
          <w:p>
            <w:pPr>
              <w:keepNext w:val="0"/>
              <w:keepLines w:val="0"/>
              <w:pageBreakBefore w:val="0"/>
              <w:suppressLineNumbers w:val="0"/>
              <w:kinsoku/>
              <w:overflowPunct/>
              <w:topLinePunct w:val="0"/>
              <w:autoSpaceDE/>
              <w:bidi w:val="0"/>
              <w:adjustRightInd w:val="0"/>
              <w:snapToGrid w:val="0"/>
              <w:spacing w:before="0" w:beforeAutospacing="0" w:after="0" w:afterAutospacing="0" w:line="560" w:lineRule="exact"/>
              <w:ind w:left="0" w:right="0" w:firstLine="560" w:firstLineChars="200"/>
              <w:rPr>
                <w:rFonts w:hint="default" w:ascii="Times New Roman" w:hAnsi="Times New Roman" w:eastAsia="仿宋_GB2312" w:cs="Times New Roman"/>
                <w:sz w:val="28"/>
                <w:szCs w:val="28"/>
              </w:rPr>
            </w:pPr>
          </w:p>
          <w:p>
            <w:pPr>
              <w:keepNext w:val="0"/>
              <w:keepLines w:val="0"/>
              <w:pageBreakBefore w:val="0"/>
              <w:suppressLineNumbers w:val="0"/>
              <w:kinsoku/>
              <w:overflowPunct/>
              <w:topLinePunct w:val="0"/>
              <w:autoSpaceDE/>
              <w:bidi w:val="0"/>
              <w:adjustRightInd w:val="0"/>
              <w:snapToGrid w:val="0"/>
              <w:spacing w:before="0" w:beforeAutospacing="0" w:after="0" w:afterAutospacing="0" w:line="560" w:lineRule="exact"/>
              <w:ind w:left="0" w:right="0" w:firstLine="140" w:firstLineChars="50"/>
              <w:rPr>
                <w:rFonts w:hint="default" w:ascii="Times New Roman" w:hAnsi="Times New Roman" w:eastAsia="黑体" w:cs="Times New Roman"/>
                <w:sz w:val="28"/>
                <w:szCs w:val="28"/>
              </w:rPr>
            </w:pPr>
            <w:r>
              <w:rPr>
                <w:rFonts w:hint="default" w:ascii="Times New Roman" w:hAnsi="Times New Roman" w:eastAsia="黑体" w:cs="Times New Roman"/>
                <w:sz w:val="28"/>
                <w:szCs w:val="28"/>
              </w:rPr>
              <w:t>二、对报告中“问题”和“建议”的意见</w:t>
            </w:r>
          </w:p>
          <w:p>
            <w:pPr>
              <w:keepNext w:val="0"/>
              <w:keepLines w:val="0"/>
              <w:pageBreakBefore w:val="0"/>
              <w:suppressLineNumbers w:val="0"/>
              <w:kinsoku/>
              <w:overflowPunct/>
              <w:topLinePunct w:val="0"/>
              <w:autoSpaceDE/>
              <w:bidi w:val="0"/>
              <w:adjustRightInd w:val="0"/>
              <w:snapToGrid w:val="0"/>
              <w:spacing w:before="0" w:beforeAutospacing="0" w:after="0" w:afterAutospacing="0" w:line="560" w:lineRule="exact"/>
              <w:ind w:left="0" w:right="0" w:firstLine="560" w:firstLineChars="200"/>
              <w:rPr>
                <w:rFonts w:hint="default" w:ascii="Times New Roman" w:hAnsi="Times New Roman" w:eastAsia="仿宋_GB2312" w:cs="Times New Roman"/>
                <w:sz w:val="28"/>
                <w:szCs w:val="28"/>
              </w:rPr>
            </w:pPr>
          </w:p>
          <w:p>
            <w:pPr>
              <w:keepNext w:val="0"/>
              <w:keepLines w:val="0"/>
              <w:pageBreakBefore w:val="0"/>
              <w:suppressLineNumbers w:val="0"/>
              <w:kinsoku/>
              <w:overflowPunct/>
              <w:topLinePunct w:val="0"/>
              <w:autoSpaceDE/>
              <w:bidi w:val="0"/>
              <w:adjustRightInd w:val="0"/>
              <w:snapToGrid w:val="0"/>
              <w:spacing w:before="0" w:beforeAutospacing="0" w:after="0" w:afterAutospacing="0" w:line="560" w:lineRule="exact"/>
              <w:ind w:left="0" w:right="0" w:firstLine="560" w:firstLineChars="200"/>
              <w:rPr>
                <w:rFonts w:hint="default" w:ascii="Times New Roman" w:hAnsi="Times New Roman" w:eastAsia="仿宋_GB2312" w:cs="Times New Roman"/>
                <w:sz w:val="28"/>
                <w:szCs w:val="28"/>
              </w:rPr>
            </w:pPr>
          </w:p>
          <w:p>
            <w:pPr>
              <w:keepNext w:val="0"/>
              <w:keepLines w:val="0"/>
              <w:pageBreakBefore w:val="0"/>
              <w:suppressLineNumbers w:val="0"/>
              <w:kinsoku/>
              <w:overflowPunct/>
              <w:topLinePunct w:val="0"/>
              <w:autoSpaceDE/>
              <w:bidi w:val="0"/>
              <w:adjustRightInd w:val="0"/>
              <w:snapToGrid w:val="0"/>
              <w:spacing w:before="0" w:beforeAutospacing="0" w:after="0" w:afterAutospacing="0" w:line="560" w:lineRule="exact"/>
              <w:ind w:left="0" w:right="0" w:firstLine="560" w:firstLineChars="200"/>
              <w:rPr>
                <w:rFonts w:hint="default" w:ascii="Times New Roman" w:hAnsi="Times New Roman" w:eastAsia="仿宋_GB2312" w:cs="Times New Roman"/>
                <w:sz w:val="28"/>
                <w:szCs w:val="28"/>
              </w:rPr>
            </w:pPr>
          </w:p>
          <w:p>
            <w:pPr>
              <w:keepNext w:val="0"/>
              <w:keepLines w:val="0"/>
              <w:pageBreakBefore w:val="0"/>
              <w:suppressLineNumbers w:val="0"/>
              <w:kinsoku/>
              <w:overflowPunct/>
              <w:topLinePunct w:val="0"/>
              <w:autoSpaceDE/>
              <w:bidi w:val="0"/>
              <w:adjustRightInd w:val="0"/>
              <w:snapToGrid w:val="0"/>
              <w:spacing w:before="0" w:beforeAutospacing="0" w:after="0" w:afterAutospacing="0" w:line="560" w:lineRule="exact"/>
              <w:ind w:left="0" w:right="0" w:firstLine="140" w:firstLineChars="50"/>
              <w:rPr>
                <w:rFonts w:hint="default" w:ascii="Times New Roman" w:hAnsi="Times New Roman" w:eastAsia="黑体" w:cs="Times New Roman"/>
                <w:sz w:val="28"/>
                <w:szCs w:val="28"/>
              </w:rPr>
            </w:pPr>
            <w:r>
              <w:rPr>
                <w:rFonts w:hint="default" w:ascii="Times New Roman" w:hAnsi="Times New Roman" w:eastAsia="黑体" w:cs="Times New Roman"/>
                <w:sz w:val="28"/>
                <w:szCs w:val="28"/>
              </w:rPr>
              <w:t>三、</w:t>
            </w:r>
            <w:r>
              <w:rPr>
                <w:rFonts w:hint="eastAsia" w:ascii="Times New Roman" w:hAnsi="Times New Roman" w:eastAsia="黑体" w:cs="Times New Roman"/>
                <w:sz w:val="28"/>
                <w:szCs w:val="28"/>
                <w:lang w:eastAsia="zh-CN"/>
              </w:rPr>
              <w:t>其他意见</w:t>
            </w:r>
            <w:r>
              <w:rPr>
                <w:rFonts w:hint="default" w:ascii="Times New Roman" w:hAnsi="Times New Roman" w:eastAsia="黑体" w:cs="Times New Roman"/>
                <w:sz w:val="28"/>
                <w:szCs w:val="28"/>
              </w:rPr>
              <w:t>或建议</w:t>
            </w:r>
          </w:p>
          <w:p>
            <w:pPr>
              <w:keepNext w:val="0"/>
              <w:keepLines w:val="0"/>
              <w:pageBreakBefore w:val="0"/>
              <w:suppressLineNumbers w:val="0"/>
              <w:kinsoku/>
              <w:wordWrap w:val="0"/>
              <w:overflowPunct/>
              <w:topLinePunct w:val="0"/>
              <w:autoSpaceDE/>
              <w:bidi w:val="0"/>
              <w:adjustRightInd w:val="0"/>
              <w:snapToGrid w:val="0"/>
              <w:spacing w:before="0" w:beforeAutospacing="0" w:after="0" w:afterAutospacing="0" w:line="560" w:lineRule="exact"/>
              <w:ind w:left="0" w:right="1280" w:firstLine="560" w:firstLineChars="200"/>
              <w:jc w:val="right"/>
              <w:rPr>
                <w:rFonts w:hint="default" w:ascii="Times New Roman" w:hAnsi="Times New Roman" w:eastAsia="仿宋_GB2312" w:cs="Times New Roman"/>
                <w:sz w:val="28"/>
                <w:szCs w:val="28"/>
              </w:rPr>
            </w:pPr>
          </w:p>
          <w:p>
            <w:pPr>
              <w:keepNext w:val="0"/>
              <w:keepLines w:val="0"/>
              <w:suppressLineNumbers w:val="0"/>
              <w:adjustRightInd w:val="0"/>
              <w:snapToGrid w:val="0"/>
              <w:spacing w:before="0" w:beforeAutospacing="0" w:after="0" w:afterAutospacing="0" w:line="579" w:lineRule="atLeast"/>
              <w:ind w:left="0" w:right="0" w:firstLine="560" w:firstLineChars="200"/>
              <w:rPr>
                <w:rFonts w:hint="default" w:ascii="Times New Roman" w:hAnsi="Times New Roman" w:eastAsia="仿宋_GB2312" w:cs="Times New Roman"/>
                <w:sz w:val="28"/>
                <w:szCs w:val="28"/>
              </w:rPr>
            </w:pPr>
          </w:p>
          <w:p>
            <w:pPr>
              <w:keepNext w:val="0"/>
              <w:keepLines w:val="0"/>
              <w:widowControl w:val="0"/>
              <w:suppressLineNumbers w:val="0"/>
              <w:adjustRightInd w:val="0"/>
              <w:snapToGrid w:val="0"/>
              <w:spacing w:before="0" w:beforeAutospacing="0" w:after="0" w:afterAutospacing="0" w:line="579" w:lineRule="atLeast"/>
              <w:ind w:left="0" w:right="0" w:firstLine="360" w:firstLineChars="200"/>
              <w:jc w:val="left"/>
              <w:rPr>
                <w:rFonts w:hint="default" w:ascii="Times New Roman" w:hAnsi="Times New Roman" w:eastAsia="仿宋_GB2312" w:cs="Times New Roman"/>
                <w:kern w:val="2"/>
                <w:sz w:val="18"/>
                <w:szCs w:val="18"/>
                <w:lang w:val="en-US" w:eastAsia="zh-CN" w:bidi="ar-SA"/>
              </w:rPr>
            </w:pPr>
          </w:p>
          <w:p>
            <w:pPr>
              <w:keepNext w:val="0"/>
              <w:keepLines w:val="0"/>
              <w:pageBreakBefore w:val="0"/>
              <w:suppressLineNumbers w:val="0"/>
              <w:kinsoku/>
              <w:wordWrap w:val="0"/>
              <w:overflowPunct/>
              <w:topLinePunct w:val="0"/>
              <w:autoSpaceDE/>
              <w:bidi w:val="0"/>
              <w:adjustRightInd w:val="0"/>
              <w:snapToGrid w:val="0"/>
              <w:spacing w:before="0" w:beforeAutospacing="0" w:after="0" w:afterAutospacing="0" w:line="560" w:lineRule="exact"/>
              <w:ind w:left="0" w:right="1280" w:firstLine="560" w:firstLineChars="200"/>
              <w:jc w:val="right"/>
              <w:rPr>
                <w:rFonts w:hint="default" w:ascii="Times New Roman" w:hAnsi="Times New Roman" w:eastAsia="仿宋_GB2312" w:cs="Times New Roman"/>
                <w:sz w:val="28"/>
                <w:szCs w:val="28"/>
              </w:rPr>
            </w:pPr>
            <w:r>
              <w:rPr>
                <w:rFonts w:hint="eastAsia" w:ascii="Times New Roman" w:hAnsi="Times New Roman" w:eastAsia="仿宋_GB2312" w:cs="Times New Roman"/>
                <w:sz w:val="28"/>
                <w:szCs w:val="28"/>
                <w:lang w:eastAsia="zh-CN"/>
              </w:rPr>
              <w:t>单</w:t>
            </w:r>
            <w:r>
              <w:rPr>
                <w:rFonts w:hint="default" w:ascii="Times New Roman" w:hAnsi="Times New Roman" w:eastAsia="仿宋_GB2312" w:cs="Times New Roman"/>
                <w:sz w:val="28"/>
                <w:szCs w:val="28"/>
              </w:rPr>
              <w:t>位（盖章）</w:t>
            </w:r>
          </w:p>
          <w:p>
            <w:pPr>
              <w:keepNext w:val="0"/>
              <w:keepLines w:val="0"/>
              <w:pageBreakBefore w:val="0"/>
              <w:suppressLineNumbers w:val="0"/>
              <w:kinsoku/>
              <w:wordWrap w:val="0"/>
              <w:overflowPunct/>
              <w:topLinePunct w:val="0"/>
              <w:autoSpaceDE/>
              <w:bidi w:val="0"/>
              <w:adjustRightInd w:val="0"/>
              <w:snapToGrid w:val="0"/>
              <w:spacing w:before="0" w:beforeAutospacing="0" w:after="0" w:afterAutospacing="0" w:line="560" w:lineRule="exact"/>
              <w:ind w:left="0" w:right="1280" w:firstLine="560" w:firstLineChars="200"/>
              <w:jc w:val="right"/>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年   月   日</w:t>
            </w:r>
          </w:p>
        </w:tc>
      </w:tr>
    </w:tbl>
    <w:p>
      <w:pPr>
        <w:keepNext w:val="0"/>
        <w:keepLines w:val="0"/>
        <w:pageBreakBefore w:val="0"/>
        <w:widowControl w:val="0"/>
        <w:kinsoku/>
        <w:wordWrap/>
        <w:overflowPunct/>
        <w:topLinePunct w:val="0"/>
        <w:autoSpaceDE/>
        <w:autoSpaceDN/>
        <w:bidi w:val="0"/>
        <w:adjustRightInd/>
        <w:snapToGrid/>
        <w:spacing w:line="20" w:lineRule="exact"/>
        <w:ind w:firstLine="640" w:firstLineChars="200"/>
        <w:textAlignment w:val="auto"/>
        <w:rPr>
          <w:rFonts w:hint="eastAsia" w:ascii="黑体" w:hAnsi="宋体" w:eastAsia="黑体" w:cs="黑体"/>
          <w:color w:val="000000"/>
          <w:kern w:val="0"/>
          <w:sz w:val="32"/>
          <w:szCs w:val="32"/>
          <w:lang w:bidi="ar"/>
        </w:rPr>
      </w:pPr>
      <w:r>
        <w:rPr>
          <w:rFonts w:hint="eastAsia" w:ascii="黑体" w:hAnsi="宋体" w:eastAsia="黑体" w:cs="黑体"/>
          <w:color w:val="000000"/>
          <w:kern w:val="0"/>
          <w:sz w:val="32"/>
          <w:szCs w:val="32"/>
          <w:lang w:bidi="ar"/>
        </w:rPr>
        <w:br w:type="page"/>
      </w:r>
    </w:p>
    <w:p>
      <w:pPr>
        <w:adjustRightInd w:val="0"/>
        <w:snapToGrid w:val="0"/>
        <w:spacing w:before="181" w:line="171" w:lineRule="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附表</w:t>
      </w:r>
      <w:r>
        <w:rPr>
          <w:rFonts w:hint="eastAsia" w:ascii="仿宋_GB2312" w:hAnsi="仿宋_GB2312" w:eastAsia="仿宋_GB2312" w:cs="仿宋_GB2312"/>
          <w:sz w:val="32"/>
          <w:szCs w:val="32"/>
          <w:lang w:val="en-US" w:eastAsia="zh-CN"/>
        </w:rPr>
        <w:t>8</w:t>
      </w:r>
    </w:p>
    <w:p>
      <w:pPr>
        <w:keepNext w:val="0"/>
        <w:keepLines w:val="0"/>
        <w:pageBreakBefore w:val="0"/>
        <w:kinsoku/>
        <w:overflowPunct/>
        <w:topLinePunct w:val="0"/>
        <w:autoSpaceDE/>
        <w:bidi w:val="0"/>
        <w:adjustRightInd w:val="0"/>
        <w:snapToGrid w:val="0"/>
        <w:spacing w:line="560" w:lineRule="exact"/>
        <w:ind w:firstLine="720" w:firstLineChars="200"/>
        <w:jc w:val="center"/>
        <w:rPr>
          <w:rFonts w:ascii="Times New Roman" w:hAnsi="Times New Roman" w:eastAsia="方正小标宋_GBK" w:cs="Times New Roman"/>
          <w:sz w:val="36"/>
          <w:szCs w:val="36"/>
        </w:rPr>
      </w:pPr>
      <w:r>
        <w:rPr>
          <w:rFonts w:ascii="Times New Roman" w:hAnsi="Times New Roman" w:eastAsia="方正小标宋_GBK" w:cs="Times New Roman"/>
          <w:sz w:val="36"/>
          <w:szCs w:val="36"/>
        </w:rPr>
        <w:t>绩效评价结果整改报告书</w:t>
      </w:r>
    </w:p>
    <w:p>
      <w:pPr>
        <w:keepNext w:val="0"/>
        <w:keepLines w:val="0"/>
        <w:pageBreakBefore w:val="0"/>
        <w:kinsoku/>
        <w:overflowPunct/>
        <w:topLinePunct w:val="0"/>
        <w:autoSpaceDE/>
        <w:bidi w:val="0"/>
        <w:adjustRightInd w:val="0"/>
        <w:snapToGrid w:val="0"/>
        <w:spacing w:line="560" w:lineRule="exact"/>
        <w:ind w:firstLine="640" w:firstLineChars="200"/>
        <w:jc w:val="center"/>
        <w:rPr>
          <w:rFonts w:ascii="Times New Roman" w:hAnsi="Times New Roman" w:eastAsia="仿宋_GB2312" w:cs="Times New Roman"/>
          <w:sz w:val="28"/>
          <w:szCs w:val="28"/>
        </w:rPr>
      </w:pPr>
      <w:r>
        <w:rPr>
          <w:rFonts w:ascii="Times New Roman" w:hAnsi="Times New Roman" w:eastAsia="楷体_GB2312" w:cs="Times New Roman"/>
          <w:sz w:val="32"/>
          <w:szCs w:val="32"/>
        </w:rPr>
        <w:t>（参考格式）</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27"/>
        <w:gridCol w:w="67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1827" w:type="dxa"/>
            <w:noWrap w:val="0"/>
            <w:vAlign w:val="center"/>
          </w:tcPr>
          <w:p>
            <w:pPr>
              <w:keepNext w:val="0"/>
              <w:keepLines w:val="0"/>
              <w:pageBreakBefore w:val="0"/>
              <w:suppressLineNumbers w:val="0"/>
              <w:kinsoku/>
              <w:overflowPunct/>
              <w:topLinePunct w:val="0"/>
              <w:autoSpaceDE/>
              <w:bidi w:val="0"/>
              <w:adjustRightInd w:val="0"/>
              <w:snapToGrid w:val="0"/>
              <w:spacing w:before="0" w:beforeAutospacing="0" w:after="0" w:afterAutospacing="0" w:line="560" w:lineRule="exact"/>
              <w:ind w:left="0" w:right="0" w:firstLine="480" w:firstLineChars="200"/>
              <w:jc w:val="center"/>
              <w:rPr>
                <w:rFonts w:hint="default" w:ascii="黑体" w:hAnsi="黑体" w:eastAsia="黑体" w:cs="Times New Roman"/>
                <w:sz w:val="24"/>
                <w:szCs w:val="24"/>
              </w:rPr>
            </w:pPr>
            <w:r>
              <w:rPr>
                <w:rFonts w:hint="default" w:ascii="黑体" w:hAnsi="黑体" w:eastAsia="黑体" w:cs="Times New Roman"/>
                <w:sz w:val="24"/>
                <w:szCs w:val="24"/>
              </w:rPr>
              <w:t>预算支出名称</w:t>
            </w:r>
          </w:p>
        </w:tc>
        <w:tc>
          <w:tcPr>
            <w:tcW w:w="6773" w:type="dxa"/>
            <w:noWrap w:val="0"/>
            <w:vAlign w:val="top"/>
          </w:tcPr>
          <w:p>
            <w:pPr>
              <w:keepNext w:val="0"/>
              <w:keepLines w:val="0"/>
              <w:pageBreakBefore w:val="0"/>
              <w:suppressLineNumbers w:val="0"/>
              <w:kinsoku/>
              <w:overflowPunct/>
              <w:topLinePunct w:val="0"/>
              <w:autoSpaceDE/>
              <w:bidi w:val="0"/>
              <w:adjustRightInd w:val="0"/>
              <w:snapToGrid w:val="0"/>
              <w:spacing w:before="0" w:beforeAutospacing="0" w:after="0" w:afterAutospacing="0" w:line="560" w:lineRule="exact"/>
              <w:ind w:left="0" w:right="0" w:firstLine="480" w:firstLineChars="200"/>
              <w:rPr>
                <w:rFonts w:hint="default" w:ascii="Times New Roman" w:hAnsi="Times New Roman" w:eastAsia="仿宋_GB2312" w:cs="Times New Roman"/>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1827" w:type="dxa"/>
            <w:noWrap w:val="0"/>
            <w:vAlign w:val="center"/>
          </w:tcPr>
          <w:p>
            <w:pPr>
              <w:keepNext w:val="0"/>
              <w:keepLines w:val="0"/>
              <w:pageBreakBefore w:val="0"/>
              <w:suppressLineNumbers w:val="0"/>
              <w:kinsoku/>
              <w:overflowPunct/>
              <w:topLinePunct w:val="0"/>
              <w:autoSpaceDE/>
              <w:bidi w:val="0"/>
              <w:adjustRightInd w:val="0"/>
              <w:snapToGrid w:val="0"/>
              <w:spacing w:before="0" w:beforeAutospacing="0" w:after="0" w:afterAutospacing="0" w:line="560" w:lineRule="exact"/>
              <w:ind w:left="0" w:right="0" w:firstLine="480" w:firstLineChars="200"/>
              <w:jc w:val="center"/>
              <w:rPr>
                <w:rFonts w:hint="default" w:ascii="黑体" w:hAnsi="黑体" w:eastAsia="黑体" w:cs="Times New Roman"/>
                <w:sz w:val="24"/>
                <w:szCs w:val="24"/>
              </w:rPr>
            </w:pPr>
            <w:r>
              <w:rPr>
                <w:rFonts w:hint="default" w:ascii="黑体" w:hAnsi="黑体" w:eastAsia="黑体" w:cs="Times New Roman"/>
                <w:sz w:val="24"/>
                <w:szCs w:val="24"/>
              </w:rPr>
              <w:t>评价内容</w:t>
            </w:r>
          </w:p>
        </w:tc>
        <w:tc>
          <w:tcPr>
            <w:tcW w:w="6773" w:type="dxa"/>
            <w:noWrap w:val="0"/>
            <w:vAlign w:val="top"/>
          </w:tcPr>
          <w:p>
            <w:pPr>
              <w:keepNext w:val="0"/>
              <w:keepLines w:val="0"/>
              <w:pageBreakBefore w:val="0"/>
              <w:suppressLineNumbers w:val="0"/>
              <w:kinsoku/>
              <w:overflowPunct/>
              <w:topLinePunct w:val="0"/>
              <w:autoSpaceDE/>
              <w:bidi w:val="0"/>
              <w:adjustRightInd w:val="0"/>
              <w:snapToGrid w:val="0"/>
              <w:spacing w:before="0" w:beforeAutospacing="0" w:after="0" w:afterAutospacing="0" w:line="560" w:lineRule="exact"/>
              <w:ind w:left="0" w:right="0" w:firstLine="480" w:firstLineChars="200"/>
              <w:rPr>
                <w:rFonts w:hint="default" w:ascii="Times New Roman" w:hAnsi="Times New Roman" w:eastAsia="仿宋_GB2312" w:cs="Times New Roman"/>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1827" w:type="dxa"/>
            <w:noWrap w:val="0"/>
            <w:vAlign w:val="center"/>
          </w:tcPr>
          <w:p>
            <w:pPr>
              <w:keepNext w:val="0"/>
              <w:keepLines w:val="0"/>
              <w:pageBreakBefore w:val="0"/>
              <w:suppressLineNumbers w:val="0"/>
              <w:kinsoku/>
              <w:overflowPunct/>
              <w:topLinePunct w:val="0"/>
              <w:autoSpaceDE/>
              <w:bidi w:val="0"/>
              <w:adjustRightInd w:val="0"/>
              <w:snapToGrid w:val="0"/>
              <w:spacing w:before="0" w:beforeAutospacing="0" w:after="0" w:afterAutospacing="0" w:line="560" w:lineRule="exact"/>
              <w:ind w:left="0" w:right="0" w:firstLine="480" w:firstLineChars="200"/>
              <w:jc w:val="center"/>
              <w:rPr>
                <w:rFonts w:hint="default" w:ascii="黑体" w:hAnsi="黑体" w:eastAsia="黑体" w:cs="Times New Roman"/>
                <w:sz w:val="24"/>
                <w:szCs w:val="24"/>
              </w:rPr>
            </w:pPr>
            <w:r>
              <w:rPr>
                <w:rFonts w:hint="default" w:ascii="黑体" w:hAnsi="黑体" w:eastAsia="黑体" w:cs="Times New Roman"/>
                <w:sz w:val="24"/>
                <w:szCs w:val="24"/>
              </w:rPr>
              <w:t>联系人及电话</w:t>
            </w:r>
          </w:p>
        </w:tc>
        <w:tc>
          <w:tcPr>
            <w:tcW w:w="6773" w:type="dxa"/>
            <w:noWrap w:val="0"/>
            <w:vAlign w:val="top"/>
          </w:tcPr>
          <w:p>
            <w:pPr>
              <w:keepNext w:val="0"/>
              <w:keepLines w:val="0"/>
              <w:pageBreakBefore w:val="0"/>
              <w:suppressLineNumbers w:val="0"/>
              <w:kinsoku/>
              <w:overflowPunct/>
              <w:topLinePunct w:val="0"/>
              <w:autoSpaceDE/>
              <w:bidi w:val="0"/>
              <w:adjustRightInd w:val="0"/>
              <w:snapToGrid w:val="0"/>
              <w:spacing w:before="0" w:beforeAutospacing="0" w:after="0" w:afterAutospacing="0" w:line="560" w:lineRule="exact"/>
              <w:ind w:left="0" w:right="0" w:firstLine="480" w:firstLineChars="200"/>
              <w:rPr>
                <w:rFonts w:hint="default" w:ascii="Times New Roman" w:hAnsi="Times New Roman" w:eastAsia="仿宋_GB2312" w:cs="Times New Roman"/>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9" w:hRule="atLeast"/>
          <w:jc w:val="center"/>
        </w:trPr>
        <w:tc>
          <w:tcPr>
            <w:tcW w:w="8600" w:type="dxa"/>
            <w:gridSpan w:val="2"/>
            <w:noWrap w:val="0"/>
            <w:vAlign w:val="top"/>
          </w:tcPr>
          <w:p>
            <w:pPr>
              <w:keepNext w:val="0"/>
              <w:keepLines w:val="0"/>
              <w:pageBreakBefore w:val="0"/>
              <w:suppressLineNumbers w:val="0"/>
              <w:kinsoku/>
              <w:overflowPunct/>
              <w:topLinePunct w:val="0"/>
              <w:autoSpaceDE/>
              <w:bidi w:val="0"/>
              <w:adjustRightInd w:val="0"/>
              <w:snapToGrid w:val="0"/>
              <w:spacing w:before="0" w:beforeAutospacing="0" w:after="0" w:afterAutospacing="0" w:line="560" w:lineRule="exact"/>
              <w:ind w:left="0" w:right="-27" w:rightChars="-13" w:firstLine="640" w:firstLineChars="200"/>
              <w:jc w:val="center"/>
              <w:rPr>
                <w:rFonts w:hint="default" w:ascii="Times New Roman" w:hAnsi="Times New Roman" w:eastAsia="仿宋_GB2312" w:cs="Times New Roman"/>
                <w:sz w:val="24"/>
                <w:szCs w:val="24"/>
              </w:rPr>
            </w:pPr>
            <w:r>
              <w:rPr>
                <w:rFonts w:hint="default" w:ascii="Times New Roman" w:hAnsi="Times New Roman" w:eastAsia="仿宋_GB2312" w:cs="Times New Roman"/>
                <w:sz w:val="32"/>
                <w:szCs w:val="32"/>
              </w:rPr>
              <w:t>整改情况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0" w:hRule="atLeast"/>
          <w:jc w:val="center"/>
        </w:trPr>
        <w:tc>
          <w:tcPr>
            <w:tcW w:w="1827" w:type="dxa"/>
            <w:noWrap w:val="0"/>
            <w:vAlign w:val="center"/>
          </w:tcPr>
          <w:p>
            <w:pPr>
              <w:keepNext w:val="0"/>
              <w:keepLines w:val="0"/>
              <w:pageBreakBefore w:val="0"/>
              <w:suppressLineNumbers w:val="0"/>
              <w:kinsoku/>
              <w:overflowPunct/>
              <w:topLinePunct w:val="0"/>
              <w:autoSpaceDE/>
              <w:bidi w:val="0"/>
              <w:adjustRightInd w:val="0"/>
              <w:snapToGrid w:val="0"/>
              <w:spacing w:before="0" w:beforeAutospacing="0" w:after="0" w:afterAutospacing="0" w:line="560" w:lineRule="exact"/>
              <w:ind w:left="0" w:right="-27" w:rightChars="-13" w:firstLine="480" w:firstLineChars="200"/>
              <w:jc w:val="center"/>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单位意见</w:t>
            </w:r>
          </w:p>
        </w:tc>
        <w:tc>
          <w:tcPr>
            <w:tcW w:w="6773" w:type="dxa"/>
            <w:noWrap w:val="0"/>
            <w:vAlign w:val="bottom"/>
          </w:tcPr>
          <w:p>
            <w:pPr>
              <w:keepNext w:val="0"/>
              <w:keepLines w:val="0"/>
              <w:pageBreakBefore w:val="0"/>
              <w:suppressLineNumbers w:val="0"/>
              <w:kinsoku/>
              <w:overflowPunct/>
              <w:topLinePunct w:val="0"/>
              <w:autoSpaceDE/>
              <w:bidi w:val="0"/>
              <w:adjustRightInd w:val="0"/>
              <w:snapToGrid w:val="0"/>
              <w:spacing w:before="0" w:beforeAutospacing="0" w:after="0" w:afterAutospacing="0" w:line="560" w:lineRule="exact"/>
              <w:ind w:left="0" w:right="-27" w:rightChars="-13" w:firstLine="480" w:firstLineChars="200"/>
              <w:jc w:val="center"/>
              <w:rPr>
                <w:rFonts w:hint="eastAsia" w:ascii="Times New Roman" w:hAnsi="Times New Roman" w:eastAsia="宋体" w:cs="Times New Roman"/>
                <w:sz w:val="24"/>
                <w:szCs w:val="24"/>
              </w:rPr>
            </w:pPr>
          </w:p>
          <w:p>
            <w:pPr>
              <w:keepNext w:val="0"/>
              <w:keepLines w:val="0"/>
              <w:pageBreakBefore w:val="0"/>
              <w:suppressLineNumbers w:val="0"/>
              <w:kinsoku/>
              <w:overflowPunct/>
              <w:topLinePunct w:val="0"/>
              <w:autoSpaceDE/>
              <w:bidi w:val="0"/>
              <w:adjustRightInd w:val="0"/>
              <w:snapToGrid w:val="0"/>
              <w:spacing w:before="0" w:beforeAutospacing="0" w:after="0" w:afterAutospacing="0" w:line="560" w:lineRule="exact"/>
              <w:ind w:left="0" w:right="-27" w:rightChars="-13"/>
              <w:jc w:val="both"/>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 xml:space="preserve">单位负责人签名：    </w:t>
            </w:r>
            <w:r>
              <w:rPr>
                <w:rFonts w:hint="eastAsia"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rPr>
              <w:t xml:space="preserve">单位（盖章）：  </w:t>
            </w:r>
            <w:r>
              <w:rPr>
                <w:rFonts w:hint="eastAsia" w:ascii="Times New Roman" w:hAnsi="Times New Roman" w:eastAsia="仿宋_GB2312" w:cs="Times New Roman"/>
                <w:sz w:val="24"/>
                <w:szCs w:val="24"/>
                <w:lang w:val="en-US" w:eastAsia="zh-CN"/>
              </w:rPr>
              <w:t xml:space="preserve">   </w:t>
            </w:r>
            <w:r>
              <w:rPr>
                <w:rFonts w:hint="eastAsia" w:ascii="Times New Roman" w:hAnsi="Times New Roman" w:eastAsia="宋体" w:cs="Times New Roman"/>
                <w:sz w:val="24"/>
                <w:szCs w:val="24"/>
              </w:rPr>
              <w:t xml:space="preserve"> 年    月    日</w:t>
            </w:r>
          </w:p>
        </w:tc>
      </w:tr>
    </w:tbl>
    <w:p>
      <w:pPr>
        <w:keepNext w:val="0"/>
        <w:keepLines w:val="0"/>
        <w:pageBreakBefore w:val="0"/>
        <w:widowControl/>
        <w:kinsoku/>
        <w:wordWrap/>
        <w:overflowPunct/>
        <w:topLinePunct w:val="0"/>
        <w:autoSpaceDE/>
        <w:autoSpaceDN/>
        <w:bidi w:val="0"/>
        <w:adjustRightInd/>
        <w:snapToGrid/>
        <w:spacing w:line="400" w:lineRule="exact"/>
        <w:ind w:firstLine="422" w:firstLineChars="200"/>
        <w:jc w:val="both"/>
        <w:textAlignment w:val="auto"/>
        <w:rPr>
          <w:rFonts w:hint="eastAsia" w:ascii="宋体" w:hAnsi="宋体" w:eastAsia="仿宋_GB2312" w:cs="宋体"/>
          <w:bCs/>
          <w:sz w:val="21"/>
          <w:szCs w:val="21"/>
        </w:rPr>
      </w:pPr>
      <w:r>
        <w:rPr>
          <w:rFonts w:hint="eastAsia" w:ascii="宋体" w:hAnsi="宋体" w:eastAsia="仿宋_GB2312" w:cs="宋体"/>
          <w:b/>
          <w:sz w:val="21"/>
          <w:szCs w:val="21"/>
        </w:rPr>
        <w:t>注</w:t>
      </w:r>
      <w:r>
        <w:rPr>
          <w:rFonts w:hint="eastAsia" w:ascii="宋体" w:hAnsi="宋体" w:eastAsia="仿宋_GB2312" w:cs="宋体"/>
          <w:bCs/>
          <w:sz w:val="21"/>
          <w:szCs w:val="21"/>
        </w:rPr>
        <w:t>：绩效评价结果整改报告书应在收到绩效评价结果反馈意见后</w:t>
      </w:r>
      <w:r>
        <w:rPr>
          <w:rFonts w:hint="eastAsia" w:ascii="宋体" w:hAnsi="宋体" w:eastAsia="仿宋_GB2312" w:cs="宋体"/>
          <w:bCs/>
          <w:sz w:val="21"/>
          <w:szCs w:val="21"/>
          <w:lang w:val="en-US" w:eastAsia="zh-CN"/>
        </w:rPr>
        <w:t>30</w:t>
      </w:r>
      <w:r>
        <w:rPr>
          <w:rFonts w:hint="eastAsia" w:ascii="宋体" w:hAnsi="宋体" w:eastAsia="仿宋_GB2312" w:cs="宋体"/>
          <w:bCs/>
          <w:sz w:val="21"/>
          <w:szCs w:val="21"/>
        </w:rPr>
        <w:t>天</w:t>
      </w:r>
      <w:r>
        <w:rPr>
          <w:rFonts w:hint="eastAsia" w:ascii="宋体" w:hAnsi="宋体" w:eastAsia="仿宋_GB2312" w:cs="宋体"/>
          <w:bCs/>
          <w:sz w:val="21"/>
          <w:szCs w:val="21"/>
          <w:lang w:eastAsia="zh-CN"/>
        </w:rPr>
        <w:t>内</w:t>
      </w:r>
      <w:r>
        <w:rPr>
          <w:rFonts w:hint="eastAsia" w:ascii="宋体" w:hAnsi="宋体" w:eastAsia="仿宋_GB2312" w:cs="宋体"/>
          <w:bCs/>
          <w:sz w:val="21"/>
          <w:szCs w:val="21"/>
        </w:rPr>
        <w:t>交</w:t>
      </w:r>
      <w:r>
        <w:rPr>
          <w:rFonts w:hint="eastAsia" w:ascii="宋体" w:hAnsi="宋体" w:eastAsia="仿宋_GB2312" w:cs="宋体"/>
          <w:bCs/>
          <w:sz w:val="21"/>
          <w:szCs w:val="21"/>
          <w:lang w:eastAsia="zh-CN"/>
        </w:rPr>
        <w:t>县</w:t>
      </w:r>
      <w:r>
        <w:rPr>
          <w:rFonts w:hint="eastAsia" w:ascii="宋体" w:hAnsi="宋体" w:eastAsia="仿宋_GB2312" w:cs="宋体"/>
          <w:bCs/>
          <w:sz w:val="21"/>
          <w:szCs w:val="21"/>
        </w:rPr>
        <w:t>财政局绩效管理股。</w:t>
      </w:r>
    </w:p>
    <w:p>
      <w:pPr>
        <w:keepNext w:val="0"/>
        <w:keepLines w:val="0"/>
        <w:pageBreakBefore w:val="0"/>
        <w:widowControl/>
        <w:kinsoku/>
        <w:wordWrap/>
        <w:overflowPunct/>
        <w:topLinePunct w:val="0"/>
        <w:autoSpaceDE/>
        <w:autoSpaceDN/>
        <w:bidi w:val="0"/>
        <w:adjustRightInd/>
        <w:snapToGrid/>
        <w:spacing w:line="400" w:lineRule="exact"/>
        <w:ind w:firstLine="420" w:firstLineChars="200"/>
        <w:jc w:val="both"/>
        <w:textAlignment w:val="auto"/>
        <w:rPr>
          <w:rFonts w:hint="eastAsia" w:ascii="宋体" w:hAnsi="宋体" w:eastAsia="仿宋_GB2312" w:cs="宋体"/>
          <w:bCs/>
          <w:sz w:val="21"/>
          <w:szCs w:val="21"/>
          <w:lang w:val="en-US" w:eastAsia="zh-CN"/>
        </w:rPr>
      </w:pPr>
    </w:p>
    <w:sectPr>
      <w:footerReference r:id="rId12" w:type="default"/>
      <w:footerReference r:id="rId13" w:type="even"/>
      <w:pgSz w:w="11906" w:h="16838"/>
      <w:pgMar w:top="1984" w:right="1587" w:bottom="1984" w:left="1587" w:header="851" w:footer="992" w:gutter="0"/>
      <w:pgNumType w:fmt="numberInDash"/>
      <w:cols w:space="72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swiss"/>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34430DFC-FFDD-4484-B7ED-4937B5A27CF2}"/>
  </w:font>
  <w:font w:name="Arial">
    <w:panose1 w:val="020B0604020202020204"/>
    <w:charset w:val="01"/>
    <w:family w:val="swiss"/>
    <w:pitch w:val="default"/>
    <w:sig w:usb0="E0002EFF" w:usb1="C000785B" w:usb2="00000009" w:usb3="00000000" w:csb0="400001FF" w:csb1="FFFF0000"/>
    <w:embedRegular r:id="rId2" w:fontKey="{3FC8C831-003E-434D-B58F-6F9FB7F7E397}"/>
  </w:font>
  <w:font w:name="黑体">
    <w:panose1 w:val="02010609060101010101"/>
    <w:charset w:val="86"/>
    <w:family w:val="auto"/>
    <w:pitch w:val="default"/>
    <w:sig w:usb0="800002BF" w:usb1="38CF7CFA" w:usb2="00000016" w:usb3="00000000" w:csb0="00040001" w:csb1="00000000"/>
    <w:embedRegular r:id="rId3" w:fontKey="{9E0DBE90-3F27-4E75-BEEA-539F0A121FA9}"/>
  </w:font>
  <w:font w:name="Courier New">
    <w:panose1 w:val="02070309020205020404"/>
    <w:charset w:val="01"/>
    <w:family w:val="modern"/>
    <w:pitch w:val="default"/>
    <w:sig w:usb0="E0002EFF" w:usb1="C0007843" w:usb2="00000009" w:usb3="00000000" w:csb0="400001FF" w:csb1="FFFF0000"/>
    <w:embedRegular r:id="rId4" w:fontKey="{BE92822C-7E56-428F-A502-432978505267}"/>
  </w:font>
  <w:font w:name="Symbol">
    <w:panose1 w:val="05050102010706020507"/>
    <w:charset w:val="02"/>
    <w:family w:val="roman"/>
    <w:pitch w:val="default"/>
    <w:sig w:usb0="00000000" w:usb1="00000000" w:usb2="00000000" w:usb3="00000000" w:csb0="80000000" w:csb1="00000000"/>
    <w:embedRegular r:id="rId5" w:fontKey="{72EECA68-1B30-4F1A-B40B-D3B6F48661E7}"/>
  </w:font>
  <w:font w:name="Calibri">
    <w:panose1 w:val="020F0502020204030204"/>
    <w:charset w:val="00"/>
    <w:family w:val="swiss"/>
    <w:pitch w:val="default"/>
    <w:sig w:usb0="E4002EFF" w:usb1="C000247B" w:usb2="00000009" w:usb3="00000000" w:csb0="200001FF" w:csb1="00000000"/>
    <w:embedRegular r:id="rId6" w:fontKey="{01188C9B-536E-4880-83F9-F73C5A675102}"/>
  </w:font>
  <w:font w:name="楷体_GB2312">
    <w:panose1 w:val="02010609030101010101"/>
    <w:charset w:val="86"/>
    <w:family w:val="auto"/>
    <w:pitch w:val="default"/>
    <w:sig w:usb0="00000001" w:usb1="080E0000" w:usb2="00000000" w:usb3="00000000" w:csb0="00040000" w:csb1="00000000"/>
    <w:embedRegular r:id="rId7" w:fontKey="{6B3D2323-590C-42C1-AB28-71400E42950D}"/>
  </w:font>
  <w:font w:name="仿宋">
    <w:panose1 w:val="02010609060101010101"/>
    <w:charset w:val="86"/>
    <w:family w:val="auto"/>
    <w:pitch w:val="default"/>
    <w:sig w:usb0="800002BF" w:usb1="38CF7CFA" w:usb2="00000016" w:usb3="00000000" w:csb0="00040001" w:csb1="00000000"/>
    <w:embedRegular r:id="rId8" w:fontKey="{DEB4EC55-A780-4C55-AF94-FFB4AECB5CA1}"/>
  </w:font>
  <w:font w:name="仿宋_GB2312">
    <w:panose1 w:val="02010609030101010101"/>
    <w:charset w:val="86"/>
    <w:family w:val="auto"/>
    <w:pitch w:val="default"/>
    <w:sig w:usb0="00000001" w:usb1="080E0000" w:usb2="00000000" w:usb3="00000000" w:csb0="00040000" w:csb1="00000000"/>
    <w:embedRegular r:id="rId9" w:fontKey="{ECD136E5-342E-46D1-9FC6-3AE345195E54}"/>
  </w:font>
  <w:font w:name="方正小标宋简体">
    <w:panose1 w:val="03000509000000000000"/>
    <w:charset w:val="86"/>
    <w:family w:val="auto"/>
    <w:pitch w:val="default"/>
    <w:sig w:usb0="00000001" w:usb1="080E0000" w:usb2="00000000" w:usb3="00000000" w:csb0="00040000" w:csb1="00000000"/>
    <w:embedRegular r:id="rId10" w:fontKey="{59DC82F1-16EF-4306-A49F-1F9B4F0D892E}"/>
  </w:font>
  <w:font w:name="华文仿宋">
    <w:panose1 w:val="02010600040101010101"/>
    <w:charset w:val="86"/>
    <w:family w:val="auto"/>
    <w:pitch w:val="default"/>
    <w:sig w:usb0="00000287" w:usb1="080F0000" w:usb2="00000000" w:usb3="00000000" w:csb0="0004009F" w:csb1="DFD70000"/>
    <w:embedRegular r:id="rId11" w:fontKey="{B1C25098-84FE-413B-8787-BA6407DECE47}"/>
  </w:font>
  <w:font w:name="Tahoma">
    <w:panose1 w:val="020B0604030504040204"/>
    <w:charset w:val="00"/>
    <w:family w:val="swiss"/>
    <w:pitch w:val="default"/>
    <w:sig w:usb0="E1002EFF" w:usb1="C000605B" w:usb2="00000029" w:usb3="00000000" w:csb0="200101FF" w:csb1="20280000"/>
    <w:embedRegular r:id="rId12" w:fontKey="{093B0C78-28D7-401A-A25D-62E345B2A780}"/>
  </w:font>
  <w:font w:name="微软雅黑">
    <w:panose1 w:val="020B0503020204020204"/>
    <w:charset w:val="86"/>
    <w:family w:val="auto"/>
    <w:pitch w:val="default"/>
    <w:sig w:usb0="80000287" w:usb1="2ACF3C50" w:usb2="00000016" w:usb3="00000000" w:csb0="0004001F" w:csb1="00000000"/>
    <w:embedRegular r:id="rId13" w:fontKey="{EA9BBD95-4F96-416A-B44E-2D503D0860EE}"/>
  </w:font>
  <w:font w:name="华文中宋">
    <w:panose1 w:val="02010600040101010101"/>
    <w:charset w:val="86"/>
    <w:family w:val="auto"/>
    <w:pitch w:val="default"/>
    <w:sig w:usb0="00000287" w:usb1="080F0000" w:usb2="00000000" w:usb3="00000000" w:csb0="0004009F" w:csb1="DFD70000"/>
    <w:embedRegular r:id="rId14" w:fontKey="{9916FDF3-2C1A-4A3F-84CE-06BB7B172702}"/>
  </w:font>
  <w:font w:name="方正小标宋_GBK">
    <w:panose1 w:val="02000000000000000000"/>
    <w:charset w:val="86"/>
    <w:family w:val="script"/>
    <w:pitch w:val="default"/>
    <w:sig w:usb0="A00002BF" w:usb1="38CF7CFA" w:usb2="00082016" w:usb3="00000000" w:csb0="00040001" w:csb1="00000000"/>
    <w:embedRegular r:id="rId15" w:fontKey="{26BA34E4-5676-4111-9120-AF5C593C82C5}"/>
  </w:font>
  <w:font w:name="___WRD_EMBED_SUB_40">
    <w:altName w:val="微软雅黑"/>
    <w:panose1 w:val="02010609030101010101"/>
    <w:charset w:val="86"/>
    <w:family w:val="modern"/>
    <w:pitch w:val="default"/>
    <w:sig w:usb0="00000000" w:usb1="00000000" w:usb2="00000010" w:usb3="00000000" w:csb0="00040000" w:csb1="00000000"/>
    <w:embedRegular r:id="rId16" w:fontKey="{D28E8682-AD2F-4175-A27B-F716D6062A22}"/>
  </w:font>
  <w:font w:name="新宋体">
    <w:panose1 w:val="02010609030101010101"/>
    <w:charset w:val="86"/>
    <w:family w:val="modern"/>
    <w:pitch w:val="default"/>
    <w:sig w:usb0="00000283" w:usb1="288F0000" w:usb2="00000006" w:usb3="00000000" w:csb0="00040001" w:csb1="00000000"/>
  </w:font>
  <w:font w:name="楷体">
    <w:panose1 w:val="02010609060101010101"/>
    <w:charset w:val="86"/>
    <w:family w:val="auto"/>
    <w:pitch w:val="default"/>
    <w:sig w:usb0="800002BF" w:usb1="38CF7CFA" w:usb2="00000016" w:usb3="00000000" w:csb0="00040001" w:csb1="00000000"/>
    <w:embedRegular r:id="rId17" w:fontKey="{35A65683-4F5B-4152-B115-FDA1937291BA}"/>
  </w:font>
  <w:font w:name="Times-Roman">
    <w:altName w:val="Times New Roman"/>
    <w:panose1 w:val="00000000000000000000"/>
    <w:charset w:val="00"/>
    <w:family w:val="auto"/>
    <w:pitch w:val="default"/>
    <w:sig w:usb0="00000000" w:usb1="00000000" w:usb2="00000000" w:usb3="00000000" w:csb0="00040001" w:csb1="00000000"/>
    <w:embedRegular r:id="rId18" w:fontKey="{E28446AF-4169-48B2-AAC1-BF65B2B2B09A}"/>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before="1" w:line="174" w:lineRule="auto"/>
      <w:jc w:val="center"/>
      <w:rPr>
        <w:sz w:val="28"/>
        <w:szCs w:val="28"/>
      </w:rPr>
    </w:pPr>
    <w:r>
      <w:rPr>
        <w:sz w:val="28"/>
      </w:rP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7"/>
                            <w:keepNext w:val="0"/>
                            <w:keepLines w:val="0"/>
                            <w:pageBreakBefore w:val="0"/>
                            <w:widowControl w:val="0"/>
                            <w:kinsoku/>
                            <w:wordWrap/>
                            <w:overflowPunct/>
                            <w:topLinePunct w:val="0"/>
                            <w:bidi w:val="0"/>
                            <w:adjustRightInd/>
                            <w:snapToGrid w:val="0"/>
                            <w:ind w:left="525" w:leftChars="250" w:right="525" w:rightChars="250"/>
                            <w:textAlignment w:val="auto"/>
                            <w:rPr>
                              <w:rFonts w:hint="default" w:ascii="Times New Roman" w:hAnsi="Times New Roman" w:eastAsia="华文仿宋" w:cs="Times New Roman"/>
                              <w:sz w:val="32"/>
                              <w:szCs w:val="32"/>
                            </w:rPr>
                          </w:pPr>
                          <w:r>
                            <w:rPr>
                              <w:rFonts w:hint="default" w:ascii="Times New Roman" w:hAnsi="Times New Roman" w:eastAsia="华文仿宋" w:cs="Times New Roman"/>
                              <w:sz w:val="32"/>
                              <w:szCs w:val="32"/>
                            </w:rPr>
                            <w:fldChar w:fldCharType="begin"/>
                          </w:r>
                          <w:r>
                            <w:rPr>
                              <w:rFonts w:hint="default" w:ascii="Times New Roman" w:hAnsi="Times New Roman" w:eastAsia="华文仿宋" w:cs="Times New Roman"/>
                              <w:sz w:val="32"/>
                              <w:szCs w:val="32"/>
                            </w:rPr>
                            <w:instrText xml:space="preserve"> PAGE  \* MERGEFORMAT </w:instrText>
                          </w:r>
                          <w:r>
                            <w:rPr>
                              <w:rFonts w:hint="default" w:ascii="Times New Roman" w:hAnsi="Times New Roman" w:eastAsia="华文仿宋" w:cs="Times New Roman"/>
                              <w:sz w:val="32"/>
                              <w:szCs w:val="32"/>
                            </w:rPr>
                            <w:fldChar w:fldCharType="separate"/>
                          </w:r>
                          <w:r>
                            <w:rPr>
                              <w:rFonts w:hint="default" w:ascii="Times New Roman" w:hAnsi="Times New Roman" w:eastAsia="华文仿宋" w:cs="Times New Roman"/>
                              <w:sz w:val="32"/>
                              <w:szCs w:val="32"/>
                            </w:rPr>
                            <w:t>7</w:t>
                          </w:r>
                          <w:r>
                            <w:rPr>
                              <w:rFonts w:hint="default" w:ascii="Times New Roman" w:hAnsi="Times New Roman" w:eastAsia="华文仿宋" w:cs="Times New Roman"/>
                              <w:sz w:val="32"/>
                              <w:szCs w:val="32"/>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or5U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pqK+VMQIAAGMEAAAOAAAAAAAAAAEAIAAAAB8BAABkcnMvZTJvRG9jLnhtbFBLBQYA&#10;AAAABgAGAFkBAADCBQAAAAA=&#10;">
              <v:fill on="f" focussize="0,0"/>
              <v:stroke on="f" weight="0.5pt"/>
              <v:imagedata o:title=""/>
              <o:lock v:ext="edit" aspectratio="f"/>
              <v:textbox inset="0mm,0mm,0mm,0mm" style="mso-fit-shape-to-text:t;">
                <w:txbxContent>
                  <w:p>
                    <w:pPr>
                      <w:pStyle w:val="7"/>
                      <w:keepNext w:val="0"/>
                      <w:keepLines w:val="0"/>
                      <w:pageBreakBefore w:val="0"/>
                      <w:widowControl w:val="0"/>
                      <w:kinsoku/>
                      <w:wordWrap/>
                      <w:overflowPunct/>
                      <w:topLinePunct w:val="0"/>
                      <w:bidi w:val="0"/>
                      <w:adjustRightInd/>
                      <w:snapToGrid w:val="0"/>
                      <w:ind w:left="525" w:leftChars="250" w:right="525" w:rightChars="250"/>
                      <w:textAlignment w:val="auto"/>
                      <w:rPr>
                        <w:rFonts w:hint="default" w:ascii="Times New Roman" w:hAnsi="Times New Roman" w:eastAsia="华文仿宋" w:cs="Times New Roman"/>
                        <w:sz w:val="32"/>
                        <w:szCs w:val="32"/>
                      </w:rPr>
                    </w:pPr>
                    <w:r>
                      <w:rPr>
                        <w:rFonts w:hint="default" w:ascii="Times New Roman" w:hAnsi="Times New Roman" w:eastAsia="华文仿宋" w:cs="Times New Roman"/>
                        <w:sz w:val="32"/>
                        <w:szCs w:val="32"/>
                      </w:rPr>
                      <w:fldChar w:fldCharType="begin"/>
                    </w:r>
                    <w:r>
                      <w:rPr>
                        <w:rFonts w:hint="default" w:ascii="Times New Roman" w:hAnsi="Times New Roman" w:eastAsia="华文仿宋" w:cs="Times New Roman"/>
                        <w:sz w:val="32"/>
                        <w:szCs w:val="32"/>
                      </w:rPr>
                      <w:instrText xml:space="preserve"> PAGE  \* MERGEFORMAT </w:instrText>
                    </w:r>
                    <w:r>
                      <w:rPr>
                        <w:rFonts w:hint="default" w:ascii="Times New Roman" w:hAnsi="Times New Roman" w:eastAsia="华文仿宋" w:cs="Times New Roman"/>
                        <w:sz w:val="32"/>
                        <w:szCs w:val="32"/>
                      </w:rPr>
                      <w:fldChar w:fldCharType="separate"/>
                    </w:r>
                    <w:r>
                      <w:rPr>
                        <w:rFonts w:hint="default" w:ascii="Times New Roman" w:hAnsi="Times New Roman" w:eastAsia="华文仿宋" w:cs="Times New Roman"/>
                        <w:sz w:val="32"/>
                        <w:szCs w:val="32"/>
                      </w:rPr>
                      <w:t>7</w:t>
                    </w:r>
                    <w:r>
                      <w:rPr>
                        <w:rFonts w:hint="default" w:ascii="Times New Roman" w:hAnsi="Times New Roman" w:eastAsia="华文仿宋" w:cs="Times New Roman"/>
                        <w:sz w:val="32"/>
                        <w:szCs w:val="32"/>
                      </w:rPr>
                      <w:fldChar w:fldCharType="end"/>
                    </w:r>
                  </w:p>
                </w:txbxContent>
              </v:textbox>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adjustRightInd w:val="0"/>
      <w:snapToGrid w:val="0"/>
      <w:spacing w:line="579" w:lineRule="atLeast"/>
      <w:ind w:firstLine="360" w:firstLineChars="200"/>
      <w:jc w:val="left"/>
      <w:rPr>
        <w:rFonts w:ascii="Times New Roman" w:hAnsi="Times New Roman" w:eastAsia="仿宋_GB2312" w:cs="Times New Roman"/>
        <w:kern w:val="2"/>
        <w:sz w:val="18"/>
        <w:szCs w:val="24"/>
        <w:lang w:val="en-US" w:eastAsia="zh-CN" w:bidi="ar-SA"/>
      </w:rPr>
    </w:pPr>
    <w:r>
      <w:rPr>
        <w:rFonts w:ascii="Times New Roman" w:hAnsi="Times New Roman" w:eastAsia="仿宋_GB2312" w:cs="Times New Roman"/>
        <w:kern w:val="2"/>
        <w:sz w:val="18"/>
        <w:szCs w:val="24"/>
        <w:lang w:val="en-US" w:eastAsia="zh-CN" w:bidi="ar-SA"/>
      </w:rPr>
      <mc:AlternateContent>
        <mc:Choice Requires="wps">
          <w:drawing>
            <wp:anchor distT="0" distB="0" distL="114300" distR="114300" simplePos="0" relativeHeight="251659264" behindDoc="0" locked="0" layoutInCell="1" allowOverlap="1">
              <wp:simplePos x="0" y="0"/>
              <wp:positionH relativeFrom="margin">
                <wp:posOffset>4305935</wp:posOffset>
              </wp:positionH>
              <wp:positionV relativeFrom="paragraph">
                <wp:posOffset>-450215</wp:posOffset>
              </wp:positionV>
              <wp:extent cx="1828800" cy="182880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widowControl w:val="0"/>
                            <w:adjustRightInd w:val="0"/>
                            <w:snapToGrid w:val="0"/>
                            <w:spacing w:line="579" w:lineRule="atLeast"/>
                            <w:ind w:firstLine="640" w:firstLineChars="200"/>
                            <w:jc w:val="left"/>
                            <w:rPr>
                              <w:rFonts w:ascii="Times New Roman" w:hAnsi="Times New Roman" w:eastAsia="仿宋_GB2312" w:cs="Times New Roman"/>
                              <w:kern w:val="2"/>
                              <w:sz w:val="32"/>
                              <w:szCs w:val="32"/>
                              <w:lang w:val="en-US" w:eastAsia="zh-CN" w:bidi="ar-SA"/>
                            </w:rPr>
                          </w:pPr>
                          <w:r>
                            <w:rPr>
                              <w:rFonts w:ascii="Times New Roman" w:hAnsi="Times New Roman" w:eastAsia="仿宋_GB2312" w:cs="Times New Roman"/>
                              <w:kern w:val="2"/>
                              <w:sz w:val="32"/>
                              <w:szCs w:val="32"/>
                              <w:lang w:val="en-US" w:eastAsia="zh-CN" w:bidi="ar-SA"/>
                            </w:rPr>
                            <w:fldChar w:fldCharType="begin"/>
                          </w:r>
                          <w:r>
                            <w:rPr>
                              <w:rFonts w:ascii="Times New Roman" w:hAnsi="Times New Roman" w:eastAsia="仿宋_GB2312" w:cs="Times New Roman"/>
                              <w:kern w:val="2"/>
                              <w:sz w:val="32"/>
                              <w:szCs w:val="32"/>
                              <w:lang w:val="en-US" w:eastAsia="zh-CN" w:bidi="ar-SA"/>
                            </w:rPr>
                            <w:instrText xml:space="preserve"> PAGE  \* MERGEFORMAT </w:instrText>
                          </w:r>
                          <w:r>
                            <w:rPr>
                              <w:rFonts w:ascii="Times New Roman" w:hAnsi="Times New Roman" w:eastAsia="仿宋_GB2312" w:cs="Times New Roman"/>
                              <w:kern w:val="2"/>
                              <w:sz w:val="32"/>
                              <w:szCs w:val="32"/>
                              <w:lang w:val="en-US" w:eastAsia="zh-CN" w:bidi="ar-SA"/>
                            </w:rPr>
                            <w:fldChar w:fldCharType="separate"/>
                          </w:r>
                          <w:r>
                            <w:rPr>
                              <w:rFonts w:ascii="Times New Roman" w:hAnsi="Times New Roman" w:eastAsia="仿宋_GB2312" w:cs="Times New Roman"/>
                              <w:kern w:val="2"/>
                              <w:sz w:val="32"/>
                              <w:szCs w:val="32"/>
                              <w:lang w:val="en-US" w:eastAsia="zh-CN" w:bidi="ar-SA"/>
                            </w:rPr>
                            <w:t>1</w:t>
                          </w:r>
                          <w:r>
                            <w:rPr>
                              <w:rFonts w:ascii="Times New Roman" w:hAnsi="Times New Roman" w:eastAsia="仿宋_GB2312" w:cs="Times New Roman"/>
                              <w:kern w:val="2"/>
                              <w:sz w:val="32"/>
                              <w:szCs w:val="32"/>
                              <w:lang w:val="en-US" w:eastAsia="zh-CN" w:bidi="ar-S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left:339.05pt;margin-top:-35.45pt;height:144pt;width:144pt;mso-position-horizontal-relative:margin;mso-wrap-style:none;z-index:251659264;mso-width-relative:page;mso-height-relative:page;" filled="f" stroked="f" coordsize="21600,21600" o:gfxdata="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744U91wAAAAsBAAAPAAAAAAAAAAEAIAAAACIAAABkcnMvZG93&#10;bnJldi54bWxQSwECFAAUAAAACACHTuJAunmGe8gBAACbAwAADgAAAAAAAAABACAAAAAmAQAAZHJz&#10;L2Uyb0RvYy54bWxQSwUGAAAAAAYABgBZAQAAYAUAAAAA&#10;">
              <v:fill on="f" focussize="0,0"/>
              <v:stroke on="f"/>
              <v:imagedata o:title=""/>
              <o:lock v:ext="edit" aspectratio="f"/>
              <v:textbox inset="0mm,0mm,0mm,0mm" style="mso-fit-shape-to-text:t;">
                <w:txbxContent>
                  <w:p>
                    <w:pPr>
                      <w:widowControl w:val="0"/>
                      <w:adjustRightInd w:val="0"/>
                      <w:snapToGrid w:val="0"/>
                      <w:spacing w:line="579" w:lineRule="atLeast"/>
                      <w:ind w:firstLine="640" w:firstLineChars="200"/>
                      <w:jc w:val="left"/>
                      <w:rPr>
                        <w:rFonts w:ascii="Times New Roman" w:hAnsi="Times New Roman" w:eastAsia="仿宋_GB2312" w:cs="Times New Roman"/>
                        <w:kern w:val="2"/>
                        <w:sz w:val="32"/>
                        <w:szCs w:val="32"/>
                        <w:lang w:val="en-US" w:eastAsia="zh-CN" w:bidi="ar-SA"/>
                      </w:rPr>
                    </w:pPr>
                    <w:r>
                      <w:rPr>
                        <w:rFonts w:ascii="Times New Roman" w:hAnsi="Times New Roman" w:eastAsia="仿宋_GB2312" w:cs="Times New Roman"/>
                        <w:kern w:val="2"/>
                        <w:sz w:val="32"/>
                        <w:szCs w:val="32"/>
                        <w:lang w:val="en-US" w:eastAsia="zh-CN" w:bidi="ar-SA"/>
                      </w:rPr>
                      <w:fldChar w:fldCharType="begin"/>
                    </w:r>
                    <w:r>
                      <w:rPr>
                        <w:rFonts w:ascii="Times New Roman" w:hAnsi="Times New Roman" w:eastAsia="仿宋_GB2312" w:cs="Times New Roman"/>
                        <w:kern w:val="2"/>
                        <w:sz w:val="32"/>
                        <w:szCs w:val="32"/>
                        <w:lang w:val="en-US" w:eastAsia="zh-CN" w:bidi="ar-SA"/>
                      </w:rPr>
                      <w:instrText xml:space="preserve"> PAGE  \* MERGEFORMAT </w:instrText>
                    </w:r>
                    <w:r>
                      <w:rPr>
                        <w:rFonts w:ascii="Times New Roman" w:hAnsi="Times New Roman" w:eastAsia="仿宋_GB2312" w:cs="Times New Roman"/>
                        <w:kern w:val="2"/>
                        <w:sz w:val="32"/>
                        <w:szCs w:val="32"/>
                        <w:lang w:val="en-US" w:eastAsia="zh-CN" w:bidi="ar-SA"/>
                      </w:rPr>
                      <w:fldChar w:fldCharType="separate"/>
                    </w:r>
                    <w:r>
                      <w:rPr>
                        <w:rFonts w:ascii="Times New Roman" w:hAnsi="Times New Roman" w:eastAsia="仿宋_GB2312" w:cs="Times New Roman"/>
                        <w:kern w:val="2"/>
                        <w:sz w:val="32"/>
                        <w:szCs w:val="32"/>
                        <w:lang w:val="en-US" w:eastAsia="zh-CN" w:bidi="ar-SA"/>
                      </w:rPr>
                      <w:t>1</w:t>
                    </w:r>
                    <w:r>
                      <w:rPr>
                        <w:rFonts w:ascii="Times New Roman" w:hAnsi="Times New Roman" w:eastAsia="仿宋_GB2312" w:cs="Times New Roman"/>
                        <w:kern w:val="2"/>
                        <w:sz w:val="32"/>
                        <w:szCs w:val="32"/>
                        <w:lang w:val="en-US" w:eastAsia="zh-CN" w:bidi="ar-SA"/>
                      </w:rP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adjustRightInd w:val="0"/>
      <w:snapToGrid w:val="0"/>
      <w:spacing w:line="579" w:lineRule="atLeast"/>
      <w:ind w:firstLine="360" w:firstLineChars="200"/>
      <w:jc w:val="left"/>
      <w:rPr>
        <w:rFonts w:ascii="Times New Roman" w:hAnsi="Times New Roman" w:eastAsia="仿宋_GB2312" w:cs="Times New Roman"/>
        <w:kern w:val="2"/>
        <w:sz w:val="18"/>
        <w:szCs w:val="24"/>
        <w:lang w:val="en-US" w:eastAsia="zh-CN" w:bidi="ar-SA"/>
      </w:rPr>
    </w:pPr>
    <w:r>
      <w:rPr>
        <w:rFonts w:ascii="Times New Roman" w:hAnsi="Times New Roman" w:eastAsia="仿宋_GB2312" w:cs="Times New Roman"/>
        <w:kern w:val="2"/>
        <w:sz w:val="18"/>
        <w:szCs w:val="24"/>
        <w:lang w:val="en-US" w:eastAsia="zh-CN" w:bidi="ar-SA"/>
      </w:rPr>
      <mc:AlternateContent>
        <mc:Choice Requires="wps">
          <w:drawing>
            <wp:anchor distT="0" distB="0" distL="114300" distR="114300" simplePos="0" relativeHeight="251661312" behindDoc="0" locked="0" layoutInCell="1" allowOverlap="1">
              <wp:simplePos x="0" y="0"/>
              <wp:positionH relativeFrom="margin">
                <wp:posOffset>-171450</wp:posOffset>
              </wp:positionH>
              <wp:positionV relativeFrom="paragraph">
                <wp:posOffset>-415925</wp:posOffset>
              </wp:positionV>
              <wp:extent cx="1828800" cy="1828800"/>
              <wp:effectExtent l="0" t="0" r="0" b="0"/>
              <wp:wrapNone/>
              <wp:docPr id="17" name="文本框 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widowControl w:val="0"/>
                            <w:adjustRightInd w:val="0"/>
                            <w:snapToGrid w:val="0"/>
                            <w:spacing w:line="579" w:lineRule="atLeast"/>
                            <w:ind w:firstLine="640" w:firstLineChars="200"/>
                            <w:jc w:val="left"/>
                            <w:rPr>
                              <w:rFonts w:ascii="Times New Roman" w:hAnsi="Times New Roman" w:eastAsia="仿宋_GB2312" w:cs="Times New Roman"/>
                              <w:kern w:val="2"/>
                              <w:sz w:val="32"/>
                              <w:szCs w:val="32"/>
                              <w:lang w:val="en-US" w:eastAsia="zh-CN" w:bidi="ar-SA"/>
                            </w:rPr>
                          </w:pPr>
                          <w:r>
                            <w:rPr>
                              <w:rFonts w:ascii="Times New Roman" w:hAnsi="Times New Roman" w:eastAsia="仿宋_GB2312" w:cs="Times New Roman"/>
                              <w:kern w:val="2"/>
                              <w:sz w:val="32"/>
                              <w:szCs w:val="32"/>
                              <w:lang w:val="en-US" w:eastAsia="zh-CN" w:bidi="ar-SA"/>
                            </w:rPr>
                            <w:fldChar w:fldCharType="begin"/>
                          </w:r>
                          <w:r>
                            <w:rPr>
                              <w:rFonts w:ascii="Times New Roman" w:hAnsi="Times New Roman" w:eastAsia="仿宋_GB2312" w:cs="Times New Roman"/>
                              <w:kern w:val="2"/>
                              <w:sz w:val="32"/>
                              <w:szCs w:val="32"/>
                              <w:lang w:val="en-US" w:eastAsia="zh-CN" w:bidi="ar-SA"/>
                            </w:rPr>
                            <w:instrText xml:space="preserve"> PAGE  \* MERGEFORMAT </w:instrText>
                          </w:r>
                          <w:r>
                            <w:rPr>
                              <w:rFonts w:ascii="Times New Roman" w:hAnsi="Times New Roman" w:eastAsia="仿宋_GB2312" w:cs="Times New Roman"/>
                              <w:kern w:val="2"/>
                              <w:sz w:val="32"/>
                              <w:szCs w:val="32"/>
                              <w:lang w:val="en-US" w:eastAsia="zh-CN" w:bidi="ar-SA"/>
                            </w:rPr>
                            <w:fldChar w:fldCharType="separate"/>
                          </w:r>
                          <w:r>
                            <w:rPr>
                              <w:rFonts w:ascii="Times New Roman" w:hAnsi="Times New Roman" w:eastAsia="仿宋_GB2312" w:cs="Times New Roman"/>
                              <w:kern w:val="2"/>
                              <w:sz w:val="32"/>
                              <w:szCs w:val="32"/>
                              <w:lang w:val="en-US" w:eastAsia="zh-CN" w:bidi="ar-SA"/>
                            </w:rPr>
                            <w:t>- 2 -</w:t>
                          </w:r>
                          <w:r>
                            <w:rPr>
                              <w:rFonts w:ascii="Times New Roman" w:hAnsi="Times New Roman" w:eastAsia="仿宋_GB2312" w:cs="Times New Roman"/>
                              <w:kern w:val="2"/>
                              <w:sz w:val="32"/>
                              <w:szCs w:val="32"/>
                              <w:lang w:val="en-US" w:eastAsia="zh-CN" w:bidi="ar-S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left:-13.5pt;margin-top:-32.75pt;height:144pt;width:144pt;mso-position-horizontal-relative:margin;mso-wrap-style:none;z-index:251661312;mso-width-relative:page;mso-height-relative:page;" filled="f" stroked="f" coordsize="21600,21600" o:gfxdata="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R6SzxtcAAAALAQAADwAAAAAAAAABACAAAAAiAAAAZHJzL2Rv&#10;d25yZXYueG1sUEsBAhQAFAAAAAgAh07iQCRb0RvJAQAAmwMAAA4AAAAAAAAAAQAgAAAAJgEAAGRy&#10;cy9lMm9Eb2MueG1sUEsFBgAAAAAGAAYAWQEAAGEFAAAAAA==&#10;">
              <v:fill on="f" focussize="0,0"/>
              <v:stroke on="f"/>
              <v:imagedata o:title=""/>
              <o:lock v:ext="edit" aspectratio="f"/>
              <v:textbox inset="0mm,0mm,0mm,0mm" style="mso-fit-shape-to-text:t;">
                <w:txbxContent>
                  <w:p>
                    <w:pPr>
                      <w:widowControl w:val="0"/>
                      <w:adjustRightInd w:val="0"/>
                      <w:snapToGrid w:val="0"/>
                      <w:spacing w:line="579" w:lineRule="atLeast"/>
                      <w:ind w:firstLine="640" w:firstLineChars="200"/>
                      <w:jc w:val="left"/>
                      <w:rPr>
                        <w:rFonts w:ascii="Times New Roman" w:hAnsi="Times New Roman" w:eastAsia="仿宋_GB2312" w:cs="Times New Roman"/>
                        <w:kern w:val="2"/>
                        <w:sz w:val="32"/>
                        <w:szCs w:val="32"/>
                        <w:lang w:val="en-US" w:eastAsia="zh-CN" w:bidi="ar-SA"/>
                      </w:rPr>
                    </w:pPr>
                    <w:r>
                      <w:rPr>
                        <w:rFonts w:ascii="Times New Roman" w:hAnsi="Times New Roman" w:eastAsia="仿宋_GB2312" w:cs="Times New Roman"/>
                        <w:kern w:val="2"/>
                        <w:sz w:val="32"/>
                        <w:szCs w:val="32"/>
                        <w:lang w:val="en-US" w:eastAsia="zh-CN" w:bidi="ar-SA"/>
                      </w:rPr>
                      <w:fldChar w:fldCharType="begin"/>
                    </w:r>
                    <w:r>
                      <w:rPr>
                        <w:rFonts w:ascii="Times New Roman" w:hAnsi="Times New Roman" w:eastAsia="仿宋_GB2312" w:cs="Times New Roman"/>
                        <w:kern w:val="2"/>
                        <w:sz w:val="32"/>
                        <w:szCs w:val="32"/>
                        <w:lang w:val="en-US" w:eastAsia="zh-CN" w:bidi="ar-SA"/>
                      </w:rPr>
                      <w:instrText xml:space="preserve"> PAGE  \* MERGEFORMAT </w:instrText>
                    </w:r>
                    <w:r>
                      <w:rPr>
                        <w:rFonts w:ascii="Times New Roman" w:hAnsi="Times New Roman" w:eastAsia="仿宋_GB2312" w:cs="Times New Roman"/>
                        <w:kern w:val="2"/>
                        <w:sz w:val="32"/>
                        <w:szCs w:val="32"/>
                        <w:lang w:val="en-US" w:eastAsia="zh-CN" w:bidi="ar-SA"/>
                      </w:rPr>
                      <w:fldChar w:fldCharType="separate"/>
                    </w:r>
                    <w:r>
                      <w:rPr>
                        <w:rFonts w:ascii="Times New Roman" w:hAnsi="Times New Roman" w:eastAsia="仿宋_GB2312" w:cs="Times New Roman"/>
                        <w:kern w:val="2"/>
                        <w:sz w:val="32"/>
                        <w:szCs w:val="32"/>
                        <w:lang w:val="en-US" w:eastAsia="zh-CN" w:bidi="ar-SA"/>
                      </w:rPr>
                      <w:t>- 2 -</w:t>
                    </w:r>
                    <w:r>
                      <w:rPr>
                        <w:rFonts w:ascii="Times New Roman" w:hAnsi="Times New Roman" w:eastAsia="仿宋_GB2312" w:cs="Times New Roman"/>
                        <w:kern w:val="2"/>
                        <w:sz w:val="32"/>
                        <w:szCs w:val="32"/>
                        <w:lang w:val="en-US" w:eastAsia="zh-CN" w:bidi="ar-SA"/>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before="1" w:line="174" w:lineRule="auto"/>
      <w:ind w:left="8576"/>
      <w:rPr>
        <w:sz w:val="28"/>
        <w:szCs w:val="28"/>
      </w:rPr>
    </w:pPr>
    <w:r>
      <w:rPr>
        <w:sz w:val="28"/>
      </w:rPr>
      <mc:AlternateContent>
        <mc:Choice Requires="wps">
          <w:drawing>
            <wp:anchor distT="0" distB="0" distL="114300" distR="114300" simplePos="0" relativeHeight="251661312" behindDoc="0" locked="0" layoutInCell="1" allowOverlap="1">
              <wp:simplePos x="0" y="0"/>
              <wp:positionH relativeFrom="margin">
                <wp:align>outside</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7"/>
                            <w:rPr>
                              <w:rFonts w:hint="eastAsia"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hint="eastAsia" w:ascii="华文仿宋" w:hAnsi="华文仿宋" w:eastAsia="华文仿宋" w:cs="华文仿宋"/>
                              <w:sz w:val="28"/>
                              <w:szCs w:val="28"/>
                            </w:rPr>
                            <w:t>10</w:t>
                          </w:r>
                          <w:r>
                            <w:rPr>
                              <w:rFonts w:hint="eastAsia" w:ascii="华文仿宋" w:hAnsi="华文仿宋" w:eastAsia="华文仿宋" w:cs="华文仿宋"/>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sAOHox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rADh6MQIAAGMEAAAOAAAAAAAAAAEAIAAAAB8BAABkcnMvZTJvRG9jLnhtbFBLBQYA&#10;AAAABgAGAFkBAADCBQAAAAA=&#10;">
              <v:fill on="f" focussize="0,0"/>
              <v:stroke on="f" weight="0.5pt"/>
              <v:imagedata o:title=""/>
              <o:lock v:ext="edit" aspectratio="f"/>
              <v:textbox inset="0mm,0mm,0mm,0mm" style="mso-fit-shape-to-text:t;">
                <w:txbxContent>
                  <w:p>
                    <w:pPr>
                      <w:pStyle w:val="7"/>
                      <w:rPr>
                        <w:rFonts w:hint="eastAsia"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hint="eastAsia" w:ascii="华文仿宋" w:hAnsi="华文仿宋" w:eastAsia="华文仿宋" w:cs="华文仿宋"/>
                        <w:sz w:val="28"/>
                        <w:szCs w:val="28"/>
                      </w:rPr>
                      <w:t>10</w:t>
                    </w:r>
                    <w:r>
                      <w:rPr>
                        <w:rFonts w:hint="eastAsia" w:ascii="华文仿宋" w:hAnsi="华文仿宋" w:eastAsia="华文仿宋" w:cs="华文仿宋"/>
                        <w:sz w:val="28"/>
                        <w:szCs w:val="28"/>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before="1" w:line="174" w:lineRule="auto"/>
      <w:ind w:left="574"/>
      <w:rPr>
        <w:sz w:val="28"/>
        <w:szCs w:val="28"/>
      </w:rPr>
    </w:pPr>
    <w:r>
      <w:rPr>
        <w:sz w:val="28"/>
      </w:rPr>
      <mc:AlternateContent>
        <mc:Choice Requires="wps">
          <w:drawing>
            <wp:anchor distT="0" distB="0" distL="114300" distR="114300" simplePos="0" relativeHeight="251662336" behindDoc="0" locked="0" layoutInCell="1" allowOverlap="1">
              <wp:simplePos x="0" y="0"/>
              <wp:positionH relativeFrom="margin">
                <wp:align>outside</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widowControl w:val="0"/>
                            <w:snapToGrid w:val="0"/>
                            <w:ind w:left="525" w:leftChars="250" w:right="525" w:rightChars="250"/>
                            <w:jc w:val="left"/>
                            <w:rPr>
                              <w:rFonts w:ascii="Times New Roman" w:hAnsi="Times New Roman" w:eastAsia="华文仿宋" w:cs="Times New Roman"/>
                              <w:kern w:val="2"/>
                              <w:sz w:val="32"/>
                              <w:szCs w:val="32"/>
                              <w:lang w:val="en-US" w:eastAsia="zh-CN" w:bidi="ar-SA"/>
                            </w:rPr>
                          </w:pPr>
                          <w:r>
                            <w:rPr>
                              <w:rFonts w:ascii="Times New Roman" w:hAnsi="Times New Roman" w:eastAsia="华文仿宋" w:cs="Times New Roman"/>
                              <w:kern w:val="2"/>
                              <w:sz w:val="32"/>
                              <w:szCs w:val="32"/>
                              <w:lang w:val="en-US" w:eastAsia="zh-CN" w:bidi="ar-SA"/>
                            </w:rPr>
                            <w:fldChar w:fldCharType="begin"/>
                          </w:r>
                          <w:r>
                            <w:rPr>
                              <w:rFonts w:ascii="Times New Roman" w:hAnsi="Times New Roman" w:eastAsia="华文仿宋" w:cs="Times New Roman"/>
                              <w:kern w:val="2"/>
                              <w:sz w:val="32"/>
                              <w:szCs w:val="32"/>
                              <w:lang w:val="en-US" w:eastAsia="zh-CN" w:bidi="ar-SA"/>
                            </w:rPr>
                            <w:instrText xml:space="preserve"> PAGE  \* MERGEFORMAT </w:instrText>
                          </w:r>
                          <w:r>
                            <w:rPr>
                              <w:rFonts w:ascii="Times New Roman" w:hAnsi="Times New Roman" w:eastAsia="华文仿宋" w:cs="Times New Roman"/>
                              <w:kern w:val="2"/>
                              <w:sz w:val="32"/>
                              <w:szCs w:val="32"/>
                              <w:lang w:val="en-US" w:eastAsia="zh-CN" w:bidi="ar-SA"/>
                            </w:rPr>
                            <w:fldChar w:fldCharType="separate"/>
                          </w:r>
                          <w:r>
                            <w:rPr>
                              <w:rFonts w:ascii="Times New Roman" w:hAnsi="Times New Roman" w:eastAsia="华文仿宋" w:cs="Times New Roman"/>
                              <w:kern w:val="2"/>
                              <w:sz w:val="32"/>
                              <w:szCs w:val="32"/>
                              <w:lang w:val="en-US" w:eastAsia="zh-CN" w:bidi="ar-SA"/>
                            </w:rPr>
                            <w:t>- 11 -</w:t>
                          </w:r>
                          <w:r>
                            <w:rPr>
                              <w:rFonts w:ascii="Times New Roman" w:hAnsi="Times New Roman" w:eastAsia="华文仿宋" w:cs="Times New Roman"/>
                              <w:kern w:val="2"/>
                              <w:sz w:val="32"/>
                              <w:szCs w:val="32"/>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DkX1r85AgAAcQQAAA4AAAAAAAAAAQAgAAAAHwEAAGRycy9lMm9Eb2Mu&#10;eG1sUEsFBgAAAAAGAAYAWQEAAMoFAAAAAA==&#10;">
              <v:fill on="f" focussize="0,0"/>
              <v:stroke on="f" weight="0.5pt"/>
              <v:imagedata o:title=""/>
              <o:lock v:ext="edit" aspectratio="f"/>
              <v:textbox inset="0mm,0mm,0mm,0mm" style="mso-fit-shape-to-text:t;">
                <w:txbxContent>
                  <w:p>
                    <w:pPr>
                      <w:widowControl w:val="0"/>
                      <w:snapToGrid w:val="0"/>
                      <w:ind w:left="525" w:leftChars="250" w:right="525" w:rightChars="250"/>
                      <w:jc w:val="left"/>
                      <w:rPr>
                        <w:rFonts w:ascii="Times New Roman" w:hAnsi="Times New Roman" w:eastAsia="华文仿宋" w:cs="Times New Roman"/>
                        <w:kern w:val="2"/>
                        <w:sz w:val="32"/>
                        <w:szCs w:val="32"/>
                        <w:lang w:val="en-US" w:eastAsia="zh-CN" w:bidi="ar-SA"/>
                      </w:rPr>
                    </w:pPr>
                    <w:r>
                      <w:rPr>
                        <w:rFonts w:ascii="Times New Roman" w:hAnsi="Times New Roman" w:eastAsia="华文仿宋" w:cs="Times New Roman"/>
                        <w:kern w:val="2"/>
                        <w:sz w:val="32"/>
                        <w:szCs w:val="32"/>
                        <w:lang w:val="en-US" w:eastAsia="zh-CN" w:bidi="ar-SA"/>
                      </w:rPr>
                      <w:fldChar w:fldCharType="begin"/>
                    </w:r>
                    <w:r>
                      <w:rPr>
                        <w:rFonts w:ascii="Times New Roman" w:hAnsi="Times New Roman" w:eastAsia="华文仿宋" w:cs="Times New Roman"/>
                        <w:kern w:val="2"/>
                        <w:sz w:val="32"/>
                        <w:szCs w:val="32"/>
                        <w:lang w:val="en-US" w:eastAsia="zh-CN" w:bidi="ar-SA"/>
                      </w:rPr>
                      <w:instrText xml:space="preserve"> PAGE  \* MERGEFORMAT </w:instrText>
                    </w:r>
                    <w:r>
                      <w:rPr>
                        <w:rFonts w:ascii="Times New Roman" w:hAnsi="Times New Roman" w:eastAsia="华文仿宋" w:cs="Times New Roman"/>
                        <w:kern w:val="2"/>
                        <w:sz w:val="32"/>
                        <w:szCs w:val="32"/>
                        <w:lang w:val="en-US" w:eastAsia="zh-CN" w:bidi="ar-SA"/>
                      </w:rPr>
                      <w:fldChar w:fldCharType="separate"/>
                    </w:r>
                    <w:r>
                      <w:rPr>
                        <w:rFonts w:ascii="Times New Roman" w:hAnsi="Times New Roman" w:eastAsia="华文仿宋" w:cs="Times New Roman"/>
                        <w:kern w:val="2"/>
                        <w:sz w:val="32"/>
                        <w:szCs w:val="32"/>
                        <w:lang w:val="en-US" w:eastAsia="zh-CN" w:bidi="ar-SA"/>
                      </w:rPr>
                      <w:t>- 11 -</w:t>
                    </w:r>
                    <w:r>
                      <w:rPr>
                        <w:rFonts w:ascii="Times New Roman" w:hAnsi="Times New Roman" w:eastAsia="华文仿宋" w:cs="Times New Roman"/>
                        <w:kern w:val="2"/>
                        <w:sz w:val="32"/>
                        <w:szCs w:val="32"/>
                        <w:lang w:val="en-US" w:eastAsia="zh-CN" w:bidi="ar-SA"/>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before="1" w:line="174" w:lineRule="auto"/>
      <w:ind w:left="574"/>
      <w:rPr>
        <w:sz w:val="28"/>
        <w:szCs w:val="28"/>
      </w:rPr>
    </w:pPr>
    <w:r>
      <w:rPr>
        <w:sz w:val="28"/>
      </w:rPr>
      <mc:AlternateContent>
        <mc:Choice Requires="wps">
          <w:drawing>
            <wp:anchor distT="0" distB="0" distL="114300" distR="114300" simplePos="0" relativeHeight="251662336" behindDoc="0" locked="0" layoutInCell="1" allowOverlap="1">
              <wp:simplePos x="0" y="0"/>
              <wp:positionH relativeFrom="margin">
                <wp:align>outside</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pStyle w:val="7"/>
                            <w:ind w:left="525" w:leftChars="250" w:right="525" w:rightChars="250"/>
                            <w:rPr>
                              <w:rFonts w:eastAsia="华文仿宋"/>
                              <w:sz w:val="32"/>
                              <w:szCs w:val="32"/>
                            </w:rPr>
                          </w:pPr>
                          <w:r>
                            <w:rPr>
                              <w:rFonts w:eastAsia="华文仿宋"/>
                              <w:sz w:val="32"/>
                              <w:szCs w:val="32"/>
                            </w:rPr>
                            <w:fldChar w:fldCharType="begin"/>
                          </w:r>
                          <w:r>
                            <w:rPr>
                              <w:rFonts w:eastAsia="华文仿宋"/>
                              <w:sz w:val="32"/>
                              <w:szCs w:val="32"/>
                            </w:rPr>
                            <w:instrText xml:space="preserve"> PAGE  \* MERGEFORMAT </w:instrText>
                          </w:r>
                          <w:r>
                            <w:rPr>
                              <w:rFonts w:eastAsia="华文仿宋"/>
                              <w:sz w:val="32"/>
                              <w:szCs w:val="32"/>
                            </w:rPr>
                            <w:fldChar w:fldCharType="separate"/>
                          </w:r>
                          <w:r>
                            <w:rPr>
                              <w:rFonts w:eastAsia="华文仿宋"/>
                              <w:sz w:val="32"/>
                              <w:szCs w:val="32"/>
                            </w:rPr>
                            <w:t>- 2 -</w:t>
                          </w:r>
                          <w:r>
                            <w:rPr>
                              <w:rFonts w:eastAsia="华文仿宋"/>
                              <w:sz w:val="32"/>
                              <w:szCs w:val="32"/>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10G3Y3AgAAbw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QxQHSzMMBESn3p0Qrtvh34&#10;7E1xBk1n+jnxlm9qlLJlPjwwh8FA+Xg64R5LKQ1SmsGipDLuy7/OYzz6BS8lDQYtpxrvihL5XqOP&#10;AAyj4UZjPxr6qO4MJhe9QS2diQsuyNEsnVGf8Z5WMQdcTHNkymkYzbvQDzveIxerVRd0tK4+VP0F&#10;TKFlYat3lsc0USpvV8cAaTvFo0C9KuhU3GAOu54NbyYO+p/7LurxP7H8D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LNJWO7QAAAABQEAAA8AAAAAAAAAAQAgAAAAIgAAAGRycy9kb3ducmV2LnhtbFBL&#10;AQIUABQAAAAIAIdO4kC9dBt2NwIAAG8EAAAOAAAAAAAAAAEAIAAAAB8BAABkcnMvZTJvRG9jLnht&#10;bFBLBQYAAAAABgAGAFkBAADIBQAAAAA=&#10;">
              <v:fill on="f" focussize="0,0"/>
              <v:stroke on="f" weight="0.5pt"/>
              <v:imagedata o:title=""/>
              <o:lock v:ext="edit" aspectratio="f"/>
              <v:textbox inset="0mm,0mm,0mm,0mm" style="mso-fit-shape-to-text:t;">
                <w:txbxContent>
                  <w:p>
                    <w:pPr>
                      <w:pStyle w:val="7"/>
                      <w:ind w:left="525" w:leftChars="250" w:right="525" w:rightChars="250"/>
                      <w:rPr>
                        <w:rFonts w:eastAsia="华文仿宋"/>
                        <w:sz w:val="32"/>
                        <w:szCs w:val="32"/>
                      </w:rPr>
                    </w:pPr>
                    <w:r>
                      <w:rPr>
                        <w:rFonts w:eastAsia="华文仿宋"/>
                        <w:sz w:val="32"/>
                        <w:szCs w:val="32"/>
                      </w:rPr>
                      <w:fldChar w:fldCharType="begin"/>
                    </w:r>
                    <w:r>
                      <w:rPr>
                        <w:rFonts w:eastAsia="华文仿宋"/>
                        <w:sz w:val="32"/>
                        <w:szCs w:val="32"/>
                      </w:rPr>
                      <w:instrText xml:space="preserve"> PAGE  \* MERGEFORMAT </w:instrText>
                    </w:r>
                    <w:r>
                      <w:rPr>
                        <w:rFonts w:eastAsia="华文仿宋"/>
                        <w:sz w:val="32"/>
                        <w:szCs w:val="32"/>
                      </w:rPr>
                      <w:fldChar w:fldCharType="separate"/>
                    </w:r>
                    <w:r>
                      <w:rPr>
                        <w:rFonts w:eastAsia="华文仿宋"/>
                        <w:sz w:val="32"/>
                        <w:szCs w:val="32"/>
                      </w:rPr>
                      <w:t>- 2 -</w:t>
                    </w:r>
                    <w:r>
                      <w:rPr>
                        <w:rFonts w:eastAsia="华文仿宋"/>
                        <w:sz w:val="32"/>
                        <w:szCs w:val="32"/>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adjustRightInd w:val="0"/>
      <w:snapToGrid w:val="0"/>
      <w:spacing w:line="579" w:lineRule="atLeast"/>
      <w:ind w:firstLine="360" w:firstLineChars="200"/>
      <w:jc w:val="left"/>
      <w:rPr>
        <w:rFonts w:eastAsia="仿宋_GB2312"/>
        <w:sz w:val="18"/>
      </w:rPr>
    </w:pPr>
    <w:r>
      <w:rPr>
        <w:rFonts w:eastAsia="仿宋_GB2312"/>
        <w:sz w:val="18"/>
      </w:rPr>
      <mc:AlternateContent>
        <mc:Choice Requires="wps">
          <w:drawing>
            <wp:anchor distT="0" distB="0" distL="114300" distR="114300" simplePos="0" relativeHeight="251660288" behindDoc="0" locked="0" layoutInCell="1" allowOverlap="1">
              <wp:simplePos x="0" y="0"/>
              <wp:positionH relativeFrom="margin">
                <wp:posOffset>4047490</wp:posOffset>
              </wp:positionH>
              <wp:positionV relativeFrom="paragraph">
                <wp:posOffset>-219075</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tabs>
                              <w:tab w:val="center" w:pos="4153"/>
                              <w:tab w:val="right" w:pos="8306"/>
                            </w:tabs>
                            <w:adjustRightInd w:val="0"/>
                            <w:snapToGrid w:val="0"/>
                            <w:spacing w:line="579" w:lineRule="atLeast"/>
                            <w:ind w:firstLine="640" w:firstLineChars="200"/>
                            <w:jc w:val="left"/>
                            <w:rPr>
                              <w:rFonts w:eastAsia="仿宋_GB2312"/>
                              <w:sz w:val="32"/>
                              <w:szCs w:val="32"/>
                            </w:rPr>
                          </w:pPr>
                          <w:r>
                            <w:rPr>
                              <w:rFonts w:eastAsia="仿宋_GB2312"/>
                              <w:sz w:val="32"/>
                              <w:szCs w:val="32"/>
                            </w:rPr>
                            <w:fldChar w:fldCharType="begin"/>
                          </w:r>
                          <w:r>
                            <w:rPr>
                              <w:rFonts w:eastAsia="仿宋_GB2312"/>
                              <w:sz w:val="32"/>
                              <w:szCs w:val="32"/>
                            </w:rPr>
                            <w:instrText xml:space="preserve"> PAGE  \* MERGEFORMAT </w:instrText>
                          </w:r>
                          <w:r>
                            <w:rPr>
                              <w:rFonts w:eastAsia="仿宋_GB2312"/>
                              <w:sz w:val="32"/>
                              <w:szCs w:val="32"/>
                            </w:rPr>
                            <w:fldChar w:fldCharType="separate"/>
                          </w:r>
                          <w:r>
                            <w:rPr>
                              <w:rFonts w:eastAsia="仿宋_GB2312"/>
                              <w:sz w:val="32"/>
                              <w:szCs w:val="32"/>
                            </w:rPr>
                            <w:t>- 7 -</w:t>
                          </w:r>
                          <w:r>
                            <w:rPr>
                              <w:rFonts w:eastAsia="仿宋_GB2312"/>
                              <w:sz w:val="32"/>
                              <w:szCs w:val="32"/>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318.7pt;margin-top:-17.25pt;height:144pt;width:144pt;mso-position-horizontal-relative:margin;mso-wrap-style:none;z-index:251660288;mso-width-relative:page;mso-height-relative:page;" filled="f" stroked="f" coordsize="21600,21600" o:gfxdata="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OHJeKjZAAAACwEAAA8AAAAAAAAAAQAgAAAAIgAAAGRycy9kb3du&#10;cmV2LnhtbFBLAQIUABQAAAAIAIdO4kDajL89NwIAAG8EAAAOAAAAAAAAAAEAIAAAACgBAABkcnMv&#10;ZTJvRG9jLnhtbFBLBQYAAAAABgAGAFkBAADRBQAAAAA=&#10;">
              <v:fill on="f" focussize="0,0"/>
              <v:stroke on="f" weight="0.5pt"/>
              <v:imagedata o:title=""/>
              <o:lock v:ext="edit" aspectratio="f"/>
              <v:textbox inset="0mm,0mm,0mm,0mm" style="mso-fit-shape-to-text:t;">
                <w:txbxContent>
                  <w:p>
                    <w:pPr>
                      <w:tabs>
                        <w:tab w:val="center" w:pos="4153"/>
                        <w:tab w:val="right" w:pos="8306"/>
                      </w:tabs>
                      <w:adjustRightInd w:val="0"/>
                      <w:snapToGrid w:val="0"/>
                      <w:spacing w:line="579" w:lineRule="atLeast"/>
                      <w:ind w:firstLine="640" w:firstLineChars="200"/>
                      <w:jc w:val="left"/>
                      <w:rPr>
                        <w:rFonts w:eastAsia="仿宋_GB2312"/>
                        <w:sz w:val="32"/>
                        <w:szCs w:val="32"/>
                      </w:rPr>
                    </w:pPr>
                    <w:r>
                      <w:rPr>
                        <w:rFonts w:eastAsia="仿宋_GB2312"/>
                        <w:sz w:val="32"/>
                        <w:szCs w:val="32"/>
                      </w:rPr>
                      <w:fldChar w:fldCharType="begin"/>
                    </w:r>
                    <w:r>
                      <w:rPr>
                        <w:rFonts w:eastAsia="仿宋_GB2312"/>
                        <w:sz w:val="32"/>
                        <w:szCs w:val="32"/>
                      </w:rPr>
                      <w:instrText xml:space="preserve"> PAGE  \* MERGEFORMAT </w:instrText>
                    </w:r>
                    <w:r>
                      <w:rPr>
                        <w:rFonts w:eastAsia="仿宋_GB2312"/>
                        <w:sz w:val="32"/>
                        <w:szCs w:val="32"/>
                      </w:rPr>
                      <w:fldChar w:fldCharType="separate"/>
                    </w:r>
                    <w:r>
                      <w:rPr>
                        <w:rFonts w:eastAsia="仿宋_GB2312"/>
                        <w:sz w:val="32"/>
                        <w:szCs w:val="32"/>
                      </w:rPr>
                      <w:t>- 7 -</w:t>
                    </w:r>
                    <w:r>
                      <w:rPr>
                        <w:rFonts w:eastAsia="仿宋_GB2312"/>
                        <w:sz w:val="32"/>
                        <w:szCs w:val="32"/>
                      </w:rP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adjustRightInd w:val="0"/>
      <w:snapToGrid w:val="0"/>
      <w:spacing w:line="579" w:lineRule="atLeast"/>
      <w:ind w:firstLine="360" w:firstLineChars="200"/>
      <w:jc w:val="left"/>
      <w:rPr>
        <w:rFonts w:eastAsia="仿宋_GB2312"/>
        <w:sz w:val="18"/>
      </w:rPr>
    </w:pPr>
    <w:r>
      <w:rPr>
        <w:rFonts w:eastAsia="仿宋_GB2312"/>
        <w:sz w:val="18"/>
      </w:rPr>
      <mc:AlternateContent>
        <mc:Choice Requires="wps">
          <w:drawing>
            <wp:anchor distT="0" distB="0" distL="114300" distR="114300" simplePos="0" relativeHeight="251661312" behindDoc="0" locked="0" layoutInCell="1" allowOverlap="1">
              <wp:simplePos x="0" y="0"/>
              <wp:positionH relativeFrom="margin">
                <wp:posOffset>-67310</wp:posOffset>
              </wp:positionH>
              <wp:positionV relativeFrom="paragraph">
                <wp:posOffset>-200025</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tabs>
                              <w:tab w:val="center" w:pos="4153"/>
                              <w:tab w:val="right" w:pos="8306"/>
                            </w:tabs>
                            <w:adjustRightInd w:val="0"/>
                            <w:snapToGrid w:val="0"/>
                            <w:spacing w:line="579" w:lineRule="atLeast"/>
                            <w:ind w:firstLine="640" w:firstLineChars="200"/>
                            <w:jc w:val="left"/>
                            <w:rPr>
                              <w:rFonts w:eastAsia="仿宋_GB2312"/>
                              <w:sz w:val="32"/>
                              <w:szCs w:val="32"/>
                            </w:rPr>
                          </w:pPr>
                          <w:r>
                            <w:rPr>
                              <w:rFonts w:eastAsia="仿宋_GB2312"/>
                              <w:sz w:val="32"/>
                              <w:szCs w:val="32"/>
                            </w:rPr>
                            <w:fldChar w:fldCharType="begin"/>
                          </w:r>
                          <w:r>
                            <w:rPr>
                              <w:rFonts w:eastAsia="仿宋_GB2312"/>
                              <w:sz w:val="32"/>
                              <w:szCs w:val="32"/>
                            </w:rPr>
                            <w:instrText xml:space="preserve"> PAGE  \* MERGEFORMAT </w:instrText>
                          </w:r>
                          <w:r>
                            <w:rPr>
                              <w:rFonts w:eastAsia="仿宋_GB2312"/>
                              <w:sz w:val="32"/>
                              <w:szCs w:val="32"/>
                            </w:rPr>
                            <w:fldChar w:fldCharType="separate"/>
                          </w:r>
                          <w:r>
                            <w:rPr>
                              <w:rFonts w:eastAsia="仿宋_GB2312"/>
                              <w:sz w:val="32"/>
                              <w:szCs w:val="32"/>
                            </w:rPr>
                            <w:t>- 2 -</w:t>
                          </w:r>
                          <w:r>
                            <w:rPr>
                              <w:rFonts w:eastAsia="仿宋_GB2312"/>
                              <w:sz w:val="32"/>
                              <w:szCs w:val="32"/>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5.3pt;margin-top:-15.75pt;height:144pt;width:144pt;mso-position-horizontal-relative:margin;mso-wrap-style:none;z-index:251661312;mso-width-relative:page;mso-height-relative:page;" filled="f" stroked="f" coordsize="21600,21600" o:gfxdata="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D+lHgjYAAAACwEAAA8AAAAAAAAAAQAgAAAAIgAAAGRycy9kb3du&#10;cmV2LnhtbFBLAQIUABQAAAAIAIdO4kA54isUOAIAAG8EAAAOAAAAAAAAAAEAIAAAACcBAABkcnMv&#10;ZTJvRG9jLnhtbFBLBQYAAAAABgAGAFkBAADRBQAAAAA=&#10;">
              <v:fill on="f" focussize="0,0"/>
              <v:stroke on="f" weight="0.5pt"/>
              <v:imagedata o:title=""/>
              <o:lock v:ext="edit" aspectratio="f"/>
              <v:textbox inset="0mm,0mm,0mm,0mm" style="mso-fit-shape-to-text:t;">
                <w:txbxContent>
                  <w:p>
                    <w:pPr>
                      <w:tabs>
                        <w:tab w:val="center" w:pos="4153"/>
                        <w:tab w:val="right" w:pos="8306"/>
                      </w:tabs>
                      <w:adjustRightInd w:val="0"/>
                      <w:snapToGrid w:val="0"/>
                      <w:spacing w:line="579" w:lineRule="atLeast"/>
                      <w:ind w:firstLine="640" w:firstLineChars="200"/>
                      <w:jc w:val="left"/>
                      <w:rPr>
                        <w:rFonts w:eastAsia="仿宋_GB2312"/>
                        <w:sz w:val="32"/>
                        <w:szCs w:val="32"/>
                      </w:rPr>
                    </w:pPr>
                    <w:r>
                      <w:rPr>
                        <w:rFonts w:eastAsia="仿宋_GB2312"/>
                        <w:sz w:val="32"/>
                        <w:szCs w:val="32"/>
                      </w:rPr>
                      <w:fldChar w:fldCharType="begin"/>
                    </w:r>
                    <w:r>
                      <w:rPr>
                        <w:rFonts w:eastAsia="仿宋_GB2312"/>
                        <w:sz w:val="32"/>
                        <w:szCs w:val="32"/>
                      </w:rPr>
                      <w:instrText xml:space="preserve"> PAGE  \* MERGEFORMAT </w:instrText>
                    </w:r>
                    <w:r>
                      <w:rPr>
                        <w:rFonts w:eastAsia="仿宋_GB2312"/>
                        <w:sz w:val="32"/>
                        <w:szCs w:val="32"/>
                      </w:rPr>
                      <w:fldChar w:fldCharType="separate"/>
                    </w:r>
                    <w:r>
                      <w:rPr>
                        <w:rFonts w:eastAsia="仿宋_GB2312"/>
                        <w:sz w:val="32"/>
                        <w:szCs w:val="32"/>
                      </w:rPr>
                      <w:t>- 2 -</w:t>
                    </w:r>
                    <w:r>
                      <w:rPr>
                        <w:rFonts w:eastAsia="仿宋_GB2312"/>
                        <w:sz w:val="32"/>
                        <w:szCs w:val="32"/>
                      </w:rP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before="1" w:line="174" w:lineRule="auto"/>
      <w:ind w:left="574"/>
      <w:rPr>
        <w:sz w:val="28"/>
        <w:szCs w:val="28"/>
      </w:rPr>
    </w:pPr>
    <w:r>
      <w:rPr>
        <w:sz w:val="28"/>
      </w:rPr>
      <mc:AlternateContent>
        <mc:Choice Requires="wps">
          <w:drawing>
            <wp:anchor distT="0" distB="0" distL="114300" distR="114300" simplePos="0" relativeHeight="251662336" behindDoc="0" locked="0" layoutInCell="1" allowOverlap="1">
              <wp:simplePos x="0" y="0"/>
              <wp:positionH relativeFrom="margin">
                <wp:align>outside</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pStyle w:val="7"/>
                            <w:ind w:left="525" w:leftChars="250" w:right="525" w:rightChars="250"/>
                            <w:rPr>
                              <w:rFonts w:eastAsia="华文仿宋"/>
                              <w:sz w:val="32"/>
                              <w:szCs w:val="32"/>
                            </w:rPr>
                          </w:pPr>
                          <w:r>
                            <w:rPr>
                              <w:rFonts w:eastAsia="华文仿宋"/>
                              <w:sz w:val="32"/>
                              <w:szCs w:val="32"/>
                            </w:rPr>
                            <w:fldChar w:fldCharType="begin"/>
                          </w:r>
                          <w:r>
                            <w:rPr>
                              <w:rFonts w:eastAsia="华文仿宋"/>
                              <w:sz w:val="32"/>
                              <w:szCs w:val="32"/>
                            </w:rPr>
                            <w:instrText xml:space="preserve"> PAGE  \* MERGEFORMAT </w:instrText>
                          </w:r>
                          <w:r>
                            <w:rPr>
                              <w:rFonts w:eastAsia="华文仿宋"/>
                              <w:sz w:val="32"/>
                              <w:szCs w:val="32"/>
                            </w:rPr>
                            <w:fldChar w:fldCharType="separate"/>
                          </w:r>
                          <w:r>
                            <w:rPr>
                              <w:rFonts w:eastAsia="华文仿宋"/>
                              <w:sz w:val="32"/>
                              <w:szCs w:val="32"/>
                            </w:rPr>
                            <w:t>- 10 -</w:t>
                          </w:r>
                          <w:r>
                            <w:rPr>
                              <w:rFonts w:eastAsia="华文仿宋"/>
                              <w:sz w:val="32"/>
                              <w:szCs w:val="32"/>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zSVju0AAAAAUBAAAPAAAAAAAAAAEAIAAAACIAAABkcnMvZG93bnJldi54bWxQ&#10;SwECFAAUAAAACACHTuJA/z8DRzgCAABvBAAADgAAAAAAAAABACAAAAAfAQAAZHJzL2Uyb0RvYy54&#10;bWxQSwUGAAAAAAYABgBZAQAAyQUAAAAA&#10;">
              <v:fill on="f" focussize="0,0"/>
              <v:stroke on="f" weight="0.5pt"/>
              <v:imagedata o:title=""/>
              <o:lock v:ext="edit" aspectratio="f"/>
              <v:textbox inset="0mm,0mm,0mm,0mm" style="mso-fit-shape-to-text:t;">
                <w:txbxContent>
                  <w:p>
                    <w:pPr>
                      <w:pStyle w:val="7"/>
                      <w:ind w:left="525" w:leftChars="250" w:right="525" w:rightChars="250"/>
                      <w:rPr>
                        <w:rFonts w:eastAsia="华文仿宋"/>
                        <w:sz w:val="32"/>
                        <w:szCs w:val="32"/>
                      </w:rPr>
                    </w:pPr>
                    <w:r>
                      <w:rPr>
                        <w:rFonts w:eastAsia="华文仿宋"/>
                        <w:sz w:val="32"/>
                        <w:szCs w:val="32"/>
                      </w:rPr>
                      <w:fldChar w:fldCharType="begin"/>
                    </w:r>
                    <w:r>
                      <w:rPr>
                        <w:rFonts w:eastAsia="华文仿宋"/>
                        <w:sz w:val="32"/>
                        <w:szCs w:val="32"/>
                      </w:rPr>
                      <w:instrText xml:space="preserve"> PAGE  \* MERGEFORMAT </w:instrText>
                    </w:r>
                    <w:r>
                      <w:rPr>
                        <w:rFonts w:eastAsia="华文仿宋"/>
                        <w:sz w:val="32"/>
                        <w:szCs w:val="32"/>
                      </w:rPr>
                      <w:fldChar w:fldCharType="separate"/>
                    </w:r>
                    <w:r>
                      <w:rPr>
                        <w:rFonts w:eastAsia="华文仿宋"/>
                        <w:sz w:val="32"/>
                        <w:szCs w:val="32"/>
                      </w:rPr>
                      <w:t>- 10 -</w:t>
                    </w:r>
                    <w:r>
                      <w:rPr>
                        <w:rFonts w:eastAsia="华文仿宋"/>
                        <w:sz w:val="32"/>
                        <w:szCs w:val="32"/>
                      </w:rP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spacing w:before="1" w:line="174" w:lineRule="auto"/>
      <w:ind w:left="574"/>
      <w:rPr>
        <w:sz w:val="28"/>
        <w:szCs w:val="28"/>
      </w:rPr>
    </w:pPr>
    <w:r>
      <w:rPr>
        <w:sz w:val="28"/>
      </w:rPr>
      <mc:AlternateContent>
        <mc:Choice Requires="wps">
          <w:drawing>
            <wp:anchor distT="0" distB="0" distL="114300" distR="114300" simplePos="0" relativeHeight="251661312" behindDoc="0" locked="0" layoutInCell="1" allowOverlap="1">
              <wp:simplePos x="0" y="0"/>
              <wp:positionH relativeFrom="margin">
                <wp:align>outside</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pStyle w:val="7"/>
                            <w:keepNext w:val="0"/>
                            <w:keepLines w:val="0"/>
                            <w:pageBreakBefore w:val="0"/>
                            <w:widowControl w:val="0"/>
                            <w:kinsoku/>
                            <w:wordWrap/>
                            <w:overflowPunct/>
                            <w:topLinePunct w:val="0"/>
                            <w:bidi w:val="0"/>
                            <w:adjustRightInd/>
                            <w:snapToGrid w:val="0"/>
                            <w:ind w:left="525" w:leftChars="250" w:right="525" w:rightChars="250"/>
                            <w:textAlignment w:val="auto"/>
                            <w:rPr>
                              <w:rFonts w:hint="default" w:ascii="Times New Roman" w:hAnsi="Times New Roman" w:eastAsia="华文仿宋" w:cs="Times New Roman"/>
                              <w:sz w:val="32"/>
                              <w:szCs w:val="32"/>
                            </w:rPr>
                          </w:pPr>
                          <w:r>
                            <w:rPr>
                              <w:rFonts w:hint="default" w:ascii="Times New Roman" w:hAnsi="Times New Roman" w:eastAsia="华文仿宋" w:cs="Times New Roman"/>
                              <w:sz w:val="32"/>
                              <w:szCs w:val="32"/>
                            </w:rPr>
                            <w:fldChar w:fldCharType="begin"/>
                          </w:r>
                          <w:r>
                            <w:rPr>
                              <w:rFonts w:hint="default" w:ascii="Times New Roman" w:hAnsi="Times New Roman" w:eastAsia="华文仿宋" w:cs="Times New Roman"/>
                              <w:sz w:val="32"/>
                              <w:szCs w:val="32"/>
                            </w:rPr>
                            <w:instrText xml:space="preserve"> PAGE  \* MERGEFORMAT </w:instrText>
                          </w:r>
                          <w:r>
                            <w:rPr>
                              <w:rFonts w:hint="default" w:ascii="Times New Roman" w:hAnsi="Times New Roman" w:eastAsia="华文仿宋" w:cs="Times New Roman"/>
                              <w:sz w:val="32"/>
                              <w:szCs w:val="32"/>
                            </w:rPr>
                            <w:fldChar w:fldCharType="separate"/>
                          </w:r>
                          <w:r>
                            <w:rPr>
                              <w:rFonts w:hint="default" w:ascii="Times New Roman" w:hAnsi="Times New Roman" w:eastAsia="华文仿宋" w:cs="Times New Roman"/>
                              <w:sz w:val="32"/>
                              <w:szCs w:val="32"/>
                            </w:rPr>
                            <w:t>12</w:t>
                          </w:r>
                          <w:r>
                            <w:rPr>
                              <w:rFonts w:hint="default" w:ascii="Times New Roman" w:hAnsi="Times New Roman" w:eastAsia="华文仿宋" w:cs="Times New Roman"/>
                              <w:sz w:val="32"/>
                              <w:szCs w:val="32"/>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zSVju0AAAAAUBAAAPAAAAAAAAAAEAIAAAACIAAABkcnMvZG93bnJldi54bWxQ&#10;SwECFAAUAAAACACHTuJAe6kzJTgCAABvBAAADgAAAAAAAAABACAAAAAfAQAAZHJzL2Uyb0RvYy54&#10;bWxQSwUGAAAAAAYABgBZAQAAyQUAAAAA&#10;">
              <v:fill on="f" focussize="0,0"/>
              <v:stroke on="f" weight="0.5pt"/>
              <v:imagedata o:title=""/>
              <o:lock v:ext="edit" aspectratio="f"/>
              <v:textbox inset="0mm,0mm,0mm,0mm" style="mso-fit-shape-to-text:t;">
                <w:txbxContent>
                  <w:p>
                    <w:pPr>
                      <w:pStyle w:val="7"/>
                      <w:keepNext w:val="0"/>
                      <w:keepLines w:val="0"/>
                      <w:pageBreakBefore w:val="0"/>
                      <w:widowControl w:val="0"/>
                      <w:kinsoku/>
                      <w:wordWrap/>
                      <w:overflowPunct/>
                      <w:topLinePunct w:val="0"/>
                      <w:bidi w:val="0"/>
                      <w:adjustRightInd/>
                      <w:snapToGrid w:val="0"/>
                      <w:ind w:left="525" w:leftChars="250" w:right="525" w:rightChars="250"/>
                      <w:textAlignment w:val="auto"/>
                      <w:rPr>
                        <w:rFonts w:hint="default" w:ascii="Times New Roman" w:hAnsi="Times New Roman" w:eastAsia="华文仿宋" w:cs="Times New Roman"/>
                        <w:sz w:val="32"/>
                        <w:szCs w:val="32"/>
                      </w:rPr>
                    </w:pPr>
                    <w:r>
                      <w:rPr>
                        <w:rFonts w:hint="default" w:ascii="Times New Roman" w:hAnsi="Times New Roman" w:eastAsia="华文仿宋" w:cs="Times New Roman"/>
                        <w:sz w:val="32"/>
                        <w:szCs w:val="32"/>
                      </w:rPr>
                      <w:fldChar w:fldCharType="begin"/>
                    </w:r>
                    <w:r>
                      <w:rPr>
                        <w:rFonts w:hint="default" w:ascii="Times New Roman" w:hAnsi="Times New Roman" w:eastAsia="华文仿宋" w:cs="Times New Roman"/>
                        <w:sz w:val="32"/>
                        <w:szCs w:val="32"/>
                      </w:rPr>
                      <w:instrText xml:space="preserve"> PAGE  \* MERGEFORMAT </w:instrText>
                    </w:r>
                    <w:r>
                      <w:rPr>
                        <w:rFonts w:hint="default" w:ascii="Times New Roman" w:hAnsi="Times New Roman" w:eastAsia="华文仿宋" w:cs="Times New Roman"/>
                        <w:sz w:val="32"/>
                        <w:szCs w:val="32"/>
                      </w:rPr>
                      <w:fldChar w:fldCharType="separate"/>
                    </w:r>
                    <w:r>
                      <w:rPr>
                        <w:rFonts w:hint="default" w:ascii="Times New Roman" w:hAnsi="Times New Roman" w:eastAsia="华文仿宋" w:cs="Times New Roman"/>
                        <w:sz w:val="32"/>
                        <w:szCs w:val="32"/>
                      </w:rPr>
                      <w:t>12</w:t>
                    </w:r>
                    <w:r>
                      <w:rPr>
                        <w:rFonts w:hint="default" w:ascii="Times New Roman" w:hAnsi="Times New Roman" w:eastAsia="华文仿宋" w:cs="Times New Roman"/>
                        <w:sz w:val="32"/>
                        <w:szCs w:val="32"/>
                      </w:rP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adjustRightInd w:val="0"/>
      <w:snapToGrid w:val="0"/>
      <w:spacing w:before="1" w:line="174" w:lineRule="auto"/>
      <w:ind w:left="574" w:firstLine="560" w:firstLineChars="200"/>
      <w:jc w:val="both"/>
      <w:rPr>
        <w:rFonts w:ascii="仿宋" w:hAnsi="仿宋" w:eastAsia="仿宋" w:cs="仿宋"/>
        <w:kern w:val="2"/>
        <w:sz w:val="28"/>
        <w:szCs w:val="28"/>
        <w:lang w:val="en-US" w:eastAsia="en-US" w:bidi="ar-SA"/>
      </w:rPr>
    </w:pPr>
    <w:r>
      <w:rPr>
        <w:rFonts w:ascii="仿宋" w:hAnsi="仿宋" w:eastAsia="仿宋" w:cs="仿宋"/>
        <w:kern w:val="2"/>
        <w:sz w:val="28"/>
        <w:szCs w:val="31"/>
        <w:lang w:val="en-US" w:eastAsia="en-US" w:bidi="ar-SA"/>
      </w:rP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keepNext w:val="0"/>
                            <w:keepLines w:val="0"/>
                            <w:pageBreakBefore w:val="0"/>
                            <w:widowControl w:val="0"/>
                            <w:kinsoku/>
                            <w:wordWrap/>
                            <w:overflowPunct/>
                            <w:topLinePunct w:val="0"/>
                            <w:bidi w:val="0"/>
                            <w:adjustRightInd/>
                            <w:snapToGrid w:val="0"/>
                            <w:spacing w:line="579" w:lineRule="atLeast"/>
                            <w:ind w:left="525" w:leftChars="250" w:right="525" w:rightChars="250" w:firstLine="640" w:firstLineChars="200"/>
                            <w:jc w:val="left"/>
                            <w:textAlignment w:val="auto"/>
                            <w:rPr>
                              <w:rFonts w:hint="default" w:ascii="Times New Roman" w:hAnsi="Times New Roman" w:eastAsia="华文仿宋" w:cs="Times New Roman"/>
                              <w:kern w:val="2"/>
                              <w:sz w:val="32"/>
                              <w:szCs w:val="32"/>
                              <w:lang w:val="en-US" w:eastAsia="zh-CN" w:bidi="ar-SA"/>
                            </w:rPr>
                          </w:pPr>
                          <w:r>
                            <w:rPr>
                              <w:rFonts w:hint="default" w:ascii="Times New Roman" w:hAnsi="Times New Roman" w:eastAsia="华文仿宋" w:cs="Times New Roman"/>
                              <w:kern w:val="2"/>
                              <w:sz w:val="32"/>
                              <w:szCs w:val="32"/>
                              <w:lang w:val="en-US" w:eastAsia="zh-CN" w:bidi="ar-SA"/>
                            </w:rPr>
                            <w:fldChar w:fldCharType="begin"/>
                          </w:r>
                          <w:r>
                            <w:rPr>
                              <w:rFonts w:hint="default" w:ascii="Times New Roman" w:hAnsi="Times New Roman" w:eastAsia="华文仿宋" w:cs="Times New Roman"/>
                              <w:kern w:val="2"/>
                              <w:sz w:val="32"/>
                              <w:szCs w:val="32"/>
                              <w:lang w:val="en-US" w:eastAsia="zh-CN" w:bidi="ar-SA"/>
                            </w:rPr>
                            <w:instrText xml:space="preserve"> PAGE  \* MERGEFORMAT </w:instrText>
                          </w:r>
                          <w:r>
                            <w:rPr>
                              <w:rFonts w:hint="default" w:ascii="Times New Roman" w:hAnsi="Times New Roman" w:eastAsia="华文仿宋" w:cs="Times New Roman"/>
                              <w:kern w:val="2"/>
                              <w:sz w:val="32"/>
                              <w:szCs w:val="32"/>
                              <w:lang w:val="en-US" w:eastAsia="zh-CN" w:bidi="ar-SA"/>
                            </w:rPr>
                            <w:fldChar w:fldCharType="separate"/>
                          </w:r>
                          <w:r>
                            <w:rPr>
                              <w:rFonts w:hint="default" w:ascii="Times New Roman" w:hAnsi="Times New Roman" w:eastAsia="华文仿宋" w:cs="Times New Roman"/>
                              <w:kern w:val="2"/>
                              <w:sz w:val="32"/>
                              <w:szCs w:val="32"/>
                              <w:lang w:val="en-US" w:eastAsia="zh-CN" w:bidi="ar-SA"/>
                            </w:rPr>
                            <w:t>12</w:t>
                          </w:r>
                          <w:r>
                            <w:rPr>
                              <w:rFonts w:hint="default" w:ascii="Times New Roman" w:hAnsi="Times New Roman" w:eastAsia="华文仿宋" w:cs="Times New Roman"/>
                              <w:kern w:val="2"/>
                              <w:sz w:val="32"/>
                              <w:szCs w:val="32"/>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DohXI5AgAAcQQAAA4AAABkcnMvZTJvRG9jLnhtbK1UzY7TMBC+I/EO&#10;lu80aRGrUj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LDohXI5AgAAcQQAAA4AAAAAAAAAAQAgAAAAHwEAAGRycy9lMm9Eb2Mu&#10;eG1sUEsFBgAAAAAGAAYAWQEAAMoFAAAAAA==&#10;">
              <v:fill on="f" focussize="0,0"/>
              <v:stroke on="f" weight="0.5pt"/>
              <v:imagedata o:title=""/>
              <o:lock v:ext="edit" aspectratio="f"/>
              <v:textbox inset="0mm,0mm,0mm,0mm" style="mso-fit-shape-to-text:t;">
                <w:txbxContent>
                  <w:p>
                    <w:pPr>
                      <w:keepNext w:val="0"/>
                      <w:keepLines w:val="0"/>
                      <w:pageBreakBefore w:val="0"/>
                      <w:widowControl w:val="0"/>
                      <w:kinsoku/>
                      <w:wordWrap/>
                      <w:overflowPunct/>
                      <w:topLinePunct w:val="0"/>
                      <w:bidi w:val="0"/>
                      <w:adjustRightInd/>
                      <w:snapToGrid w:val="0"/>
                      <w:spacing w:line="579" w:lineRule="atLeast"/>
                      <w:ind w:left="525" w:leftChars="250" w:right="525" w:rightChars="250" w:firstLine="640" w:firstLineChars="200"/>
                      <w:jc w:val="left"/>
                      <w:textAlignment w:val="auto"/>
                      <w:rPr>
                        <w:rFonts w:hint="default" w:ascii="Times New Roman" w:hAnsi="Times New Roman" w:eastAsia="华文仿宋" w:cs="Times New Roman"/>
                        <w:kern w:val="2"/>
                        <w:sz w:val="32"/>
                        <w:szCs w:val="32"/>
                        <w:lang w:val="en-US" w:eastAsia="zh-CN" w:bidi="ar-SA"/>
                      </w:rPr>
                    </w:pPr>
                    <w:r>
                      <w:rPr>
                        <w:rFonts w:hint="default" w:ascii="Times New Roman" w:hAnsi="Times New Roman" w:eastAsia="华文仿宋" w:cs="Times New Roman"/>
                        <w:kern w:val="2"/>
                        <w:sz w:val="32"/>
                        <w:szCs w:val="32"/>
                        <w:lang w:val="en-US" w:eastAsia="zh-CN" w:bidi="ar-SA"/>
                      </w:rPr>
                      <w:fldChar w:fldCharType="begin"/>
                    </w:r>
                    <w:r>
                      <w:rPr>
                        <w:rFonts w:hint="default" w:ascii="Times New Roman" w:hAnsi="Times New Roman" w:eastAsia="华文仿宋" w:cs="Times New Roman"/>
                        <w:kern w:val="2"/>
                        <w:sz w:val="32"/>
                        <w:szCs w:val="32"/>
                        <w:lang w:val="en-US" w:eastAsia="zh-CN" w:bidi="ar-SA"/>
                      </w:rPr>
                      <w:instrText xml:space="preserve"> PAGE  \* MERGEFORMAT </w:instrText>
                    </w:r>
                    <w:r>
                      <w:rPr>
                        <w:rFonts w:hint="default" w:ascii="Times New Roman" w:hAnsi="Times New Roman" w:eastAsia="华文仿宋" w:cs="Times New Roman"/>
                        <w:kern w:val="2"/>
                        <w:sz w:val="32"/>
                        <w:szCs w:val="32"/>
                        <w:lang w:val="en-US" w:eastAsia="zh-CN" w:bidi="ar-SA"/>
                      </w:rPr>
                      <w:fldChar w:fldCharType="separate"/>
                    </w:r>
                    <w:r>
                      <w:rPr>
                        <w:rFonts w:hint="default" w:ascii="Times New Roman" w:hAnsi="Times New Roman" w:eastAsia="华文仿宋" w:cs="Times New Roman"/>
                        <w:kern w:val="2"/>
                        <w:sz w:val="32"/>
                        <w:szCs w:val="32"/>
                        <w:lang w:val="en-US" w:eastAsia="zh-CN" w:bidi="ar-SA"/>
                      </w:rPr>
                      <w:t>12</w:t>
                    </w:r>
                    <w:r>
                      <w:rPr>
                        <w:rFonts w:hint="default" w:ascii="Times New Roman" w:hAnsi="Times New Roman" w:eastAsia="华文仿宋" w:cs="Times New Roman"/>
                        <w:kern w:val="2"/>
                        <w:sz w:val="32"/>
                        <w:szCs w:val="32"/>
                        <w:lang w:val="en-US" w:eastAsia="zh-CN" w:bidi="ar-SA"/>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57B9F7A"/>
    <w:multiLevelType w:val="singleLevel"/>
    <w:tmpl w:val="957B9F7A"/>
    <w:lvl w:ilvl="0" w:tentative="0">
      <w:start w:val="2"/>
      <w:numFmt w:val="decimal"/>
      <w:suff w:val="nothing"/>
      <w:lvlText w:val="（%1）"/>
      <w:lvlJc w:val="left"/>
    </w:lvl>
  </w:abstractNum>
  <w:abstractNum w:abstractNumId="1">
    <w:nsid w:val="AB7FF805"/>
    <w:multiLevelType w:val="singleLevel"/>
    <w:tmpl w:val="AB7FF805"/>
    <w:lvl w:ilvl="0" w:tentative="0">
      <w:start w:val="3"/>
      <w:numFmt w:val="decimal"/>
      <w:suff w:val="nothing"/>
      <w:lvlText w:val="（%1）"/>
      <w:lvlJc w:val="left"/>
    </w:lvl>
  </w:abstractNum>
  <w:abstractNum w:abstractNumId="2">
    <w:nsid w:val="B7D8E70F"/>
    <w:multiLevelType w:val="singleLevel"/>
    <w:tmpl w:val="B7D8E70F"/>
    <w:lvl w:ilvl="0" w:tentative="0">
      <w:start w:val="4"/>
      <w:numFmt w:val="chineseCounting"/>
      <w:suff w:val="nothing"/>
      <w:lvlText w:val="%1、"/>
      <w:lvlJc w:val="left"/>
      <w:rPr>
        <w:rFonts w:hint="eastAsia"/>
      </w:rPr>
    </w:lvl>
  </w:abstractNum>
  <w:abstractNum w:abstractNumId="3">
    <w:nsid w:val="B9837889"/>
    <w:multiLevelType w:val="singleLevel"/>
    <w:tmpl w:val="B9837889"/>
    <w:lvl w:ilvl="0" w:tentative="0">
      <w:start w:val="1"/>
      <w:numFmt w:val="decimal"/>
      <w:suff w:val="nothing"/>
      <w:lvlText w:val="%1、"/>
      <w:lvlJc w:val="left"/>
    </w:lvl>
  </w:abstractNum>
  <w:abstractNum w:abstractNumId="4">
    <w:nsid w:val="C18DD6FE"/>
    <w:multiLevelType w:val="singleLevel"/>
    <w:tmpl w:val="C18DD6FE"/>
    <w:lvl w:ilvl="0" w:tentative="0">
      <w:start w:val="1"/>
      <w:numFmt w:val="decimal"/>
      <w:suff w:val="nothing"/>
      <w:lvlText w:val="%1、"/>
      <w:lvlJc w:val="left"/>
    </w:lvl>
  </w:abstractNum>
  <w:abstractNum w:abstractNumId="5">
    <w:nsid w:val="E2245A97"/>
    <w:multiLevelType w:val="singleLevel"/>
    <w:tmpl w:val="E2245A97"/>
    <w:lvl w:ilvl="0" w:tentative="0">
      <w:start w:val="2"/>
      <w:numFmt w:val="chineseCounting"/>
      <w:suff w:val="nothing"/>
      <w:lvlText w:val="（%1）"/>
      <w:lvlJc w:val="left"/>
      <w:rPr>
        <w:rFonts w:hint="eastAsia"/>
      </w:rPr>
    </w:lvl>
  </w:abstractNum>
  <w:abstractNum w:abstractNumId="6">
    <w:nsid w:val="007E19BC"/>
    <w:multiLevelType w:val="singleLevel"/>
    <w:tmpl w:val="007E19BC"/>
    <w:lvl w:ilvl="0" w:tentative="0">
      <w:start w:val="2"/>
      <w:numFmt w:val="decimal"/>
      <w:suff w:val="nothing"/>
      <w:lvlText w:val="（%1）"/>
      <w:lvlJc w:val="left"/>
    </w:lvl>
  </w:abstractNum>
  <w:abstractNum w:abstractNumId="7">
    <w:nsid w:val="1122A0EC"/>
    <w:multiLevelType w:val="singleLevel"/>
    <w:tmpl w:val="1122A0EC"/>
    <w:lvl w:ilvl="0" w:tentative="0">
      <w:start w:val="1"/>
      <w:numFmt w:val="decimal"/>
      <w:suff w:val="nothing"/>
      <w:lvlText w:val="（%1）"/>
      <w:lvlJc w:val="left"/>
    </w:lvl>
  </w:abstractNum>
  <w:abstractNum w:abstractNumId="8">
    <w:nsid w:val="3849EE21"/>
    <w:multiLevelType w:val="singleLevel"/>
    <w:tmpl w:val="3849EE21"/>
    <w:lvl w:ilvl="0" w:tentative="0">
      <w:start w:val="1"/>
      <w:numFmt w:val="decimal"/>
      <w:suff w:val="nothing"/>
      <w:lvlText w:val="%1、"/>
      <w:lvlJc w:val="left"/>
    </w:lvl>
  </w:abstractNum>
  <w:num w:numId="1">
    <w:abstractNumId w:val="6"/>
  </w:num>
  <w:num w:numId="2">
    <w:abstractNumId w:val="0"/>
  </w:num>
  <w:num w:numId="3">
    <w:abstractNumId w:val="1"/>
  </w:num>
  <w:num w:numId="4">
    <w:abstractNumId w:val="4"/>
  </w:num>
  <w:num w:numId="5">
    <w:abstractNumId w:val="3"/>
  </w:num>
  <w:num w:numId="6">
    <w:abstractNumId w:val="5"/>
  </w:num>
  <w:num w:numId="7">
    <w:abstractNumId w:val="8"/>
  </w:num>
  <w:num w:numId="8">
    <w:abstractNumId w:val="7"/>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8"/>
  <w:embedTrueTypeFonts/>
  <w:bordersDoNotSurroundHeader w:val="0"/>
  <w:bordersDoNotSurroundFooter w:val="0"/>
  <w:documentProtection w:enforcement="0"/>
  <w:defaultTabStop w:val="420"/>
  <w:drawingGridHorizontalSpacing w:val="210"/>
  <w:drawingGridVerticalSpacing w:val="157"/>
  <w:displayHorizontalDrawingGridEvery w:val="1"/>
  <w:displayVerticalDrawingGridEvery w:val="2"/>
  <w:noPunctuationKerning w:val="1"/>
  <w:characterSpacingControl w:val="compressPunctuation"/>
  <w:noLineBreaksAfter w:lang="zh-CN" w:val="$([{£¥·‘“〈《「『【〔〖〝﹙﹛﹝＄（．［｛￡￥"/>
  <w:noLineBreaksBefore w:lang="zh-CN" w:val="!%),.:;&gt;?]}¢¨°·ˇˉ―‖’”…‰′″›℃∶、。〃〉》」』】〕〗〞︶︺︾﹀﹄﹚﹜﹞！＂％＇），．：；？］｀｜｝～￠"/>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doNotUseIndentAsNumberingTabStop/>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zZlYmZjNGIxMzgxMjA2ODhhY2M2NTI3MjRlNDgyYTUifQ=="/>
  </w:docVars>
  <w:rsids>
    <w:rsidRoot w:val="0CCB7736"/>
    <w:rsid w:val="00047FEF"/>
    <w:rsid w:val="000A3906"/>
    <w:rsid w:val="001776F1"/>
    <w:rsid w:val="006F0A16"/>
    <w:rsid w:val="00773328"/>
    <w:rsid w:val="00821883"/>
    <w:rsid w:val="00917857"/>
    <w:rsid w:val="00951882"/>
    <w:rsid w:val="00A755C2"/>
    <w:rsid w:val="00D06DD6"/>
    <w:rsid w:val="011D2710"/>
    <w:rsid w:val="016A347B"/>
    <w:rsid w:val="01B42948"/>
    <w:rsid w:val="01BF20E7"/>
    <w:rsid w:val="01DD02FC"/>
    <w:rsid w:val="01E4322D"/>
    <w:rsid w:val="021138F7"/>
    <w:rsid w:val="02B50488"/>
    <w:rsid w:val="0338470A"/>
    <w:rsid w:val="034822A9"/>
    <w:rsid w:val="03D86621"/>
    <w:rsid w:val="04EE6171"/>
    <w:rsid w:val="05315F6B"/>
    <w:rsid w:val="05395EA9"/>
    <w:rsid w:val="0616597F"/>
    <w:rsid w:val="06426ACC"/>
    <w:rsid w:val="07A62D33"/>
    <w:rsid w:val="086B5F82"/>
    <w:rsid w:val="09E6794E"/>
    <w:rsid w:val="0A067AB9"/>
    <w:rsid w:val="0ABD557B"/>
    <w:rsid w:val="0BBB5A8D"/>
    <w:rsid w:val="0C104906"/>
    <w:rsid w:val="0C607C21"/>
    <w:rsid w:val="0CCB7736"/>
    <w:rsid w:val="0D865199"/>
    <w:rsid w:val="0D9E0E8D"/>
    <w:rsid w:val="0E1F65D3"/>
    <w:rsid w:val="0E3E5716"/>
    <w:rsid w:val="0E6B257C"/>
    <w:rsid w:val="0EAB7397"/>
    <w:rsid w:val="0EF755B3"/>
    <w:rsid w:val="0F17035E"/>
    <w:rsid w:val="0F4E168D"/>
    <w:rsid w:val="0F7A0392"/>
    <w:rsid w:val="0FAF3959"/>
    <w:rsid w:val="0FD26E31"/>
    <w:rsid w:val="1020625B"/>
    <w:rsid w:val="11404466"/>
    <w:rsid w:val="11837AA9"/>
    <w:rsid w:val="11963ADD"/>
    <w:rsid w:val="11EB0F5C"/>
    <w:rsid w:val="11F20483"/>
    <w:rsid w:val="12123C76"/>
    <w:rsid w:val="124F15C1"/>
    <w:rsid w:val="12831010"/>
    <w:rsid w:val="128C6BA8"/>
    <w:rsid w:val="129038DB"/>
    <w:rsid w:val="13441D7E"/>
    <w:rsid w:val="136F31F8"/>
    <w:rsid w:val="138750E0"/>
    <w:rsid w:val="1396506E"/>
    <w:rsid w:val="13D82A59"/>
    <w:rsid w:val="140E6961"/>
    <w:rsid w:val="15604228"/>
    <w:rsid w:val="15A620D3"/>
    <w:rsid w:val="16A3369E"/>
    <w:rsid w:val="17114A8B"/>
    <w:rsid w:val="176B77A7"/>
    <w:rsid w:val="177E593A"/>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A34935"/>
    <w:rsid w:val="1D207356"/>
    <w:rsid w:val="1D5A640E"/>
    <w:rsid w:val="1E9351E5"/>
    <w:rsid w:val="1F7640EC"/>
    <w:rsid w:val="20176B8B"/>
    <w:rsid w:val="20D30097"/>
    <w:rsid w:val="20D76C5F"/>
    <w:rsid w:val="20E55C2B"/>
    <w:rsid w:val="21057490"/>
    <w:rsid w:val="214A230E"/>
    <w:rsid w:val="21B052C4"/>
    <w:rsid w:val="22B43877"/>
    <w:rsid w:val="22CA430C"/>
    <w:rsid w:val="22DF2F05"/>
    <w:rsid w:val="22FF5445"/>
    <w:rsid w:val="23201E3D"/>
    <w:rsid w:val="2342170A"/>
    <w:rsid w:val="238D0E57"/>
    <w:rsid w:val="24256710"/>
    <w:rsid w:val="251E7983"/>
    <w:rsid w:val="258C470B"/>
    <w:rsid w:val="25FE2B31"/>
    <w:rsid w:val="260D5D83"/>
    <w:rsid w:val="260E1D77"/>
    <w:rsid w:val="277A77CA"/>
    <w:rsid w:val="28043432"/>
    <w:rsid w:val="284A2254"/>
    <w:rsid w:val="29165294"/>
    <w:rsid w:val="292F1467"/>
    <w:rsid w:val="29786927"/>
    <w:rsid w:val="297B51B4"/>
    <w:rsid w:val="29E40467"/>
    <w:rsid w:val="29F527E2"/>
    <w:rsid w:val="2A3F3D58"/>
    <w:rsid w:val="2A9A1E2C"/>
    <w:rsid w:val="2B964513"/>
    <w:rsid w:val="2BF35971"/>
    <w:rsid w:val="2C487650"/>
    <w:rsid w:val="2C5A7AC4"/>
    <w:rsid w:val="2E4F43C0"/>
    <w:rsid w:val="2EC7368E"/>
    <w:rsid w:val="2EDC05D9"/>
    <w:rsid w:val="2F240CAA"/>
    <w:rsid w:val="2F5137B6"/>
    <w:rsid w:val="2FF62815"/>
    <w:rsid w:val="30FB4B41"/>
    <w:rsid w:val="31621165"/>
    <w:rsid w:val="322E1E8E"/>
    <w:rsid w:val="323C5548"/>
    <w:rsid w:val="33235CE2"/>
    <w:rsid w:val="33F22F3B"/>
    <w:rsid w:val="359F2200"/>
    <w:rsid w:val="35A42962"/>
    <w:rsid w:val="36226708"/>
    <w:rsid w:val="36AD0EA9"/>
    <w:rsid w:val="36B63361"/>
    <w:rsid w:val="36FF783F"/>
    <w:rsid w:val="37450F88"/>
    <w:rsid w:val="375F1A7E"/>
    <w:rsid w:val="378B026E"/>
    <w:rsid w:val="37B47BE4"/>
    <w:rsid w:val="37D6106F"/>
    <w:rsid w:val="37F52D97"/>
    <w:rsid w:val="38241593"/>
    <w:rsid w:val="38856E40"/>
    <w:rsid w:val="38BE1DF3"/>
    <w:rsid w:val="38F862EB"/>
    <w:rsid w:val="39343807"/>
    <w:rsid w:val="39887BBC"/>
    <w:rsid w:val="3A0F7AD4"/>
    <w:rsid w:val="3A53023B"/>
    <w:rsid w:val="3AF42D2D"/>
    <w:rsid w:val="3B062751"/>
    <w:rsid w:val="3B3A041F"/>
    <w:rsid w:val="3BAE6BF9"/>
    <w:rsid w:val="3BEE0229"/>
    <w:rsid w:val="3C3568D7"/>
    <w:rsid w:val="3CCA47F2"/>
    <w:rsid w:val="3CDE0708"/>
    <w:rsid w:val="3D0F3559"/>
    <w:rsid w:val="3D33006A"/>
    <w:rsid w:val="3D3954D4"/>
    <w:rsid w:val="3D4A2BE6"/>
    <w:rsid w:val="3D5877DF"/>
    <w:rsid w:val="3DAE53BC"/>
    <w:rsid w:val="3DC55CAA"/>
    <w:rsid w:val="3DD556CA"/>
    <w:rsid w:val="3DFE271A"/>
    <w:rsid w:val="3E5F4AE1"/>
    <w:rsid w:val="3F450429"/>
    <w:rsid w:val="3FB6105E"/>
    <w:rsid w:val="3FBF3F86"/>
    <w:rsid w:val="3FF70715"/>
    <w:rsid w:val="3FFD550C"/>
    <w:rsid w:val="4021030A"/>
    <w:rsid w:val="40226C80"/>
    <w:rsid w:val="406311E6"/>
    <w:rsid w:val="40C451A5"/>
    <w:rsid w:val="40C671E5"/>
    <w:rsid w:val="41051ABE"/>
    <w:rsid w:val="410642B4"/>
    <w:rsid w:val="4156470B"/>
    <w:rsid w:val="41903012"/>
    <w:rsid w:val="41943ACE"/>
    <w:rsid w:val="42130AD4"/>
    <w:rsid w:val="42521D88"/>
    <w:rsid w:val="425D4066"/>
    <w:rsid w:val="430118BA"/>
    <w:rsid w:val="43173FD4"/>
    <w:rsid w:val="43B27D8E"/>
    <w:rsid w:val="44143822"/>
    <w:rsid w:val="44654A12"/>
    <w:rsid w:val="44E421C9"/>
    <w:rsid w:val="45320384"/>
    <w:rsid w:val="457C5F26"/>
    <w:rsid w:val="4716830A"/>
    <w:rsid w:val="47BF53CA"/>
    <w:rsid w:val="48B126BB"/>
    <w:rsid w:val="49CF255F"/>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F5D15A2"/>
    <w:rsid w:val="4FCB46B2"/>
    <w:rsid w:val="4FFE57BD"/>
    <w:rsid w:val="50AC44C4"/>
    <w:rsid w:val="50EA6DB9"/>
    <w:rsid w:val="5123702C"/>
    <w:rsid w:val="51453FF0"/>
    <w:rsid w:val="515661FD"/>
    <w:rsid w:val="51714DE5"/>
    <w:rsid w:val="51CA7471"/>
    <w:rsid w:val="521C2FA3"/>
    <w:rsid w:val="522529B2"/>
    <w:rsid w:val="524806C4"/>
    <w:rsid w:val="5301082D"/>
    <w:rsid w:val="5387476B"/>
    <w:rsid w:val="53910AF4"/>
    <w:rsid w:val="53FBDA3F"/>
    <w:rsid w:val="544F4586"/>
    <w:rsid w:val="54F63F7F"/>
    <w:rsid w:val="555952B3"/>
    <w:rsid w:val="555E65E4"/>
    <w:rsid w:val="556B5A36"/>
    <w:rsid w:val="5599697B"/>
    <w:rsid w:val="55AF40BB"/>
    <w:rsid w:val="55E65FDC"/>
    <w:rsid w:val="5613734A"/>
    <w:rsid w:val="562D7E5B"/>
    <w:rsid w:val="564F3D12"/>
    <w:rsid w:val="56982E14"/>
    <w:rsid w:val="56F72F7C"/>
    <w:rsid w:val="5717642E"/>
    <w:rsid w:val="57946554"/>
    <w:rsid w:val="57D80A00"/>
    <w:rsid w:val="586243BF"/>
    <w:rsid w:val="58FD3402"/>
    <w:rsid w:val="5968027A"/>
    <w:rsid w:val="5A0D7158"/>
    <w:rsid w:val="5AAF7799"/>
    <w:rsid w:val="5AB04BD0"/>
    <w:rsid w:val="5B5C1753"/>
    <w:rsid w:val="5BE211F7"/>
    <w:rsid w:val="5BF510BE"/>
    <w:rsid w:val="5C6C4B26"/>
    <w:rsid w:val="5D03DFF6"/>
    <w:rsid w:val="5D9C3D56"/>
    <w:rsid w:val="5DD775C7"/>
    <w:rsid w:val="5E134100"/>
    <w:rsid w:val="5F7A1C50"/>
    <w:rsid w:val="5FC69000"/>
    <w:rsid w:val="601C4AB5"/>
    <w:rsid w:val="604F2F3E"/>
    <w:rsid w:val="60BE691E"/>
    <w:rsid w:val="60F838FC"/>
    <w:rsid w:val="61444403"/>
    <w:rsid w:val="62265BDF"/>
    <w:rsid w:val="62E1699A"/>
    <w:rsid w:val="62FBC294"/>
    <w:rsid w:val="63123C13"/>
    <w:rsid w:val="63124597"/>
    <w:rsid w:val="637D5875"/>
    <w:rsid w:val="64147F0D"/>
    <w:rsid w:val="648036CB"/>
    <w:rsid w:val="64B713E7"/>
    <w:rsid w:val="64D6636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CE47E41"/>
    <w:rsid w:val="6CED5810"/>
    <w:rsid w:val="6CF92413"/>
    <w:rsid w:val="6DFE5E04"/>
    <w:rsid w:val="6E0D1F7B"/>
    <w:rsid w:val="6E796921"/>
    <w:rsid w:val="6E87203D"/>
    <w:rsid w:val="6F9278BB"/>
    <w:rsid w:val="6FB7D4E3"/>
    <w:rsid w:val="6FBE0EF0"/>
    <w:rsid w:val="6FFF1C22"/>
    <w:rsid w:val="70653487"/>
    <w:rsid w:val="70EC5DDE"/>
    <w:rsid w:val="71572F19"/>
    <w:rsid w:val="719B7427"/>
    <w:rsid w:val="71D13952"/>
    <w:rsid w:val="71E33685"/>
    <w:rsid w:val="71F326B3"/>
    <w:rsid w:val="724A6793"/>
    <w:rsid w:val="72647B59"/>
    <w:rsid w:val="7372FC32"/>
    <w:rsid w:val="73A56E44"/>
    <w:rsid w:val="73B12A87"/>
    <w:rsid w:val="741F26FA"/>
    <w:rsid w:val="74470DF8"/>
    <w:rsid w:val="744E1D52"/>
    <w:rsid w:val="74BD60BB"/>
    <w:rsid w:val="74CF0052"/>
    <w:rsid w:val="74FA3C0D"/>
    <w:rsid w:val="751D6EAE"/>
    <w:rsid w:val="75FD1676"/>
    <w:rsid w:val="7687113B"/>
    <w:rsid w:val="76C3247D"/>
    <w:rsid w:val="76EFC8B0"/>
    <w:rsid w:val="776ACBF9"/>
    <w:rsid w:val="77FF7A21"/>
    <w:rsid w:val="7951325E"/>
    <w:rsid w:val="799536BA"/>
    <w:rsid w:val="7B170752"/>
    <w:rsid w:val="7B382425"/>
    <w:rsid w:val="7B8F681B"/>
    <w:rsid w:val="7BC55225"/>
    <w:rsid w:val="7BFF9B5C"/>
    <w:rsid w:val="7C3B673F"/>
    <w:rsid w:val="7CED5089"/>
    <w:rsid w:val="7D8636B9"/>
    <w:rsid w:val="7D9348E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nhideWhenUsed="0" w:uiPriority="0" w:semiHidden="0" w:name="heading 2" w:locked="1"/>
    <w:lsdException w:qFormat="1" w:unhideWhenUsed="0" w:uiPriority="0" w:semiHidden="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nhideWhenUsed="0" w:uiPriority="0" w:semiHidden="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nhideWhenUsed="0" w:uiPriority="99" w:name="Default Paragraph Font"/>
    <w:lsdException w:qFormat="1" w:unhideWhenUsed="0" w:uiPriority="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autoRedefine/>
    <w:qFormat/>
    <w:locked/>
    <w:uiPriority w:val="0"/>
    <w:pPr>
      <w:keepNext/>
      <w:keepLines/>
      <w:outlineLvl w:val="0"/>
    </w:pPr>
    <w:rPr>
      <w:rFonts w:eastAsia="黑体"/>
      <w:bCs/>
      <w:kern w:val="44"/>
      <w:szCs w:val="44"/>
    </w:rPr>
  </w:style>
  <w:style w:type="paragraph" w:styleId="3">
    <w:name w:val="heading 2"/>
    <w:next w:val="1"/>
    <w:qFormat/>
    <w:locked/>
    <w:uiPriority w:val="0"/>
    <w:pPr>
      <w:widowControl w:val="0"/>
      <w:adjustRightInd w:val="0"/>
      <w:snapToGrid w:val="0"/>
      <w:spacing w:line="579" w:lineRule="atLeast"/>
      <w:ind w:firstLine="200" w:firstLineChars="200"/>
      <w:jc w:val="both"/>
      <w:outlineLvl w:val="1"/>
    </w:pPr>
    <w:rPr>
      <w:rFonts w:ascii="Times New Roman" w:hAnsi="Times New Roman" w:eastAsia="黑体" w:cs="Times New Roman"/>
      <w:bCs/>
      <w:kern w:val="2"/>
      <w:sz w:val="32"/>
      <w:szCs w:val="32"/>
      <w:lang w:val="en-US" w:eastAsia="zh-CN" w:bidi="ar-SA"/>
    </w:rPr>
  </w:style>
  <w:style w:type="paragraph" w:styleId="4">
    <w:name w:val="heading 3"/>
    <w:next w:val="1"/>
    <w:link w:val="23"/>
    <w:qFormat/>
    <w:locked/>
    <w:uiPriority w:val="0"/>
    <w:pPr>
      <w:widowControl w:val="0"/>
      <w:adjustRightInd w:val="0"/>
      <w:snapToGrid w:val="0"/>
      <w:spacing w:line="579" w:lineRule="atLeast"/>
      <w:ind w:firstLine="200" w:firstLineChars="200"/>
      <w:jc w:val="both"/>
      <w:outlineLvl w:val="2"/>
    </w:pPr>
    <w:rPr>
      <w:rFonts w:ascii="Times New Roman" w:hAnsi="Times New Roman" w:eastAsia="楷体_GB2312" w:cs="Times New Roman"/>
      <w:b/>
      <w:bCs/>
      <w:kern w:val="2"/>
      <w:sz w:val="32"/>
      <w:szCs w:val="32"/>
      <w:lang w:val="en-US" w:eastAsia="zh-CN" w:bidi="ar-SA"/>
    </w:rPr>
  </w:style>
  <w:style w:type="character" w:default="1" w:styleId="14">
    <w:name w:val="Default Paragraph Font"/>
    <w:autoRedefine/>
    <w:semiHidden/>
    <w:qFormat/>
    <w:uiPriority w:val="99"/>
  </w:style>
  <w:style w:type="table" w:default="1" w:styleId="12">
    <w:name w:val="Normal Table"/>
    <w:autoRedefin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eastAsia="Times New Roman" w:cs="Times New Roman"/>
      <w:sz w:val="20"/>
      <w:szCs w:val="20"/>
    </w:rPr>
    <w:tblPr>
      <w:tblCellMar>
        <w:top w:w="0" w:type="dxa"/>
        <w:left w:w="108" w:type="dxa"/>
        <w:bottom w:w="0" w:type="dxa"/>
        <w:right w:w="108" w:type="dxa"/>
      </w:tblCellMar>
    </w:tblPr>
  </w:style>
  <w:style w:type="paragraph" w:styleId="5">
    <w:name w:val="Body Text"/>
    <w:basedOn w:val="1"/>
    <w:autoRedefine/>
    <w:semiHidden/>
    <w:qFormat/>
    <w:uiPriority w:val="0"/>
    <w:rPr>
      <w:rFonts w:ascii="仿宋" w:hAnsi="仿宋" w:eastAsia="仿宋" w:cs="仿宋"/>
      <w:sz w:val="31"/>
      <w:szCs w:val="31"/>
      <w:lang w:val="en-US" w:eastAsia="en-US" w:bidi="ar-SA"/>
    </w:rPr>
  </w:style>
  <w:style w:type="paragraph" w:styleId="6">
    <w:name w:val="Body Text Indent"/>
    <w:qFormat/>
    <w:uiPriority w:val="0"/>
    <w:pPr>
      <w:widowControl w:val="0"/>
      <w:adjustRightInd w:val="0"/>
      <w:snapToGrid w:val="0"/>
      <w:spacing w:line="579" w:lineRule="atLeast"/>
      <w:ind w:left="420" w:leftChars="200" w:firstLine="200" w:firstLineChars="200"/>
      <w:jc w:val="both"/>
    </w:pPr>
    <w:rPr>
      <w:rFonts w:ascii="Times New Roman" w:hAnsi="Times New Roman" w:eastAsia="仿宋_GB2312" w:cs="Times New Roman"/>
      <w:kern w:val="2"/>
      <w:sz w:val="32"/>
      <w:szCs w:val="24"/>
      <w:lang w:val="en-US" w:eastAsia="zh-CN" w:bidi="ar-SA"/>
    </w:rPr>
  </w:style>
  <w:style w:type="paragraph" w:styleId="7">
    <w:name w:val="footer"/>
    <w:basedOn w:val="1"/>
    <w:link w:val="16"/>
    <w:autoRedefine/>
    <w:qFormat/>
    <w:uiPriority w:val="99"/>
    <w:pPr>
      <w:tabs>
        <w:tab w:val="center" w:pos="4153"/>
        <w:tab w:val="right" w:pos="8306"/>
      </w:tabs>
      <w:snapToGrid w:val="0"/>
      <w:jc w:val="left"/>
    </w:pPr>
    <w:rPr>
      <w:sz w:val="18"/>
      <w:szCs w:val="18"/>
    </w:rPr>
  </w:style>
  <w:style w:type="paragraph" w:styleId="8">
    <w:name w:val="header"/>
    <w:basedOn w:val="1"/>
    <w:link w:val="17"/>
    <w:autoRedefine/>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9">
    <w:name w:val="footnote text"/>
    <w:basedOn w:val="1"/>
    <w:next w:val="1"/>
    <w:autoRedefine/>
    <w:qFormat/>
    <w:uiPriority w:val="0"/>
    <w:pPr>
      <w:snapToGrid w:val="0"/>
      <w:jc w:val="left"/>
    </w:pPr>
    <w:rPr>
      <w:sz w:val="18"/>
      <w:szCs w:val="18"/>
    </w:rPr>
  </w:style>
  <w:style w:type="paragraph" w:styleId="10">
    <w:name w:val="Normal (Web)"/>
    <w:qFormat/>
    <w:uiPriority w:val="0"/>
    <w:pPr>
      <w:widowControl w:val="0"/>
      <w:adjustRightInd w:val="0"/>
      <w:snapToGrid w:val="0"/>
      <w:spacing w:before="100" w:beforeAutospacing="1" w:after="100" w:afterAutospacing="1" w:line="579" w:lineRule="atLeast"/>
      <w:ind w:left="0" w:right="0" w:firstLine="200" w:firstLineChars="200"/>
      <w:jc w:val="left"/>
    </w:pPr>
    <w:rPr>
      <w:rFonts w:ascii="Times New Roman" w:hAnsi="Times New Roman" w:eastAsia="仿宋_GB2312" w:cs="Times New Roman"/>
      <w:kern w:val="0"/>
      <w:sz w:val="24"/>
      <w:szCs w:val="24"/>
      <w:lang w:val="en-US" w:eastAsia="zh-CN" w:bidi="ar"/>
    </w:rPr>
  </w:style>
  <w:style w:type="paragraph" w:styleId="11">
    <w:name w:val="Body Text First Indent 2"/>
    <w:qFormat/>
    <w:uiPriority w:val="0"/>
    <w:pPr>
      <w:widowControl w:val="0"/>
      <w:adjustRightInd w:val="0"/>
      <w:snapToGrid w:val="0"/>
      <w:spacing w:line="579" w:lineRule="atLeast"/>
      <w:ind w:left="420" w:leftChars="200" w:firstLine="420" w:firstLineChars="200"/>
      <w:jc w:val="both"/>
    </w:pPr>
    <w:rPr>
      <w:rFonts w:ascii="Times New Roman" w:hAnsi="Times New Roman" w:eastAsia="仿宋_GB2312" w:cs="Times New Roman"/>
      <w:kern w:val="2"/>
      <w:sz w:val="32"/>
      <w:szCs w:val="24"/>
      <w:lang w:val="en-US" w:eastAsia="zh-CN" w:bidi="ar-SA"/>
    </w:rPr>
  </w:style>
  <w:style w:type="table" w:styleId="13">
    <w:name w:val="Table Grid"/>
    <w:basedOn w:val="12"/>
    <w:autoRedefine/>
    <w:qFormat/>
    <w:uiPriority w:val="99"/>
    <w:pPr>
      <w:widowControl w:val="0"/>
      <w:jc w:val="both"/>
    </w:pPr>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5">
    <w:name w:val="page number"/>
    <w:basedOn w:val="14"/>
    <w:autoRedefine/>
    <w:qFormat/>
    <w:uiPriority w:val="99"/>
    <w:rPr>
      <w:rFonts w:cs="Times New Roman"/>
    </w:rPr>
  </w:style>
  <w:style w:type="character" w:customStyle="1" w:styleId="16">
    <w:name w:val="Footer Char"/>
    <w:basedOn w:val="14"/>
    <w:link w:val="7"/>
    <w:autoRedefine/>
    <w:semiHidden/>
    <w:qFormat/>
    <w:uiPriority w:val="99"/>
    <w:rPr>
      <w:sz w:val="18"/>
      <w:szCs w:val="18"/>
    </w:rPr>
  </w:style>
  <w:style w:type="character" w:customStyle="1" w:styleId="17">
    <w:name w:val="Header Char"/>
    <w:basedOn w:val="14"/>
    <w:link w:val="8"/>
    <w:autoRedefine/>
    <w:semiHidden/>
    <w:qFormat/>
    <w:uiPriority w:val="99"/>
    <w:rPr>
      <w:sz w:val="18"/>
      <w:szCs w:val="18"/>
    </w:rPr>
  </w:style>
  <w:style w:type="paragraph" w:styleId="18">
    <w:name w:val="List Paragraph"/>
    <w:basedOn w:val="1"/>
    <w:autoRedefine/>
    <w:qFormat/>
    <w:uiPriority w:val="99"/>
    <w:pPr>
      <w:ind w:firstLine="420" w:firstLineChars="200"/>
    </w:pPr>
    <w:rPr>
      <w:rFonts w:ascii="Calibri" w:hAnsi="Calibri"/>
      <w:szCs w:val="22"/>
    </w:rPr>
  </w:style>
  <w:style w:type="table" w:customStyle="1" w:styleId="19">
    <w:name w:val="Table Normal"/>
    <w:autoRedefine/>
    <w:semiHidden/>
    <w:unhideWhenUsed/>
    <w:qFormat/>
    <w:uiPriority w:val="0"/>
    <w:tblPr>
      <w:tblCellMar>
        <w:top w:w="0" w:type="dxa"/>
        <w:left w:w="0" w:type="dxa"/>
        <w:bottom w:w="0" w:type="dxa"/>
        <w:right w:w="0" w:type="dxa"/>
      </w:tblCellMar>
    </w:tblPr>
  </w:style>
  <w:style w:type="paragraph" w:customStyle="1" w:styleId="20">
    <w:name w:val="Table Text"/>
    <w:basedOn w:val="1"/>
    <w:autoRedefine/>
    <w:semiHidden/>
    <w:qFormat/>
    <w:uiPriority w:val="0"/>
    <w:rPr>
      <w:rFonts w:ascii="Arial" w:hAnsi="Arial" w:eastAsia="Arial" w:cs="Arial"/>
      <w:sz w:val="21"/>
      <w:szCs w:val="21"/>
      <w:lang w:val="en-US" w:eastAsia="en-US" w:bidi="ar-SA"/>
    </w:rPr>
  </w:style>
  <w:style w:type="paragraph" w:customStyle="1" w:styleId="21">
    <w:name w:val="_Style 1"/>
    <w:qFormat/>
    <w:uiPriority w:val="0"/>
    <w:pPr>
      <w:widowControl w:val="0"/>
      <w:jc w:val="both"/>
    </w:pPr>
    <w:rPr>
      <w:rFonts w:ascii="Times New Roman" w:hAnsi="Times New Roman" w:eastAsia="宋体" w:cs="Times New Roman"/>
      <w:kern w:val="2"/>
      <w:sz w:val="21"/>
      <w:szCs w:val="21"/>
      <w:lang w:val="en-US" w:eastAsia="zh-CN" w:bidi="ar-SA"/>
    </w:rPr>
  </w:style>
  <w:style w:type="paragraph" w:customStyle="1" w:styleId="22">
    <w:name w:val="A正文"/>
    <w:qFormat/>
    <w:uiPriority w:val="0"/>
    <w:pPr>
      <w:widowControl w:val="0"/>
      <w:ind w:firstLine="200" w:firstLineChars="200"/>
      <w:jc w:val="both"/>
    </w:pPr>
    <w:rPr>
      <w:rFonts w:ascii="Calibri" w:hAnsi="Calibri" w:eastAsia="宋体" w:cs="Times New Roman"/>
      <w:kern w:val="2"/>
      <w:sz w:val="21"/>
      <w:szCs w:val="24"/>
      <w:lang w:val="en-US" w:eastAsia="zh-CN" w:bidi="ar-SA"/>
    </w:rPr>
  </w:style>
  <w:style w:type="character" w:customStyle="1" w:styleId="23">
    <w:name w:val="标题 3 Char"/>
    <w:link w:val="4"/>
    <w:uiPriority w:val="0"/>
    <w:rPr>
      <w:rFonts w:ascii="Times New Roman" w:hAnsi="Times New Roman" w:eastAsia="楷体_GB2312" w:cs="Times New Roman"/>
      <w:b/>
      <w:bCs/>
      <w:kern w:val="2"/>
      <w:sz w:val="32"/>
      <w:szCs w:val="3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7.xml"/><Relationship Id="rId8" Type="http://schemas.openxmlformats.org/officeDocument/2006/relationships/footer" Target="footer6.xml"/><Relationship Id="rId7" Type="http://schemas.openxmlformats.org/officeDocument/2006/relationships/footer" Target="footer5.xml"/><Relationship Id="rId6" Type="http://schemas.openxmlformats.org/officeDocument/2006/relationships/footer" Target="footer4.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theme" Target="theme/theme1.xml"/><Relationship Id="rId13" Type="http://schemas.openxmlformats.org/officeDocument/2006/relationships/footer" Target="footer11.xml"/><Relationship Id="rId12" Type="http://schemas.openxmlformats.org/officeDocument/2006/relationships/footer" Target="footer10.xml"/><Relationship Id="rId11" Type="http://schemas.openxmlformats.org/officeDocument/2006/relationships/footer" Target="footer9.xml"/><Relationship Id="rId10" Type="http://schemas.openxmlformats.org/officeDocument/2006/relationships/footer" Target="footer8.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8" Type="http://schemas.openxmlformats.org/officeDocument/2006/relationships/font" Target="fonts/font18.odttf"/><Relationship Id="rId17" Type="http://schemas.openxmlformats.org/officeDocument/2006/relationships/font" Target="fonts/font17.odttf"/><Relationship Id="rId16" Type="http://schemas.openxmlformats.org/officeDocument/2006/relationships/font" Target="fonts/font16.odttf"/><Relationship Id="rId15" Type="http://schemas.openxmlformats.org/officeDocument/2006/relationships/font" Target="fonts/font15.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Normal_Wordconv</Template>
  <Pages>81</Pages>
  <Words>29116</Words>
  <Characters>31706</Characters>
  <Lines>0</Lines>
  <Paragraphs>0</Paragraphs>
  <TotalTime>2</TotalTime>
  <ScaleCrop>false</ScaleCrop>
  <LinksUpToDate>false</LinksUpToDate>
  <CharactersWithSpaces>32463</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2020-06-06T01:07:00Z</dcterms:created>
  <dc:creator>Administrator</dc:creator>
  <cp:lastModifiedBy>青椒炒肉丝</cp:lastModifiedBy>
  <cp:lastPrinted>2024-05-20T07:59:00Z</cp:lastPrinted>
  <dcterms:modified xsi:type="dcterms:W3CDTF">2024-05-29T02:32:44Z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KSOSaveFontToCloudKey">
    <vt:lpwstr>386772509_embed</vt:lpwstr>
  </property>
  <property fmtid="{D5CDD505-2E9C-101B-9397-08002B2CF9AE}" pid="4" name="ICV">
    <vt:lpwstr>3577D40502E240AA9D7DD3E13860FB4C_13</vt:lpwstr>
  </property>
</Properties>
</file>