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6" w:lineRule="exact"/>
      </w:pPr>
    </w:p>
    <w:p>
      <w:pPr>
        <w:rPr>
          <w:rFonts w:hint="eastAsia" w:ascii="黑体" w:hAnsi="黑体" w:eastAsia="黑体" w:cs="黑体"/>
          <w:spacing w:val="-4"/>
          <w:sz w:val="31"/>
          <w:szCs w:val="31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2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ind w:left="0"/>
        <w:textAlignment w:val="auto"/>
        <w:rPr>
          <w:rFonts w:hint="eastAsia" w:ascii="黑体" w:hAnsi="黑体" w:eastAsia="黑体" w:cs="黑体"/>
          <w:spacing w:val="-4"/>
          <w:sz w:val="31"/>
          <w:szCs w:val="31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0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0"/>
          <w:sz w:val="44"/>
          <w:szCs w:val="44"/>
        </w:rPr>
        <w:t>2023年度部门整体支出绩效评价基础数据表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textAlignment w:val="auto"/>
      </w:pPr>
    </w:p>
    <w:tbl>
      <w:tblPr>
        <w:tblStyle w:val="17"/>
        <w:tblW w:w="9277" w:type="dxa"/>
        <w:jc w:val="center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419"/>
        <w:gridCol w:w="964"/>
        <w:gridCol w:w="965"/>
        <w:gridCol w:w="1"/>
        <w:gridCol w:w="985"/>
        <w:gridCol w:w="986"/>
        <w:gridCol w:w="978"/>
        <w:gridCol w:w="979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39" w:hRule="atLeast"/>
          <w:jc w:val="center"/>
        </w:trPr>
        <w:tc>
          <w:tcPr>
            <w:tcW w:w="3419" w:type="dxa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财政供养人员情况（人）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编制数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2023年实际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在职人数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控制率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121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140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经费控制情况（万元）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2022年决算数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2023年预算数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2023年决算数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三公经费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：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1.73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2.9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0.97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1、公务用车购置和维护经费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1.67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1.9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其中：公车购置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1459" w:firstLineChars="695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公车运行维护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1.67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1.9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2、出国经费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3、公务接待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0.06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0.97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项目支出：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20723.39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351.5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17776.05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858" w:firstLineChars="409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公用经费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328.17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361.09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361.09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其中：办公经费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630" w:firstLineChars="3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36.2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24.9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24.9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1478" w:firstLineChars="704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水费、电费、差旅费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32.92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35.53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35.53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1478" w:firstLineChars="704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会议费、培训费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6.72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8.15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8.15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政府采购金额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——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部门基本支出预算调整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——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" w:hRule="atLeast"/>
          <w:jc w:val="center"/>
        </w:trPr>
        <w:tc>
          <w:tcPr>
            <w:tcW w:w="3419" w:type="dxa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楼堂馆所控制情况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（2023年完工项目）</w:t>
            </w:r>
          </w:p>
        </w:tc>
        <w:tc>
          <w:tcPr>
            <w:tcW w:w="9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批复规模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（㎡）</w:t>
            </w:r>
          </w:p>
        </w:tc>
        <w:tc>
          <w:tcPr>
            <w:tcW w:w="96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实际规模（㎡）</w:t>
            </w:r>
          </w:p>
        </w:tc>
        <w:tc>
          <w:tcPr>
            <w:tcW w:w="986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规模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控制率</w:t>
            </w:r>
          </w:p>
        </w:tc>
        <w:tc>
          <w:tcPr>
            <w:tcW w:w="98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预算投资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（万元）</w:t>
            </w:r>
          </w:p>
        </w:tc>
        <w:tc>
          <w:tcPr>
            <w:tcW w:w="97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实际投资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（万元）</w:t>
            </w:r>
          </w:p>
        </w:tc>
        <w:tc>
          <w:tcPr>
            <w:tcW w:w="97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投资概算控制率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96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986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98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97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97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0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厉行节约保障措施</w:t>
            </w:r>
          </w:p>
        </w:tc>
        <w:tc>
          <w:tcPr>
            <w:tcW w:w="5858" w:type="dxa"/>
            <w:gridSpan w:val="7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仿宋_GB2312" w:hAnsi="仿宋_GB2312" w:eastAsia="仿宋_GB2312" w:cs="仿宋_GB2312"/>
                <w:bCs/>
                <w:sz w:val="28"/>
                <w:szCs w:val="28"/>
              </w:rPr>
              <w:t>严格</w:t>
            </w:r>
            <w:r>
              <w:rPr>
                <w:rFonts w:hint="eastAsia" w:ascii="仿宋_GB2312" w:hAnsi="仿宋_GB2312" w:eastAsia="仿宋_GB2312" w:cs="仿宋_GB2312"/>
                <w:bCs/>
                <w:sz w:val="28"/>
                <w:szCs w:val="28"/>
                <w:lang w:eastAsia="zh-CN"/>
              </w:rPr>
              <w:t>按预算执行，严格</w:t>
            </w:r>
            <w:r>
              <w:rPr>
                <w:rFonts w:hint="eastAsia" w:ascii="仿宋_GB2312" w:hAnsi="仿宋_GB2312" w:eastAsia="仿宋_GB2312" w:cs="仿宋_GB2312"/>
                <w:bCs/>
                <w:sz w:val="28"/>
                <w:szCs w:val="28"/>
              </w:rPr>
              <w:t>控制“三公经费”支出</w:t>
            </w:r>
          </w:p>
        </w:tc>
      </w:tr>
    </w:tbl>
    <w:p>
      <w:pPr>
        <w:rPr>
          <w:rFonts w:hint="eastAsia"/>
          <w:lang w:eastAsia="zh-CN"/>
        </w:rPr>
      </w:pPr>
      <w:r>
        <w:rPr>
          <w:rFonts w:hint="eastAsia"/>
        </w:rPr>
        <w:t>说明：“项目支出” 需要填报基本支出以外的所有项目支出情况，“公用经费”填报基本支出</w:t>
      </w:r>
      <w:r>
        <w:rPr>
          <w:rFonts w:hint="eastAsia"/>
          <w:lang w:eastAsia="zh-CN"/>
        </w:rPr>
        <w:t>中的一般商品和服务支出。</w:t>
      </w:r>
    </w:p>
    <w:p>
      <w:pPr>
        <w:pStyle w:val="8"/>
        <w:rPr>
          <w:rFonts w:hint="eastAsia"/>
          <w:lang w:eastAsia="zh-CN"/>
        </w:rPr>
      </w:pPr>
      <w:bookmarkStart w:id="0" w:name="_GoBack"/>
      <w:bookmarkEnd w:id="0"/>
    </w:p>
    <w:p>
      <w:pPr>
        <w:rPr>
          <w:rFonts w:hint="eastAsia"/>
          <w:lang w:eastAsia="zh-CN"/>
        </w:rPr>
      </w:pPr>
    </w:p>
    <w:p>
      <w:r>
        <w:rPr>
          <w:rFonts w:hint="eastAsia"/>
        </w:rPr>
        <w:t>填表人：        填报日期：       联系电话：          单位负责人签字：</w:t>
      </w:r>
    </w:p>
    <w:p>
      <w:pPr>
        <w:rPr>
          <w:spacing w:val="-13"/>
          <w:sz w:val="22"/>
          <w:szCs w:val="22"/>
        </w:rPr>
      </w:pPr>
      <w:r>
        <w:rPr>
          <w:spacing w:val="-13"/>
          <w:sz w:val="22"/>
          <w:szCs w:val="22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default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3</w:t>
      </w:r>
    </w:p>
    <w:p>
      <w:pPr>
        <w:spacing w:line="251" w:lineRule="auto"/>
        <w:rPr>
          <w:rFonts w:ascii="Arial"/>
          <w:sz w:val="21"/>
        </w:rPr>
      </w:pPr>
    </w:p>
    <w:p>
      <w:pPr>
        <w:spacing w:line="251" w:lineRule="auto"/>
        <w:rPr>
          <w:rFonts w:ascii="Arial"/>
          <w:sz w:val="21"/>
        </w:rPr>
      </w:pPr>
    </w:p>
    <w:p>
      <w:pPr>
        <w:rPr>
          <w:rFonts w:ascii="Arial"/>
          <w:sz w:val="21"/>
        </w:rPr>
      </w:pPr>
    </w:p>
    <w:p>
      <w:pPr>
        <w:pStyle w:val="8"/>
      </w:pPr>
    </w:p>
    <w:p/>
    <w:p>
      <w:pPr>
        <w:spacing w:before="223" w:line="218" w:lineRule="auto"/>
        <w:ind w:firstLine="518" w:firstLineChars="100"/>
        <w:jc w:val="center"/>
        <w:rPr>
          <w:rFonts w:hint="eastAsia" w:ascii="黑体" w:hAnsi="黑体" w:eastAsia="黑体" w:cs="黑体"/>
          <w:spacing w:val="-1"/>
          <w:sz w:val="52"/>
          <w:szCs w:val="52"/>
          <w:lang w:eastAsia="zh-CN"/>
        </w:rPr>
      </w:pPr>
      <w:r>
        <w:rPr>
          <w:rFonts w:hint="eastAsia" w:ascii="黑体" w:hAnsi="黑体" w:eastAsia="黑体" w:cs="黑体"/>
          <w:spacing w:val="-1"/>
          <w:sz w:val="52"/>
          <w:szCs w:val="52"/>
        </w:rPr>
        <w:t>2023年度</w:t>
      </w:r>
      <w:r>
        <w:rPr>
          <w:rFonts w:hint="eastAsia" w:ascii="黑体" w:hAnsi="黑体" w:eastAsia="黑体" w:cs="黑体"/>
          <w:spacing w:val="-1"/>
          <w:sz w:val="52"/>
          <w:szCs w:val="52"/>
          <w:lang w:eastAsia="zh-CN"/>
        </w:rPr>
        <w:t>华容县住房和城乡建设局</w:t>
      </w:r>
    </w:p>
    <w:p>
      <w:pPr>
        <w:spacing w:before="223" w:line="218" w:lineRule="auto"/>
        <w:ind w:firstLine="1554" w:firstLineChars="300"/>
        <w:jc w:val="both"/>
        <w:rPr>
          <w:rFonts w:hint="eastAsia" w:ascii="黑体" w:hAnsi="黑体" w:eastAsia="黑体" w:cs="黑体"/>
          <w:sz w:val="52"/>
          <w:szCs w:val="52"/>
        </w:rPr>
      </w:pPr>
      <w:r>
        <w:rPr>
          <w:rFonts w:hint="eastAsia" w:ascii="黑体" w:hAnsi="黑体" w:eastAsia="黑体" w:cs="黑体"/>
          <w:spacing w:val="-1"/>
          <w:sz w:val="52"/>
          <w:szCs w:val="52"/>
        </w:rPr>
        <w:t>部门整体支出</w:t>
      </w:r>
      <w:r>
        <w:rPr>
          <w:rFonts w:hint="eastAsia" w:ascii="黑体" w:hAnsi="黑体" w:eastAsia="黑体" w:cs="黑体"/>
          <w:spacing w:val="-3"/>
          <w:sz w:val="52"/>
          <w:szCs w:val="52"/>
        </w:rPr>
        <w:t>绩效自评报告</w:t>
      </w: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pStyle w:val="8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4" w:lineRule="auto"/>
        <w:rPr>
          <w:rFonts w:ascii="Arial"/>
          <w:sz w:val="21"/>
        </w:rPr>
      </w:pPr>
    </w:p>
    <w:p>
      <w:pPr>
        <w:spacing w:line="244" w:lineRule="auto"/>
        <w:rPr>
          <w:rFonts w:ascii="Arial"/>
          <w:sz w:val="21"/>
        </w:rPr>
      </w:pPr>
    </w:p>
    <w:p>
      <w:pPr>
        <w:pStyle w:val="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line="221" w:lineRule="auto"/>
        <w:ind w:firstLine="60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10"/>
          <w:sz w:val="32"/>
          <w:szCs w:val="32"/>
        </w:rPr>
        <w:t>部门（单位）名称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  <w:u w:val="single" w:color="auto"/>
          <w:lang w:val="en-US" w:eastAsia="zh-CN"/>
        </w:rPr>
        <w:t>(</w:t>
      </w:r>
      <w:r>
        <w:rPr>
          <w:rFonts w:hint="eastAsia" w:ascii="仿宋_GB2312" w:hAnsi="仿宋_GB2312" w:eastAsia="仿宋_GB2312" w:cs="仿宋_GB2312"/>
          <w:spacing w:val="-118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75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10"/>
          <w:sz w:val="32"/>
          <w:szCs w:val="32"/>
          <w:u w:val="single" w:color="auto"/>
        </w:rPr>
        <w:t>盖章）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  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  <w:lang w:val="en-US" w:eastAsia="zh-CN"/>
        </w:rPr>
        <w:t xml:space="preserve">  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</w:t>
      </w:r>
    </w:p>
    <w:p>
      <w:pPr>
        <w:spacing w:before="228" w:line="222" w:lineRule="auto"/>
        <w:ind w:firstLine="4560" w:firstLineChars="15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8"/>
          <w:sz w:val="32"/>
          <w:szCs w:val="32"/>
          <w:lang w:val="en-US" w:eastAsia="zh-CN"/>
        </w:rPr>
        <w:t>2024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年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月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  <w:lang w:val="en-US" w:eastAsia="zh-CN"/>
        </w:rPr>
        <w:t>30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日</w:t>
      </w:r>
    </w:p>
    <w:p>
      <w:pPr>
        <w:spacing w:line="335" w:lineRule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pStyle w:val="5"/>
        <w:spacing w:before="102" w:line="224" w:lineRule="auto"/>
        <w:ind w:left="3216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8"/>
          <w:sz w:val="32"/>
          <w:szCs w:val="32"/>
        </w:rPr>
        <w:t>（此页为封面）</w:t>
      </w:r>
    </w:p>
    <w:p>
      <w:r>
        <w:br w:type="page"/>
      </w:r>
    </w:p>
    <w:p>
      <w:pPr>
        <w:pStyle w:val="8"/>
        <w:sectPr>
          <w:footerReference r:id="rId3" w:type="default"/>
          <w:pgSz w:w="11905" w:h="16838"/>
          <w:pgMar w:top="1984" w:right="1701" w:bottom="1984" w:left="1701" w:header="850" w:footer="1587" w:gutter="0"/>
          <w:pgNumType w:fmt="numberInDash" w:start="7"/>
          <w:cols w:space="0" w:num="1"/>
          <w:rtlGutter w:val="0"/>
          <w:docGrid w:type="lines" w:linePitch="314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</w:pPr>
    </w:p>
    <w:p>
      <w:pPr>
        <w:pStyle w:val="8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黑体" w:hAnsi="黑体" w:eastAsia="黑体" w:cs="黑体"/>
          <w:sz w:val="44"/>
          <w:szCs w:val="44"/>
        </w:rPr>
      </w:pPr>
      <w:r>
        <w:rPr>
          <w:rFonts w:hint="eastAsia" w:ascii="黑体" w:hAnsi="黑体" w:eastAsia="黑体" w:cs="黑体"/>
          <w:spacing w:val="6"/>
          <w:sz w:val="44"/>
          <w:szCs w:val="44"/>
        </w:rPr>
        <w:t>2023年度</w:t>
      </w:r>
      <w:r>
        <w:rPr>
          <w:rFonts w:hint="eastAsia" w:ascii="黑体" w:hAnsi="黑体" w:eastAsia="黑体" w:cs="黑体"/>
          <w:spacing w:val="6"/>
          <w:sz w:val="44"/>
          <w:szCs w:val="44"/>
          <w:lang w:eastAsia="zh-CN"/>
        </w:rPr>
        <w:t>住房和城乡建设局</w:t>
      </w:r>
      <w:r>
        <w:rPr>
          <w:rFonts w:hint="eastAsia" w:ascii="黑体" w:hAnsi="黑体" w:eastAsia="黑体" w:cs="黑体"/>
          <w:spacing w:val="6"/>
          <w:sz w:val="44"/>
          <w:szCs w:val="44"/>
        </w:rPr>
        <w:t>部门整体支出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黑体" w:hAnsi="黑体" w:eastAsia="黑体" w:cs="黑体"/>
          <w:sz w:val="44"/>
          <w:szCs w:val="44"/>
        </w:rPr>
      </w:pPr>
      <w:r>
        <w:rPr>
          <w:rFonts w:hint="eastAsia" w:ascii="黑体" w:hAnsi="黑体" w:eastAsia="黑体" w:cs="黑体"/>
          <w:spacing w:val="7"/>
          <w:sz w:val="44"/>
          <w:szCs w:val="44"/>
        </w:rPr>
        <w:t>绩效自评报告</w:t>
      </w:r>
    </w:p>
    <w:p>
      <w:pPr>
        <w:spacing w:line="283" w:lineRule="auto"/>
        <w:rPr>
          <w:rFonts w:ascii="Arial"/>
          <w:sz w:val="21"/>
        </w:rPr>
      </w:pPr>
    </w:p>
    <w:p>
      <w:pPr>
        <w:spacing w:line="284" w:lineRule="auto"/>
        <w:rPr>
          <w:rFonts w:ascii="Arial"/>
          <w:sz w:val="21"/>
        </w:rPr>
      </w:pPr>
    </w:p>
    <w:p>
      <w:pPr>
        <w:numPr>
          <w:ilvl w:val="0"/>
          <w:numId w:val="1"/>
        </w:numPr>
        <w:spacing w:before="104" w:line="222" w:lineRule="auto"/>
        <w:ind w:left="630" w:leftChars="0" w:firstLineChars="0"/>
        <w:outlineLvl w:val="1"/>
        <w:rPr>
          <w:rFonts w:hint="eastAsia" w:ascii="仿宋" w:hAnsi="仿宋" w:eastAsia="仿宋" w:cs="仿宋"/>
          <w:b/>
          <w:bCs/>
          <w:spacing w:val="22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pacing w:val="22"/>
          <w:sz w:val="32"/>
          <w:szCs w:val="32"/>
        </w:rPr>
        <w:t>部门(单位)基本情况</w:t>
      </w:r>
    </w:p>
    <w:p>
      <w:pPr>
        <w:pStyle w:val="9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 w:val="0"/>
        <w:wordWrap w:val="0"/>
        <w:overflowPunct/>
        <w:topLinePunct w:val="0"/>
        <w:autoSpaceDE w:val="0"/>
        <w:autoSpaceDN w:val="0"/>
        <w:bidi w:val="0"/>
        <w:adjustRightInd w:val="0"/>
        <w:snapToGrid w:val="0"/>
        <w:spacing w:before="0" w:beforeAutospacing="0" w:after="0" w:afterAutospacing="0" w:line="480" w:lineRule="atLeast"/>
        <w:ind w:left="0" w:right="0" w:firstLine="600" w:firstLineChars="200"/>
        <w:jc w:val="both"/>
        <w:textAlignment w:val="baseline"/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  <w:t>（一）基本情况</w:t>
      </w:r>
    </w:p>
    <w:p>
      <w:pPr>
        <w:pStyle w:val="9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 w:val="0"/>
        <w:wordWrap w:val="0"/>
        <w:overflowPunct/>
        <w:topLinePunct w:val="0"/>
        <w:autoSpaceDE w:val="0"/>
        <w:autoSpaceDN w:val="0"/>
        <w:bidi w:val="0"/>
        <w:adjustRightInd w:val="0"/>
        <w:snapToGrid w:val="0"/>
        <w:spacing w:before="0" w:beforeAutospacing="0" w:after="0" w:afterAutospacing="0" w:line="480" w:lineRule="exact"/>
        <w:ind w:left="0" w:right="0" w:firstLine="600" w:firstLineChars="200"/>
        <w:jc w:val="both"/>
        <w:textAlignment w:val="baseline"/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  <w:t>华容县住建局现设有办公室、财务室、人事股、行政审批股、信访室、法制股、消防股、住保股、建筑业股、党风廉政室、房地产市政管理股、十一个股室。主要职能是贯彻执行有关建设法规；组织实施城市公用事业，建筑业，建设市场等方面的行政执法；负责全县建设行业的资质审核和管理；承办县委县政府交办的其他事项。</w:t>
      </w:r>
    </w:p>
    <w:p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480" w:lineRule="exact"/>
        <w:ind w:firstLine="600" w:firstLineChars="200"/>
        <w:textAlignment w:val="baseline"/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  <w:t>直属单位：住建局下属有九个二级单位：市政办、住保中心、建工办、质监站、墙改办、村建办、污管办、征拆办、执法大队。</w:t>
      </w:r>
    </w:p>
    <w:p>
      <w:pPr>
        <w:spacing w:line="560" w:lineRule="exact"/>
        <w:ind w:firstLine="600" w:firstLineChars="200"/>
        <w:rPr>
          <w:rFonts w:hint="eastAsia" w:ascii="仿宋_GB2312" w:hAnsi="仿宋_GB2312" w:eastAsia="仿宋_GB2312" w:cs="仿宋_GB2312"/>
          <w:bCs/>
          <w:sz w:val="30"/>
          <w:szCs w:val="30"/>
        </w:rPr>
      </w:pPr>
      <w:r>
        <w:rPr>
          <w:rFonts w:hint="eastAsia" w:ascii="仿宋_GB2312" w:hAnsi="仿宋_GB2312" w:eastAsia="仿宋_GB2312" w:cs="仿宋_GB2312"/>
          <w:bCs/>
          <w:sz w:val="30"/>
          <w:szCs w:val="30"/>
        </w:rPr>
        <w:t>（二）部门（单位）整体支出规模、使用方向和主要内容、涉及范围等</w:t>
      </w:r>
    </w:p>
    <w:p>
      <w:pPr>
        <w:pStyle w:val="9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 w:val="0"/>
        <w:wordWrap w:val="0"/>
        <w:overflowPunct/>
        <w:topLinePunct w:val="0"/>
        <w:autoSpaceDE w:val="0"/>
        <w:autoSpaceDN w:val="0"/>
        <w:bidi w:val="0"/>
        <w:adjustRightInd w:val="0"/>
        <w:snapToGrid w:val="0"/>
        <w:spacing w:before="0" w:beforeAutospacing="0" w:after="0" w:afterAutospacing="0" w:line="480" w:lineRule="atLeast"/>
        <w:ind w:left="0" w:right="0" w:firstLine="600" w:firstLineChars="200"/>
        <w:jc w:val="both"/>
        <w:textAlignment w:val="baseline"/>
        <w:rPr>
          <w:rFonts w:hint="default" w:ascii="仿宋" w:hAnsi="仿宋" w:eastAsia="仿宋" w:cs="仿宋"/>
          <w:b w:val="0"/>
          <w:bCs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  <w:t xml:space="preserve"> </w:t>
      </w:r>
      <w:r>
        <w:rPr>
          <w:rFonts w:hint="eastAsia" w:ascii="仿宋" w:hAnsi="仿宋" w:eastAsia="仿宋" w:cs="仿宋"/>
          <w:b w:val="0"/>
          <w:bCs/>
          <w:kern w:val="2"/>
          <w:sz w:val="30"/>
          <w:szCs w:val="30"/>
          <w:lang w:val="en-US" w:eastAsia="zh-CN" w:bidi="ar-SA"/>
        </w:rPr>
        <w:t>2023年度财政拨款收入19744.75万元，其中：一般公共预算财政拨款收入17464.79万元，占本年收入合计的88.45%，政府性基金本年收入2279.96万元,占本年收入合计的11.55%。</w:t>
      </w:r>
    </w:p>
    <w:p>
      <w:pPr>
        <w:pStyle w:val="9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 w:val="0"/>
        <w:wordWrap w:val="0"/>
        <w:overflowPunct/>
        <w:topLinePunct w:val="0"/>
        <w:autoSpaceDE w:val="0"/>
        <w:autoSpaceDN w:val="0"/>
        <w:bidi w:val="0"/>
        <w:adjustRightInd w:val="0"/>
        <w:snapToGrid w:val="0"/>
        <w:spacing w:before="0" w:beforeAutospacing="0" w:after="0" w:afterAutospacing="0" w:line="480" w:lineRule="atLeast"/>
        <w:ind w:left="0" w:right="0" w:firstLine="600" w:firstLineChars="200"/>
        <w:jc w:val="both"/>
        <w:textAlignment w:val="baseline"/>
        <w:rPr>
          <w:rFonts w:hint="eastAsia" w:ascii="仿宋" w:hAnsi="仿宋" w:eastAsia="仿宋" w:cs="仿宋"/>
          <w:b w:val="0"/>
          <w:bCs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b w:val="0"/>
          <w:bCs/>
          <w:kern w:val="2"/>
          <w:sz w:val="30"/>
          <w:szCs w:val="30"/>
          <w:lang w:val="en-US" w:eastAsia="zh-CN" w:bidi="ar-SA"/>
        </w:rPr>
        <w:t>2023年支出合计19744.75万元，其中：人员支出1607.61万元，占本年支出合计的8.14%，公用经费支出361.09万元，占本年支出合计的1.83%，项目支出17776.05万元，占本年支出合计的90.03%</w:t>
      </w:r>
    </w:p>
    <w:p>
      <w:pPr>
        <w:numPr>
          <w:ilvl w:val="0"/>
          <w:numId w:val="1"/>
        </w:numPr>
        <w:spacing w:before="104" w:line="222" w:lineRule="auto"/>
        <w:ind w:left="630" w:leftChars="0" w:firstLineChars="0"/>
        <w:outlineLvl w:val="1"/>
        <w:rPr>
          <w:rFonts w:hint="eastAsia" w:ascii="仿宋" w:hAnsi="仿宋" w:eastAsia="仿宋" w:cs="仿宋"/>
          <w:b/>
          <w:bCs/>
          <w:spacing w:val="22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pacing w:val="22"/>
          <w:sz w:val="32"/>
          <w:szCs w:val="32"/>
        </w:rPr>
        <w:t>基本支出情况</w:t>
      </w:r>
    </w:p>
    <w:p>
      <w:pPr>
        <w:pStyle w:val="9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 w:val="0"/>
        <w:wordWrap w:val="0"/>
        <w:overflowPunct/>
        <w:topLinePunct w:val="0"/>
        <w:autoSpaceDE w:val="0"/>
        <w:autoSpaceDN w:val="0"/>
        <w:bidi w:val="0"/>
        <w:adjustRightInd w:val="0"/>
        <w:snapToGrid w:val="0"/>
        <w:spacing w:before="0" w:beforeAutospacing="0" w:after="0" w:afterAutospacing="0" w:line="480" w:lineRule="atLeast"/>
        <w:ind w:left="0" w:right="0" w:firstLine="600" w:firstLineChars="200"/>
        <w:jc w:val="both"/>
        <w:textAlignment w:val="baseline"/>
        <w:rPr>
          <w:rFonts w:hint="eastAsia" w:ascii="宋体" w:hAnsi="宋体" w:eastAsia="宋体" w:cs="宋体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  <w:t>基本支出1968.7万元，占9.97%，2023年度财政拨款基本支出1968.7万元，其中:人员经费1607.61万元，主要包括基本工资、津贴补贴、奖金、伙食补助费、绩效工资、机关事业单位基本养老保险缴费、职业年金缴费、职工基本医疗保险缴费、公务员医疗补助缴费、其他社会保障缴费、住房公积金、医疗费、其他工资福利支出、离休费、退休费、抚恤金、生活补助、医疗费补助、奖励金、其他对个人和家庭的补助；公用经费361.09万元，主要包括办公费、印刷费、咨询费、手续费、水费、电费、邮电费、取暖费、物业管理费、差旅费、因公出国（境）费用、维修（护）费、租赁费、会议费、培训费、公务接待费、专用材料费、劳务费、委托业务费、工会经费、福利费、公务用车运行维护费、其他交通费用、其他商品和服务支出、办公设备购置、专用设备购置、信息网络及软件购置更新、公务用车购置、无形资产购置、其他资本性支出</w:t>
      </w:r>
      <w:r>
        <w:rPr>
          <w:rFonts w:hint="eastAsia" w:ascii="宋体" w:hAnsi="宋体" w:eastAsia="宋体" w:cs="宋体"/>
          <w:bCs/>
          <w:kern w:val="2"/>
          <w:sz w:val="28"/>
          <w:szCs w:val="28"/>
          <w:lang w:val="en-US" w:eastAsia="zh-CN" w:bidi="ar-SA"/>
        </w:rPr>
        <w:t>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 w:val="0"/>
        <w:overflowPunct/>
        <w:topLinePunct w:val="0"/>
        <w:autoSpaceDE w:val="0"/>
        <w:autoSpaceDN w:val="0"/>
        <w:bidi w:val="0"/>
        <w:adjustRightInd w:val="0"/>
        <w:snapToGrid w:val="0"/>
        <w:spacing w:before="212" w:line="222" w:lineRule="auto"/>
        <w:ind w:leftChars="200"/>
        <w:textAlignment w:val="baseline"/>
        <w:outlineLvl w:val="1"/>
        <w:rPr>
          <w:rFonts w:hint="eastAsia" w:ascii="仿宋" w:hAnsi="仿宋" w:eastAsia="仿宋" w:cs="仿宋"/>
          <w:b/>
          <w:bCs/>
          <w:spacing w:val="-17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pacing w:val="-17"/>
          <w:sz w:val="32"/>
          <w:szCs w:val="32"/>
          <w:lang w:eastAsia="zh-CN"/>
        </w:rPr>
        <w:t>三、</w:t>
      </w:r>
      <w:r>
        <w:rPr>
          <w:rFonts w:hint="eastAsia" w:ascii="仿宋" w:hAnsi="仿宋" w:eastAsia="仿宋" w:cs="仿宋"/>
          <w:b/>
          <w:bCs/>
          <w:spacing w:val="-17"/>
          <w:sz w:val="32"/>
          <w:szCs w:val="32"/>
        </w:rPr>
        <w:t>项目支出情况</w:t>
      </w:r>
    </w:p>
    <w:p>
      <w:pPr>
        <w:pStyle w:val="9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 w:val="0"/>
        <w:wordWrap w:val="0"/>
        <w:overflowPunct/>
        <w:topLinePunct w:val="0"/>
        <w:autoSpaceDE w:val="0"/>
        <w:autoSpaceDN w:val="0"/>
        <w:bidi w:val="0"/>
        <w:adjustRightInd w:val="0"/>
        <w:snapToGrid w:val="0"/>
        <w:spacing w:before="0" w:beforeAutospacing="0" w:after="0" w:afterAutospacing="0" w:line="480" w:lineRule="atLeast"/>
        <w:ind w:left="0" w:right="0" w:firstLine="560" w:firstLineChars="200"/>
        <w:jc w:val="both"/>
        <w:textAlignment w:val="baseline"/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</w:pPr>
      <w:r>
        <w:rPr>
          <w:rFonts w:hint="eastAsia" w:ascii="宋体" w:hAnsi="宋体" w:eastAsia="宋体" w:cs="宋体"/>
          <w:bCs/>
          <w:kern w:val="2"/>
          <w:sz w:val="28"/>
          <w:szCs w:val="28"/>
          <w:lang w:val="en-US" w:eastAsia="zh-CN" w:bidi="ar-SA"/>
        </w:rPr>
        <w:t>（一）、</w:t>
      </w:r>
      <w:r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  <w:t>专项资金安排落实、总投入等情况分析</w:t>
      </w:r>
    </w:p>
    <w:p>
      <w:pPr>
        <w:pStyle w:val="9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 w:val="0"/>
        <w:wordWrap w:val="0"/>
        <w:overflowPunct/>
        <w:topLinePunct w:val="0"/>
        <w:autoSpaceDE w:val="0"/>
        <w:autoSpaceDN w:val="0"/>
        <w:bidi w:val="0"/>
        <w:adjustRightInd w:val="0"/>
        <w:snapToGrid w:val="0"/>
        <w:spacing w:before="0" w:beforeAutospacing="0" w:after="0" w:afterAutospacing="0" w:line="480" w:lineRule="atLeast"/>
        <w:ind w:left="0" w:right="0" w:firstLine="600" w:firstLineChars="200"/>
        <w:jc w:val="both"/>
        <w:textAlignment w:val="baseline"/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  <w:t>2023年度老旧小区改造年度计划投资5267万元，</w:t>
      </w:r>
      <w:r>
        <w:rPr>
          <w:rFonts w:hint="eastAsia" w:ascii="仿宋" w:hAnsi="仿宋" w:eastAsia="仿宋" w:cs="仿宋"/>
          <w:snapToGrid w:val="0"/>
          <w:color w:val="333333"/>
          <w:kern w:val="0"/>
          <w:sz w:val="32"/>
          <w:szCs w:val="32"/>
          <w:lang w:val="en-US" w:eastAsia="zh-CN" w:bidi="ar"/>
        </w:rPr>
        <w:t>老旧小区改造项目资金到位率为100%，其中中央补助资金2672万元，已全部到位。</w:t>
      </w:r>
    </w:p>
    <w:p>
      <w:pPr>
        <w:pStyle w:val="9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 w:val="0"/>
        <w:wordWrap w:val="0"/>
        <w:overflowPunct/>
        <w:topLinePunct w:val="0"/>
        <w:autoSpaceDE w:val="0"/>
        <w:autoSpaceDN w:val="0"/>
        <w:bidi w:val="0"/>
        <w:adjustRightInd w:val="0"/>
        <w:snapToGrid w:val="0"/>
        <w:spacing w:before="0" w:beforeAutospacing="0" w:after="0" w:afterAutospacing="0" w:line="480" w:lineRule="atLeast"/>
        <w:ind w:left="0" w:right="0" w:firstLine="600" w:firstLineChars="200"/>
        <w:jc w:val="both"/>
        <w:textAlignment w:val="baseline"/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  <w:t>（二）</w:t>
      </w:r>
      <w:r>
        <w:rPr>
          <w:rFonts w:hint="default" w:ascii="仿宋" w:hAnsi="仿宋" w:eastAsia="仿宋" w:cs="仿宋"/>
          <w:bCs/>
          <w:kern w:val="2"/>
          <w:sz w:val="30"/>
          <w:szCs w:val="30"/>
          <w:lang w:val="en-US" w:eastAsia="zh-CN" w:bidi="ar-SA"/>
        </w:rPr>
        <w:t>、</w:t>
      </w:r>
      <w:r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  <w:t>专项资金管理情况分析</w:t>
      </w:r>
    </w:p>
    <w:p>
      <w:pPr>
        <w:pStyle w:val="9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 w:val="0"/>
        <w:wordWrap w:val="0"/>
        <w:overflowPunct/>
        <w:topLinePunct w:val="0"/>
        <w:autoSpaceDE w:val="0"/>
        <w:autoSpaceDN w:val="0"/>
        <w:bidi w:val="0"/>
        <w:adjustRightInd w:val="0"/>
        <w:snapToGrid w:val="0"/>
        <w:spacing w:before="0" w:beforeAutospacing="0" w:after="0" w:afterAutospacing="0" w:line="480" w:lineRule="atLeast"/>
        <w:ind w:left="0" w:right="0" w:firstLine="600" w:firstLineChars="200"/>
        <w:jc w:val="both"/>
        <w:textAlignment w:val="baseline"/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  <w:t>老旧小区改造资金实行国库集中支付，实行专款专用，独立核算，专人管理，项目资金使用计划周密。同时严格按照项目批复、合同约定、工程进度等有关规定及时拨付专项资金。</w:t>
      </w:r>
    </w:p>
    <w:p>
      <w:pPr>
        <w:pStyle w:val="9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 w:val="0"/>
        <w:wordWrap w:val="0"/>
        <w:overflowPunct/>
        <w:topLinePunct w:val="0"/>
        <w:autoSpaceDE w:val="0"/>
        <w:autoSpaceDN w:val="0"/>
        <w:bidi w:val="0"/>
        <w:adjustRightInd w:val="0"/>
        <w:snapToGrid w:val="0"/>
        <w:spacing w:before="0" w:beforeAutospacing="0" w:after="0" w:afterAutospacing="0" w:line="480" w:lineRule="atLeast"/>
        <w:ind w:left="0" w:right="0" w:firstLine="600" w:firstLineChars="200"/>
        <w:jc w:val="both"/>
        <w:textAlignment w:val="baseline"/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  <w:t>（三）、专项组织情况分析</w:t>
      </w:r>
    </w:p>
    <w:p>
      <w:pPr>
        <w:pStyle w:val="9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 w:val="0"/>
        <w:wordWrap w:val="0"/>
        <w:overflowPunct/>
        <w:topLinePunct w:val="0"/>
        <w:autoSpaceDE w:val="0"/>
        <w:autoSpaceDN w:val="0"/>
        <w:bidi w:val="0"/>
        <w:adjustRightInd w:val="0"/>
        <w:snapToGrid w:val="0"/>
        <w:spacing w:before="0" w:beforeAutospacing="0" w:after="0" w:afterAutospacing="0" w:line="480" w:lineRule="atLeast"/>
        <w:ind w:right="0" w:firstLine="600" w:firstLineChars="200"/>
        <w:jc w:val="both"/>
        <w:textAlignment w:val="baseline"/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  <w:t>为了使老旧小区改造项目顺利实施，华容县成立了老旧小区改造项目领导小组，该小组是项目的决策机构，负责按照统一要求编制了老旧小区改造中长期规划。领导小组下设办公室，办公室设在县住建局，负责制定和实施老旧小区改造项目年度计划，负责搞好城镇老旧小区改造管理相关政策，资金管理（分配）办法、绩效评价方法、年度计划、中长期规划、开工及基本建设情况。项目建设过程中，为确保工程质量、进度和安全文明施工，严格按照基本建设程序对工程的投资、质量、进度、安全和文明施工实现全过程、全方位的监督管理，努力化解工程风险，积极组织隐蔽性工程验收，项目从前期准备、施工，完成一系列过程都进展顺利，项目完成质量为优。</w:t>
      </w:r>
    </w:p>
    <w:p>
      <w:pPr>
        <w:pStyle w:val="9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 w:val="0"/>
        <w:wordWrap w:val="0"/>
        <w:overflowPunct/>
        <w:topLinePunct w:val="0"/>
        <w:autoSpaceDE w:val="0"/>
        <w:autoSpaceDN w:val="0"/>
        <w:bidi w:val="0"/>
        <w:adjustRightInd w:val="0"/>
        <w:snapToGrid w:val="0"/>
        <w:spacing w:before="0" w:beforeAutospacing="0" w:after="0" w:afterAutospacing="0" w:line="480" w:lineRule="atLeast"/>
        <w:ind w:right="0" w:firstLine="560" w:firstLineChars="200"/>
        <w:jc w:val="both"/>
        <w:textAlignment w:val="baseline"/>
        <w:rPr>
          <w:rFonts w:hint="eastAsia" w:ascii="宋体" w:hAnsi="宋体" w:eastAsia="宋体" w:cs="宋体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bCs/>
          <w:kern w:val="2"/>
          <w:sz w:val="28"/>
          <w:szCs w:val="28"/>
          <w:lang w:val="en-US" w:eastAsia="zh-CN" w:bidi="ar-SA"/>
        </w:rPr>
        <w:t>（四）、专项管理情况分析</w:t>
      </w:r>
    </w:p>
    <w:p>
      <w:pPr>
        <w:pStyle w:val="9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 w:val="0"/>
        <w:wordWrap w:val="0"/>
        <w:overflowPunct/>
        <w:topLinePunct w:val="0"/>
        <w:autoSpaceDE w:val="0"/>
        <w:autoSpaceDN w:val="0"/>
        <w:bidi w:val="0"/>
        <w:adjustRightInd w:val="0"/>
        <w:snapToGrid w:val="0"/>
        <w:spacing w:before="0" w:beforeAutospacing="0" w:after="0" w:afterAutospacing="0" w:line="480" w:lineRule="atLeast"/>
        <w:ind w:left="0" w:right="0" w:firstLine="600" w:firstLineChars="200"/>
        <w:jc w:val="both"/>
        <w:textAlignment w:val="baseline"/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  <w:t>1、项目预期目标完成程度。</w:t>
      </w:r>
    </w:p>
    <w:p>
      <w:pPr>
        <w:pStyle w:val="9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 w:val="0"/>
        <w:wordWrap w:val="0"/>
        <w:overflowPunct/>
        <w:topLinePunct w:val="0"/>
        <w:autoSpaceDE w:val="0"/>
        <w:autoSpaceDN w:val="0"/>
        <w:bidi w:val="0"/>
        <w:adjustRightInd w:val="0"/>
        <w:snapToGrid w:val="0"/>
        <w:spacing w:before="0" w:beforeAutospacing="0" w:after="0" w:afterAutospacing="0" w:line="480" w:lineRule="atLeast"/>
        <w:ind w:left="0" w:right="0" w:firstLine="600" w:firstLineChars="200"/>
        <w:jc w:val="both"/>
        <w:textAlignment w:val="baseline"/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  <w:t>2023年度，我局完成26个老旧小区改造，</w:t>
      </w:r>
      <w:r>
        <w:rPr>
          <w:rFonts w:hint="default" w:ascii="仿宋" w:hAnsi="仿宋" w:eastAsia="仿宋" w:cs="仿宋"/>
          <w:bCs/>
          <w:kern w:val="2"/>
          <w:sz w:val="30"/>
          <w:szCs w:val="30"/>
          <w:lang w:val="en-US" w:eastAsia="zh-CN" w:bidi="ar-SA"/>
        </w:rPr>
        <w:t>受益居民</w:t>
      </w:r>
      <w:r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  <w:t>5993</w:t>
      </w:r>
      <w:r>
        <w:rPr>
          <w:rFonts w:hint="default" w:ascii="仿宋" w:hAnsi="仿宋" w:eastAsia="仿宋" w:cs="仿宋"/>
          <w:bCs/>
          <w:kern w:val="2"/>
          <w:sz w:val="30"/>
          <w:szCs w:val="30"/>
          <w:lang w:val="en-US" w:eastAsia="zh-CN" w:bidi="ar-SA"/>
        </w:rPr>
        <w:t>户，</w:t>
      </w:r>
      <w:r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  <w:t>达到了预期目标。</w:t>
      </w:r>
    </w:p>
    <w:p>
      <w:pPr>
        <w:pStyle w:val="9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 w:val="0"/>
        <w:wordWrap w:val="0"/>
        <w:overflowPunct/>
        <w:topLinePunct w:val="0"/>
        <w:autoSpaceDE w:val="0"/>
        <w:autoSpaceDN w:val="0"/>
        <w:bidi w:val="0"/>
        <w:adjustRightInd w:val="0"/>
        <w:snapToGrid w:val="0"/>
        <w:spacing w:before="0" w:beforeAutospacing="0" w:after="0" w:afterAutospacing="0" w:line="480" w:lineRule="atLeast"/>
        <w:ind w:left="0" w:right="0" w:firstLine="600" w:firstLineChars="200"/>
        <w:jc w:val="both"/>
        <w:textAlignment w:val="baseline"/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  <w:t>2、项目实施对经济和社会的影响。</w:t>
      </w:r>
    </w:p>
    <w:p>
      <w:pPr>
        <w:pStyle w:val="9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 w:val="0"/>
        <w:wordWrap w:val="0"/>
        <w:overflowPunct/>
        <w:topLinePunct w:val="0"/>
        <w:autoSpaceDE w:val="0"/>
        <w:autoSpaceDN w:val="0"/>
        <w:bidi w:val="0"/>
        <w:adjustRightInd w:val="0"/>
        <w:snapToGrid w:val="0"/>
        <w:spacing w:before="0" w:beforeAutospacing="0" w:after="0" w:afterAutospacing="0" w:line="480" w:lineRule="atLeast"/>
        <w:ind w:left="0" w:right="0" w:firstLine="600" w:firstLineChars="200"/>
        <w:jc w:val="both"/>
        <w:textAlignment w:val="baseline"/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  <w:t>社会：老旧小区改造是落实中央提出的“六稳六保”重大举措。城镇老旧小区改造是对仍然居住在水电气供应管道老旧、公共服务缺位的老旧小区进行全面改造，变成水电气供应管道通畅、出行方便、公共服务设施完善、服务到位的新型社区。通过老旧小区改造</w:t>
      </w:r>
      <w:r>
        <w:rPr>
          <w:rFonts w:hint="default" w:ascii="仿宋" w:hAnsi="仿宋" w:eastAsia="仿宋" w:cs="仿宋"/>
          <w:bCs/>
          <w:kern w:val="2"/>
          <w:sz w:val="30"/>
          <w:szCs w:val="30"/>
          <w:lang w:val="en-US" w:eastAsia="zh-CN" w:bidi="ar-SA"/>
        </w:rPr>
        <w:t>，</w:t>
      </w:r>
      <w:r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  <w:t>小区环境实现了由“脏、乱、差”到“亮、洁、美”的转变，基础设施显著改善、小区功能明显增强、居住环境全面提升。</w:t>
      </w:r>
    </w:p>
    <w:p>
      <w:pPr>
        <w:pStyle w:val="9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 w:val="0"/>
        <w:wordWrap w:val="0"/>
        <w:overflowPunct/>
        <w:topLinePunct w:val="0"/>
        <w:autoSpaceDE w:val="0"/>
        <w:autoSpaceDN w:val="0"/>
        <w:bidi w:val="0"/>
        <w:adjustRightInd w:val="0"/>
        <w:snapToGrid w:val="0"/>
        <w:spacing w:before="0" w:beforeAutospacing="0" w:after="0" w:afterAutospacing="0" w:line="480" w:lineRule="atLeast"/>
        <w:ind w:left="0" w:right="0" w:firstLine="600" w:firstLineChars="200"/>
        <w:jc w:val="both"/>
        <w:textAlignment w:val="baseline"/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  <w:t>经济：城镇老旧小区改造，是扩大内需、建立内循环的重要举措。改造投资具有投资周期短、边际效益高、资金周转快、消费潜力大等特点。同时，项目主要由本地建筑企业承建，保证了这些企业的持续经营，为其发展创造了有利条件，效益十分显著。老旧小区改造还能带动建材、适老适残设备、电梯、水电管线、社区服务等产业的发展，对经济增长的贡献</w:t>
      </w:r>
      <w:r>
        <w:rPr>
          <w:rFonts w:hint="default" w:ascii="仿宋" w:hAnsi="仿宋" w:eastAsia="仿宋" w:cs="仿宋"/>
          <w:bCs/>
          <w:kern w:val="2"/>
          <w:sz w:val="30"/>
          <w:szCs w:val="30"/>
          <w:lang w:val="en-US" w:eastAsia="zh-CN" w:bidi="ar-SA"/>
        </w:rPr>
        <w:t>重大</w:t>
      </w:r>
      <w:r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  <w:t>。对构建经济循环具有重要的作用。</w:t>
      </w:r>
    </w:p>
    <w:p>
      <w:pPr>
        <w:spacing w:before="214" w:line="221" w:lineRule="auto"/>
        <w:ind w:left="644"/>
        <w:outlineLvl w:val="1"/>
        <w:rPr>
          <w:rFonts w:ascii="黑体" w:hAnsi="黑体" w:eastAsia="黑体" w:cs="黑体"/>
          <w:sz w:val="32"/>
          <w:szCs w:val="32"/>
        </w:rPr>
      </w:pPr>
      <w:r>
        <w:rPr>
          <w:rFonts w:ascii="黑体" w:hAnsi="黑体" w:eastAsia="黑体" w:cs="黑体"/>
          <w:b/>
          <w:bCs/>
          <w:spacing w:val="-11"/>
          <w:sz w:val="32"/>
          <w:szCs w:val="32"/>
        </w:rPr>
        <w:t>四、</w:t>
      </w:r>
      <w:r>
        <w:rPr>
          <w:rFonts w:ascii="黑体" w:hAnsi="黑体" w:eastAsia="黑体" w:cs="黑体"/>
          <w:spacing w:val="-77"/>
          <w:sz w:val="32"/>
          <w:szCs w:val="32"/>
        </w:rPr>
        <w:t xml:space="preserve"> </w:t>
      </w:r>
      <w:r>
        <w:rPr>
          <w:rFonts w:ascii="黑体" w:hAnsi="黑体" w:eastAsia="黑体" w:cs="黑体"/>
          <w:b/>
          <w:bCs/>
          <w:spacing w:val="-11"/>
          <w:sz w:val="32"/>
          <w:szCs w:val="32"/>
        </w:rPr>
        <w:t>部门整体支出绩效情况</w:t>
      </w:r>
    </w:p>
    <w:p>
      <w:pPr>
        <w:pStyle w:val="9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 w:val="0"/>
        <w:wordWrap w:val="0"/>
        <w:overflowPunct/>
        <w:topLinePunct w:val="0"/>
        <w:autoSpaceDE w:val="0"/>
        <w:autoSpaceDN w:val="0"/>
        <w:bidi w:val="0"/>
        <w:adjustRightInd w:val="0"/>
        <w:snapToGrid w:val="0"/>
        <w:spacing w:before="0" w:beforeAutospacing="0" w:after="0" w:afterAutospacing="0" w:line="480" w:lineRule="atLeast"/>
        <w:ind w:left="0" w:right="0" w:firstLine="600" w:firstLineChars="200"/>
        <w:jc w:val="both"/>
        <w:textAlignment w:val="baseline"/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  <w:t>2023年，根据我局年初工作规划和重点工作，围绕县委、县政府的工作部署，积极履行职责，强化管理，较好地完成了年度工作目标，同时加强预算收支的管理，建立健全内部管理制度，严格内部管理流程，部门整体支出管理得到了提升。2023年度部门整体支出绩效情况如下：</w:t>
      </w:r>
    </w:p>
    <w:p>
      <w:pPr>
        <w:pStyle w:val="9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 w:val="0"/>
        <w:wordWrap w:val="0"/>
        <w:overflowPunct/>
        <w:topLinePunct w:val="0"/>
        <w:autoSpaceDE w:val="0"/>
        <w:autoSpaceDN w:val="0"/>
        <w:bidi w:val="0"/>
        <w:adjustRightInd w:val="0"/>
        <w:snapToGrid w:val="0"/>
        <w:spacing w:before="0" w:beforeAutospacing="0" w:after="0" w:afterAutospacing="0" w:line="480" w:lineRule="atLeast"/>
        <w:ind w:left="0" w:right="0" w:firstLine="600" w:firstLineChars="200"/>
        <w:jc w:val="both"/>
        <w:textAlignment w:val="baseline"/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  <w:t>1、本年预算配置控制较好，“三公”经费支出严格按预算执行。</w:t>
      </w:r>
    </w:p>
    <w:p>
      <w:pPr>
        <w:pStyle w:val="9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 w:val="0"/>
        <w:wordWrap w:val="0"/>
        <w:overflowPunct/>
        <w:topLinePunct w:val="0"/>
        <w:autoSpaceDE w:val="0"/>
        <w:autoSpaceDN w:val="0"/>
        <w:bidi w:val="0"/>
        <w:adjustRightInd w:val="0"/>
        <w:snapToGrid w:val="0"/>
        <w:spacing w:before="0" w:beforeAutospacing="0" w:after="0" w:afterAutospacing="0" w:line="480" w:lineRule="atLeast"/>
        <w:ind w:left="0" w:right="0" w:firstLine="600" w:firstLineChars="200"/>
        <w:jc w:val="both"/>
        <w:textAlignment w:val="baseline"/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  <w:t>2、预算执行方面，支出总额控制在预算总额以内，基本支出中财政政策性工资和对家属遗属的补助有所追加；本单位预算资金按规定管理使用，其他专项工程建设资金按进度拨付资金，较好的完成了当年任务目标，财政拨款支出总体控制较好。</w:t>
      </w:r>
    </w:p>
    <w:p>
      <w:pPr>
        <w:pStyle w:val="9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 w:val="0"/>
        <w:wordWrap w:val="0"/>
        <w:overflowPunct/>
        <w:topLinePunct w:val="0"/>
        <w:autoSpaceDE w:val="0"/>
        <w:autoSpaceDN w:val="0"/>
        <w:bidi w:val="0"/>
        <w:adjustRightInd w:val="0"/>
        <w:snapToGrid w:val="0"/>
        <w:spacing w:before="0" w:beforeAutospacing="0" w:after="0" w:afterAutospacing="0" w:line="480" w:lineRule="atLeast"/>
        <w:ind w:left="0" w:right="0" w:firstLine="600" w:firstLineChars="200"/>
        <w:jc w:val="both"/>
        <w:textAlignment w:val="baseline"/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  <w:t>3、预算管理方面，制定了切实有效的内部财务、车辆、资产内部管理制度，执行总体较为有效。</w:t>
      </w:r>
    </w:p>
    <w:p>
      <w:pPr>
        <w:spacing w:before="266" w:line="222" w:lineRule="auto"/>
        <w:ind w:left="644"/>
        <w:outlineLvl w:val="1"/>
        <w:rPr>
          <w:rFonts w:ascii="黑体" w:hAnsi="黑体" w:eastAsia="黑体" w:cs="黑体"/>
          <w:sz w:val="32"/>
          <w:szCs w:val="32"/>
        </w:rPr>
      </w:pPr>
      <w:r>
        <w:rPr>
          <w:rFonts w:ascii="黑体" w:hAnsi="黑体" w:eastAsia="黑体" w:cs="黑体"/>
          <w:b/>
          <w:bCs/>
          <w:spacing w:val="-11"/>
          <w:sz w:val="32"/>
          <w:szCs w:val="32"/>
        </w:rPr>
        <w:t>五、</w:t>
      </w:r>
      <w:r>
        <w:rPr>
          <w:rFonts w:ascii="黑体" w:hAnsi="黑体" w:eastAsia="黑体" w:cs="黑体"/>
          <w:spacing w:val="-76"/>
          <w:sz w:val="32"/>
          <w:szCs w:val="32"/>
        </w:rPr>
        <w:t xml:space="preserve"> </w:t>
      </w:r>
      <w:r>
        <w:rPr>
          <w:rFonts w:ascii="黑体" w:hAnsi="黑体" w:eastAsia="黑体" w:cs="黑体"/>
          <w:b/>
          <w:bCs/>
          <w:spacing w:val="-11"/>
          <w:sz w:val="32"/>
          <w:szCs w:val="32"/>
        </w:rPr>
        <w:t>存在的问题及原因分析</w:t>
      </w:r>
    </w:p>
    <w:p>
      <w:pPr>
        <w:pStyle w:val="9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 w:val="0"/>
        <w:wordWrap w:val="0"/>
        <w:overflowPunct/>
        <w:topLinePunct w:val="0"/>
        <w:autoSpaceDE w:val="0"/>
        <w:autoSpaceDN w:val="0"/>
        <w:bidi w:val="0"/>
        <w:adjustRightInd w:val="0"/>
        <w:snapToGrid w:val="0"/>
        <w:spacing w:before="0" w:beforeAutospacing="0" w:after="0" w:afterAutospacing="0" w:line="480" w:lineRule="atLeast"/>
        <w:ind w:left="0" w:right="0" w:firstLine="600" w:firstLineChars="200"/>
        <w:jc w:val="both"/>
        <w:textAlignment w:val="baseline"/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  <w:t>1、“三公经费”有待更严格控制。</w:t>
      </w:r>
    </w:p>
    <w:p>
      <w:pPr>
        <w:pStyle w:val="9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 w:val="0"/>
        <w:wordWrap w:val="0"/>
        <w:overflowPunct/>
        <w:topLinePunct w:val="0"/>
        <w:autoSpaceDE w:val="0"/>
        <w:autoSpaceDN w:val="0"/>
        <w:bidi w:val="0"/>
        <w:adjustRightInd w:val="0"/>
        <w:snapToGrid w:val="0"/>
        <w:spacing w:before="0" w:beforeAutospacing="0" w:after="0" w:afterAutospacing="0" w:line="480" w:lineRule="atLeast"/>
        <w:ind w:left="0" w:right="0" w:firstLine="600" w:firstLineChars="200"/>
        <w:jc w:val="both"/>
        <w:textAlignment w:val="baseline"/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  <w:t>2、预算编制有待更严格执行。预算编制与实际支出项目有的存在差异。</w:t>
      </w:r>
    </w:p>
    <w:p>
      <w:pPr>
        <w:pStyle w:val="9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 w:val="0"/>
        <w:wordWrap w:val="0"/>
        <w:overflowPunct/>
        <w:topLinePunct w:val="0"/>
        <w:autoSpaceDE w:val="0"/>
        <w:autoSpaceDN w:val="0"/>
        <w:bidi w:val="0"/>
        <w:adjustRightInd w:val="0"/>
        <w:snapToGrid w:val="0"/>
        <w:spacing w:before="0" w:beforeAutospacing="0" w:after="0" w:afterAutospacing="0" w:line="480" w:lineRule="atLeast"/>
        <w:ind w:left="0" w:right="0" w:firstLine="600" w:firstLineChars="200"/>
        <w:jc w:val="both"/>
        <w:textAlignment w:val="baseline"/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  <w:t>3、有的项目经费未及时足额拨付到位</w:t>
      </w:r>
    </w:p>
    <w:p>
      <w:pPr>
        <w:numPr>
          <w:ilvl w:val="0"/>
          <w:numId w:val="2"/>
        </w:numPr>
        <w:spacing w:before="228" w:line="222" w:lineRule="auto"/>
        <w:ind w:left="644"/>
        <w:outlineLvl w:val="1"/>
        <w:rPr>
          <w:rFonts w:ascii="黑体" w:hAnsi="黑体" w:eastAsia="黑体" w:cs="黑体"/>
          <w:b/>
          <w:bCs/>
          <w:spacing w:val="-16"/>
          <w:sz w:val="32"/>
          <w:szCs w:val="32"/>
        </w:rPr>
      </w:pPr>
      <w:r>
        <w:rPr>
          <w:rFonts w:ascii="黑体" w:hAnsi="黑体" w:eastAsia="黑体" w:cs="黑体"/>
          <w:b/>
          <w:bCs/>
          <w:spacing w:val="-16"/>
          <w:sz w:val="32"/>
          <w:szCs w:val="32"/>
        </w:rPr>
        <w:t>下一步改进措施</w:t>
      </w:r>
    </w:p>
    <w:p>
      <w:pPr>
        <w:pStyle w:val="9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 w:val="0"/>
        <w:wordWrap w:val="0"/>
        <w:overflowPunct/>
        <w:topLinePunct w:val="0"/>
        <w:autoSpaceDE w:val="0"/>
        <w:autoSpaceDN w:val="0"/>
        <w:bidi w:val="0"/>
        <w:adjustRightInd w:val="0"/>
        <w:snapToGrid w:val="0"/>
        <w:spacing w:before="0" w:beforeAutospacing="0" w:after="0" w:afterAutospacing="0" w:line="480" w:lineRule="atLeast"/>
        <w:ind w:left="0" w:right="0" w:firstLine="600" w:firstLineChars="200"/>
        <w:jc w:val="both"/>
        <w:textAlignment w:val="baseline"/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  <w:t>1、按照预算规定的项目和用途严格财务审核，经费支出严格按预算规定项目的财务支出内容进行财务核算，在预算金额内严格控制费用的支出。</w:t>
      </w:r>
    </w:p>
    <w:p>
      <w:pPr>
        <w:pStyle w:val="9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 w:val="0"/>
        <w:wordWrap w:val="0"/>
        <w:overflowPunct/>
        <w:topLinePunct w:val="0"/>
        <w:autoSpaceDE w:val="0"/>
        <w:autoSpaceDN w:val="0"/>
        <w:bidi w:val="0"/>
        <w:adjustRightInd w:val="0"/>
        <w:snapToGrid w:val="0"/>
        <w:spacing w:before="0" w:beforeAutospacing="0" w:after="0" w:afterAutospacing="0" w:line="480" w:lineRule="atLeast"/>
        <w:ind w:left="0" w:right="0" w:firstLine="600" w:firstLineChars="200"/>
        <w:jc w:val="both"/>
        <w:textAlignment w:val="baseline"/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  <w:t>2、严格控制“三公经费”支出，杜绝挪用和挤占其他预算资金；进一步细化“三公经费”管理，压缩“三公经费”支出。</w:t>
      </w:r>
    </w:p>
    <w:p>
      <w:pPr>
        <w:pStyle w:val="9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 w:val="0"/>
        <w:wordWrap w:val="0"/>
        <w:overflowPunct/>
        <w:topLinePunct w:val="0"/>
        <w:autoSpaceDE w:val="0"/>
        <w:autoSpaceDN w:val="0"/>
        <w:bidi w:val="0"/>
        <w:adjustRightInd w:val="0"/>
        <w:snapToGrid w:val="0"/>
        <w:spacing w:before="0" w:beforeAutospacing="0" w:after="0" w:afterAutospacing="0" w:line="480" w:lineRule="atLeast"/>
        <w:ind w:left="0" w:right="0" w:firstLine="600" w:firstLineChars="200"/>
        <w:jc w:val="both"/>
        <w:textAlignment w:val="baseline"/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</w:pPr>
      <w:r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  <w:t>3、预算财务分析常态化，定期做好预算支出财务分析，做好部门整体支出预算评价工作。</w:t>
      </w:r>
    </w:p>
    <w:p>
      <w:pPr>
        <w:spacing w:before="195" w:line="221" w:lineRule="auto"/>
        <w:ind w:left="644"/>
        <w:outlineLvl w:val="1"/>
        <w:rPr>
          <w:rFonts w:ascii="黑体" w:hAnsi="黑体" w:eastAsia="黑体" w:cs="黑体"/>
          <w:sz w:val="32"/>
          <w:szCs w:val="32"/>
        </w:rPr>
      </w:pPr>
      <w:r>
        <w:rPr>
          <w:rFonts w:ascii="黑体" w:hAnsi="黑体" w:eastAsia="黑体" w:cs="黑体"/>
          <w:b/>
          <w:bCs/>
          <w:spacing w:val="-5"/>
          <w:sz w:val="32"/>
          <w:szCs w:val="32"/>
        </w:rPr>
        <w:t>七、其他需要说明的情况</w:t>
      </w:r>
    </w:p>
    <w:p/>
    <w:p>
      <w:pPr>
        <w:pStyle w:val="9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 w:val="0"/>
        <w:wordWrap w:val="0"/>
        <w:overflowPunct/>
        <w:topLinePunct w:val="0"/>
        <w:autoSpaceDE w:val="0"/>
        <w:autoSpaceDN w:val="0"/>
        <w:bidi w:val="0"/>
        <w:adjustRightInd w:val="0"/>
        <w:snapToGrid w:val="0"/>
        <w:spacing w:before="0" w:beforeAutospacing="0" w:after="0" w:afterAutospacing="0" w:line="480" w:lineRule="atLeast"/>
        <w:ind w:left="0" w:right="0" w:firstLine="1800" w:firstLineChars="600"/>
        <w:jc w:val="both"/>
        <w:textAlignment w:val="baseline"/>
        <w:rPr>
          <w:rFonts w:hint="default" w:ascii="Times New Roman" w:hAnsi="Times New Roman" w:eastAsia="方正小标宋_GBK" w:cs="Times New Roman"/>
          <w:sz w:val="52"/>
          <w:szCs w:val="52"/>
        </w:rPr>
        <w:sectPr>
          <w:footerReference r:id="rId4" w:type="default"/>
          <w:pgSz w:w="11905" w:h="16838"/>
          <w:pgMar w:top="1984" w:right="1701" w:bottom="1984" w:left="1701" w:header="850" w:footer="992" w:gutter="0"/>
          <w:pgNumType w:fmt="numberInDash"/>
          <w:cols w:space="0" w:num="1"/>
          <w:rtlGutter w:val="0"/>
          <w:docGrid w:type="lines" w:linePitch="314" w:charSpace="0"/>
        </w:sectPr>
      </w:pPr>
      <w:r>
        <w:rPr>
          <w:rFonts w:hint="eastAsia" w:ascii="仿宋" w:hAnsi="仿宋" w:eastAsia="仿宋" w:cs="仿宋"/>
          <w:bCs/>
          <w:kern w:val="2"/>
          <w:sz w:val="30"/>
          <w:szCs w:val="30"/>
          <w:lang w:val="en-US" w:eastAsia="zh-CN" w:bidi="ar-SA"/>
        </w:rPr>
        <w:t>无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eastAsia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4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  <w:t>2023年度部门整体支出绩效自评表</w:t>
      </w:r>
    </w:p>
    <w:p>
      <w:pPr>
        <w:spacing w:line="132" w:lineRule="exact"/>
      </w:pPr>
    </w:p>
    <w:tbl>
      <w:tblPr>
        <w:tblStyle w:val="17"/>
        <w:tblW w:w="5071" w:type="pct"/>
        <w:jc w:val="center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818"/>
        <w:gridCol w:w="982"/>
        <w:gridCol w:w="967"/>
        <w:gridCol w:w="26"/>
        <w:gridCol w:w="1093"/>
        <w:gridCol w:w="963"/>
        <w:gridCol w:w="1015"/>
        <w:gridCol w:w="692"/>
        <w:gridCol w:w="716"/>
        <w:gridCol w:w="1358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</w:tblPrEx>
        <w:trPr>
          <w:trHeight w:val="901" w:hRule="atLeast"/>
          <w:jc w:val="center"/>
        </w:trPr>
        <w:tc>
          <w:tcPr>
            <w:tcW w:w="1603" w:type="pct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省级预算部门、单位名称</w:t>
            </w:r>
          </w:p>
        </w:tc>
        <w:tc>
          <w:tcPr>
            <w:tcW w:w="3396" w:type="pct"/>
            <w:gridSpan w:val="7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华容县住房和城乡建设局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20" w:hRule="atLeast"/>
          <w:jc w:val="center"/>
        </w:trPr>
        <w:tc>
          <w:tcPr>
            <w:tcW w:w="474" w:type="pct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年度预算申请（万元）</w:t>
            </w:r>
          </w:p>
        </w:tc>
        <w:tc>
          <w:tcPr>
            <w:tcW w:w="1129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48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年初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55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5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执行数</w:t>
            </w:r>
          </w:p>
        </w:tc>
        <w:tc>
          <w:tcPr>
            <w:tcW w:w="40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分值</w:t>
            </w:r>
          </w:p>
        </w:tc>
        <w:tc>
          <w:tcPr>
            <w:tcW w:w="4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执行率</w:t>
            </w:r>
          </w:p>
        </w:tc>
        <w:tc>
          <w:tcPr>
            <w:tcW w:w="7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自评得分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74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1129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年度资金总额</w:t>
            </w:r>
          </w:p>
        </w:tc>
        <w:tc>
          <w:tcPr>
            <w:tcW w:w="648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2126.5</w:t>
            </w:r>
          </w:p>
        </w:tc>
        <w:tc>
          <w:tcPr>
            <w:tcW w:w="55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19744.75</w:t>
            </w:r>
          </w:p>
        </w:tc>
        <w:tc>
          <w:tcPr>
            <w:tcW w:w="5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19744.75</w:t>
            </w:r>
          </w:p>
        </w:tc>
        <w:tc>
          <w:tcPr>
            <w:tcW w:w="40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</w:t>
            </w:r>
          </w:p>
        </w:tc>
        <w:tc>
          <w:tcPr>
            <w:tcW w:w="4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7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74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2335" w:type="pct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58" w:firstLineChars="28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按收入性质分：</w:t>
            </w:r>
          </w:p>
        </w:tc>
        <w:tc>
          <w:tcPr>
            <w:tcW w:w="2190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按支出性质分：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74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2335" w:type="pct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firstLine="210" w:firstLineChars="1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其中：一般公共预算：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17464.79</w:t>
            </w:r>
          </w:p>
        </w:tc>
        <w:tc>
          <w:tcPr>
            <w:tcW w:w="2190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firstLine="210" w:firstLineChars="100"/>
              <w:jc w:val="left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其中：基本支出：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1968.7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74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2335" w:type="pct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840" w:firstLineChars="4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政府性基金拨款：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2279.96</w:t>
            </w:r>
          </w:p>
        </w:tc>
        <w:tc>
          <w:tcPr>
            <w:tcW w:w="2190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firstLine="840" w:firstLineChars="400"/>
              <w:jc w:val="left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项目支出：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17776.05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74" w:type="pct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2335" w:type="pct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纳入专户管理的非税收入拨款：</w:t>
            </w:r>
          </w:p>
        </w:tc>
        <w:tc>
          <w:tcPr>
            <w:tcW w:w="2190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74" w:type="pct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2335" w:type="pct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其他资金：</w:t>
            </w:r>
          </w:p>
        </w:tc>
        <w:tc>
          <w:tcPr>
            <w:tcW w:w="2190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74" w:type="pct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</w:t>
            </w: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总</w:t>
            </w:r>
            <w:r>
              <w:rPr>
                <w:rFonts w:hint="eastAsia" w:ascii="黑体" w:hAnsi="黑体" w:eastAsia="黑体" w:cs="黑体"/>
                <w:sz w:val="21"/>
                <w:szCs w:val="21"/>
              </w:rPr>
              <w:t>体目标</w:t>
            </w:r>
          </w:p>
        </w:tc>
        <w:tc>
          <w:tcPr>
            <w:tcW w:w="2335" w:type="pct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预期目标</w:t>
            </w:r>
          </w:p>
        </w:tc>
        <w:tc>
          <w:tcPr>
            <w:tcW w:w="2190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实际完成情况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474" w:type="pct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2335" w:type="pct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不断提升城市功能品质；聚焦自建房安全排查整治、农村危房改造，老旧小区改造，切实改善群众住房条件；持续规范房地产市场行为，强化房地产市场调控，加强住房租赁市场管理，保持房地产市场平稳运行；优化建筑市场发展环境，支持建筑业做大做强。</w:t>
            </w:r>
          </w:p>
        </w:tc>
        <w:tc>
          <w:tcPr>
            <w:tcW w:w="2190" w:type="pct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已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按预期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目标完成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60" w:hRule="atLeast"/>
          <w:jc w:val="center"/>
        </w:trPr>
        <w:tc>
          <w:tcPr>
            <w:tcW w:w="474" w:type="pct"/>
            <w:vMerge w:val="restar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569" w:type="pct"/>
            <w:tcBorders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一级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</w:t>
            </w:r>
          </w:p>
        </w:tc>
        <w:tc>
          <w:tcPr>
            <w:tcW w:w="575" w:type="pct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二级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</w:t>
            </w:r>
          </w:p>
        </w:tc>
        <w:tc>
          <w:tcPr>
            <w:tcW w:w="633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三级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</w:t>
            </w:r>
          </w:p>
        </w:tc>
        <w:tc>
          <w:tcPr>
            <w:tcW w:w="55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指标值</w:t>
            </w:r>
          </w:p>
        </w:tc>
        <w:tc>
          <w:tcPr>
            <w:tcW w:w="5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完成值</w:t>
            </w:r>
          </w:p>
        </w:tc>
        <w:tc>
          <w:tcPr>
            <w:tcW w:w="40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分值</w:t>
            </w:r>
          </w:p>
        </w:tc>
        <w:tc>
          <w:tcPr>
            <w:tcW w:w="4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得分</w:t>
            </w:r>
          </w:p>
        </w:tc>
        <w:tc>
          <w:tcPr>
            <w:tcW w:w="7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偏差原因分析</w:t>
            </w:r>
            <w:r>
              <w:rPr>
                <w:rFonts w:hint="eastAsia" w:ascii="黑体" w:hAnsi="黑体" w:eastAsia="黑体" w:cs="黑体"/>
                <w:sz w:val="21"/>
                <w:szCs w:val="21"/>
              </w:rPr>
              <w:t>及改进措施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74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69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出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(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575" w:type="pct"/>
            <w:gridSpan w:val="2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数量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633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推进老旧小区改造个数</w:t>
            </w:r>
          </w:p>
        </w:tc>
        <w:tc>
          <w:tcPr>
            <w:tcW w:w="55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21个</w:t>
            </w:r>
          </w:p>
        </w:tc>
        <w:tc>
          <w:tcPr>
            <w:tcW w:w="5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26个</w:t>
            </w:r>
          </w:p>
        </w:tc>
        <w:tc>
          <w:tcPr>
            <w:tcW w:w="40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74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69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5" w:type="pct"/>
            <w:gridSpan w:val="2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33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完成农村危房改造户数</w:t>
            </w:r>
          </w:p>
        </w:tc>
        <w:tc>
          <w:tcPr>
            <w:tcW w:w="55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201户</w:t>
            </w:r>
          </w:p>
        </w:tc>
        <w:tc>
          <w:tcPr>
            <w:tcW w:w="5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201户</w:t>
            </w:r>
          </w:p>
        </w:tc>
        <w:tc>
          <w:tcPr>
            <w:tcW w:w="40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74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69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5" w:type="pct"/>
            <w:gridSpan w:val="2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质量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633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施工许可证、安全生产许可证发放合规性</w:t>
            </w:r>
          </w:p>
        </w:tc>
        <w:tc>
          <w:tcPr>
            <w:tcW w:w="55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合规</w:t>
            </w:r>
          </w:p>
        </w:tc>
        <w:tc>
          <w:tcPr>
            <w:tcW w:w="5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合规</w:t>
            </w:r>
          </w:p>
        </w:tc>
        <w:tc>
          <w:tcPr>
            <w:tcW w:w="40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74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69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5" w:type="pct"/>
            <w:gridSpan w:val="2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33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商品房预售许可合规率</w:t>
            </w:r>
          </w:p>
        </w:tc>
        <w:tc>
          <w:tcPr>
            <w:tcW w:w="55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100%</w:t>
            </w:r>
          </w:p>
        </w:tc>
        <w:tc>
          <w:tcPr>
            <w:tcW w:w="5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100%</w:t>
            </w:r>
          </w:p>
        </w:tc>
        <w:tc>
          <w:tcPr>
            <w:tcW w:w="40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74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69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5" w:type="pct"/>
            <w:gridSpan w:val="2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时效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633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施工许可证、安全生产许可证等许可证件发放的及时性</w:t>
            </w:r>
          </w:p>
        </w:tc>
        <w:tc>
          <w:tcPr>
            <w:tcW w:w="55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及时</w:t>
            </w:r>
          </w:p>
        </w:tc>
        <w:tc>
          <w:tcPr>
            <w:tcW w:w="5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及时</w:t>
            </w:r>
          </w:p>
        </w:tc>
        <w:tc>
          <w:tcPr>
            <w:tcW w:w="40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474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69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5" w:type="pct"/>
            <w:gridSpan w:val="2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33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农村危房改造、老旧小区改造按时间节点完成</w:t>
            </w:r>
          </w:p>
        </w:tc>
        <w:tc>
          <w:tcPr>
            <w:tcW w:w="55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按时间节点完成</w:t>
            </w:r>
          </w:p>
        </w:tc>
        <w:tc>
          <w:tcPr>
            <w:tcW w:w="5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按时间节点完成</w:t>
            </w:r>
          </w:p>
        </w:tc>
        <w:tc>
          <w:tcPr>
            <w:tcW w:w="40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74" w:type="pct"/>
            <w:vMerge w:val="restar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569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（30分）</w:t>
            </w:r>
          </w:p>
        </w:tc>
        <w:tc>
          <w:tcPr>
            <w:tcW w:w="575" w:type="pct"/>
            <w:gridSpan w:val="2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经济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633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推动建筑业发展，带动经济</w:t>
            </w:r>
          </w:p>
        </w:tc>
        <w:tc>
          <w:tcPr>
            <w:tcW w:w="55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优化建筑市场发展环境，支持建筑业做大做强</w:t>
            </w:r>
          </w:p>
        </w:tc>
        <w:tc>
          <w:tcPr>
            <w:tcW w:w="5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优化建筑市场发展环境，支持建筑业做大做强</w:t>
            </w:r>
          </w:p>
        </w:tc>
        <w:tc>
          <w:tcPr>
            <w:tcW w:w="40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</w:t>
            </w:r>
          </w:p>
        </w:tc>
        <w:tc>
          <w:tcPr>
            <w:tcW w:w="7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74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69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5" w:type="pct"/>
            <w:gridSpan w:val="2"/>
            <w:vMerge w:val="restart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社会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633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对地方城市形象的改善或提升程度</w:t>
            </w:r>
          </w:p>
        </w:tc>
        <w:tc>
          <w:tcPr>
            <w:tcW w:w="55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城市功能不断完善，品质不断提升</w:t>
            </w:r>
          </w:p>
        </w:tc>
        <w:tc>
          <w:tcPr>
            <w:tcW w:w="5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城市功能不断完善，品质不断提升</w:t>
            </w:r>
          </w:p>
        </w:tc>
        <w:tc>
          <w:tcPr>
            <w:tcW w:w="40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74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69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5" w:type="pct"/>
            <w:gridSpan w:val="2"/>
            <w:vMerge w:val="continue"/>
            <w:tcBorders>
              <w:top w:val="nil"/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33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严格建筑市场准入管理，规范行业市场行为</w:t>
            </w:r>
          </w:p>
        </w:tc>
        <w:tc>
          <w:tcPr>
            <w:tcW w:w="55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促进建筑业健康发展　</w:t>
            </w:r>
          </w:p>
        </w:tc>
        <w:tc>
          <w:tcPr>
            <w:tcW w:w="5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促进建筑业健康发展　</w:t>
            </w:r>
          </w:p>
        </w:tc>
        <w:tc>
          <w:tcPr>
            <w:tcW w:w="40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4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74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69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5" w:type="pct"/>
            <w:gridSpan w:val="2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生态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633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对城乡居民人居环境的改善或提升程度</w:t>
            </w:r>
          </w:p>
        </w:tc>
        <w:tc>
          <w:tcPr>
            <w:tcW w:w="55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居民居住环境不断改善</w:t>
            </w:r>
          </w:p>
        </w:tc>
        <w:tc>
          <w:tcPr>
            <w:tcW w:w="5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居民居住环境不断改善</w:t>
            </w:r>
          </w:p>
        </w:tc>
        <w:tc>
          <w:tcPr>
            <w:tcW w:w="40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74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69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5" w:type="pct"/>
            <w:gridSpan w:val="2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可持续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影响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633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5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74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69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（10分）</w:t>
            </w:r>
          </w:p>
        </w:tc>
        <w:tc>
          <w:tcPr>
            <w:tcW w:w="575" w:type="pct"/>
            <w:gridSpan w:val="2"/>
            <w:vMerge w:val="restart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服务对象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633" w:type="pct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服务对象满意度</w:t>
            </w:r>
          </w:p>
        </w:tc>
        <w:tc>
          <w:tcPr>
            <w:tcW w:w="55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95%以上</w:t>
            </w:r>
          </w:p>
        </w:tc>
        <w:tc>
          <w:tcPr>
            <w:tcW w:w="5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95%</w:t>
            </w:r>
          </w:p>
        </w:tc>
        <w:tc>
          <w:tcPr>
            <w:tcW w:w="40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4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74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69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5" w:type="pct"/>
            <w:gridSpan w:val="2"/>
            <w:vMerge w:val="continue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633" w:type="pct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5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74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69" w:type="pct"/>
            <w:vMerge w:val="restart"/>
            <w:tcBorders>
              <w:top w:val="single" w:color="auto" w:sz="4" w:space="0"/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成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（2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）</w:t>
            </w:r>
          </w:p>
        </w:tc>
        <w:tc>
          <w:tcPr>
            <w:tcW w:w="575" w:type="pct"/>
            <w:gridSpan w:val="2"/>
            <w:tcBorders>
              <w:top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经济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633" w:type="pct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资金按计划及时拨付，尽量减少资金结余</w:t>
            </w:r>
          </w:p>
        </w:tc>
        <w:tc>
          <w:tcPr>
            <w:tcW w:w="55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按预算执行</w:t>
            </w:r>
          </w:p>
        </w:tc>
        <w:tc>
          <w:tcPr>
            <w:tcW w:w="5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按预算执行</w:t>
            </w:r>
          </w:p>
        </w:tc>
        <w:tc>
          <w:tcPr>
            <w:tcW w:w="40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20</w:t>
            </w:r>
          </w:p>
        </w:tc>
        <w:tc>
          <w:tcPr>
            <w:tcW w:w="4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20</w:t>
            </w:r>
          </w:p>
        </w:tc>
        <w:tc>
          <w:tcPr>
            <w:tcW w:w="7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5" w:hRule="atLeast"/>
          <w:jc w:val="center"/>
        </w:trPr>
        <w:tc>
          <w:tcPr>
            <w:tcW w:w="474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69" w:type="pct"/>
            <w:vMerge w:val="continue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5" w:type="pct"/>
            <w:gridSpan w:val="2"/>
            <w:tcBorders>
              <w:top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社会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633" w:type="pct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5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474" w:type="pct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69" w:type="pct"/>
            <w:vMerge w:val="continue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75" w:type="pct"/>
            <w:gridSpan w:val="2"/>
            <w:tcBorders>
              <w:top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生态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环境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633" w:type="pct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5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0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4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3396" w:type="pct"/>
            <w:gridSpan w:val="7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总分</w:t>
            </w:r>
          </w:p>
        </w:tc>
        <w:tc>
          <w:tcPr>
            <w:tcW w:w="40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100</w:t>
            </w:r>
          </w:p>
        </w:tc>
        <w:tc>
          <w:tcPr>
            <w:tcW w:w="41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99</w:t>
            </w:r>
          </w:p>
        </w:tc>
        <w:tc>
          <w:tcPr>
            <w:tcW w:w="787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</w:tbl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填表人：     填报日期：         联系电话：           单位负责人签字：</w:t>
      </w:r>
    </w:p>
    <w:p>
      <w:pPr>
        <w:rPr>
          <w:rFonts w:hint="eastAsia"/>
        </w:rPr>
      </w:pPr>
      <w:r>
        <w:rPr>
          <w:rFonts w:hint="eastAsia"/>
        </w:rPr>
        <w:br w:type="page"/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jc w:val="both"/>
        <w:textAlignment w:val="auto"/>
        <w:rPr>
          <w:rFonts w:hint="eastAsia" w:ascii="黑体" w:hAnsi="黑体" w:eastAsia="黑体" w:cs="黑体"/>
          <w:sz w:val="21"/>
          <w:szCs w:val="21"/>
          <w:lang w:val="en-US" w:eastAsia="zh-CN"/>
        </w:rPr>
      </w:pPr>
    </w:p>
    <w:sectPr>
      <w:footerReference r:id="rId5" w:type="default"/>
      <w:pgSz w:w="11905" w:h="16838"/>
      <w:pgMar w:top="1984" w:right="1701" w:bottom="1984" w:left="1701" w:header="850" w:footer="1587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0" w:num="1"/>
      <w:rtlGutter w:val="0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EDB0A4B8-DD2B-4AB5-B00A-74AAED24CDDF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495312A0-38F9-4A68-B7D3-2A50DEFBACE9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CC7630C3-468C-467B-9950-8697096A200F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C8713AB7-C38B-4895-BF42-F3D6A30928AE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BB0DAA50-A2EF-47C1-8B48-CD50806D7DC9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6" w:fontKey="{E8ED82B7-DB01-480A-B71B-CC2B45E58365}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7" w:fontKey="{58EEB23B-6CFA-4DBF-83C6-8DE229DCACD2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8" w:fontKey="{AF0139CD-59AC-49D5-938A-4601813F8A0A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9" w:fontKey="{2F5CCEC6-5F24-4438-9118-39038E4AE870}"/>
  </w:font>
  <w:font w:name="华文仿宋">
    <w:altName w:val="仿宋"/>
    <w:panose1 w:val="02010600040101010101"/>
    <w:charset w:val="86"/>
    <w:family w:val="auto"/>
    <w:pitch w:val="default"/>
    <w:sig w:usb0="00000000" w:usb1="00000000" w:usb2="00000000" w:usb3="00000000" w:csb0="0004009F" w:csb1="DFD70000"/>
    <w:embedRegular r:id="rId10" w:fontKey="{A938A3FE-777B-49B5-B71F-CD4278888122}"/>
  </w:font>
  <w:font w:name="方正小标宋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11" w:fontKey="{4014C50E-B870-4156-920E-2DDDA5824D42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spacing w:before="1" w:line="174" w:lineRule="auto"/>
      <w:jc w:val="center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t>7</w: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mor5UxAgAAYw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pqK+VMQIAAGM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</w:pP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begin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instrText xml:space="preserve"> PAGE  \* MERGEFORMAT </w:instrTex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separate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t>7</w: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spacing w:before="1" w:line="174" w:lineRule="auto"/>
      <w:ind w:left="8576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1" name="文本框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t>10</w: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DrADh6MQIAAGM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t>10</w: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spacing w:before="1" w:line="174" w:lineRule="auto"/>
      <w:ind w:left="574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t>15</w: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t>15</w: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5CC7DEE"/>
    <w:multiLevelType w:val="singleLevel"/>
    <w:tmpl w:val="E5CC7DEE"/>
    <w:lvl w:ilvl="0" w:tentative="0">
      <w:start w:val="1"/>
      <w:numFmt w:val="chineseCounting"/>
      <w:suff w:val="nothing"/>
      <w:lvlText w:val="%1、"/>
      <w:lvlJc w:val="left"/>
      <w:pPr>
        <w:ind w:left="-14"/>
      </w:pPr>
      <w:rPr>
        <w:rFonts w:hint="eastAsia"/>
        <w:b/>
        <w:bCs/>
        <w:i/>
        <w:iCs/>
      </w:rPr>
    </w:lvl>
  </w:abstractNum>
  <w:abstractNum w:abstractNumId="1">
    <w:nsid w:val="FA4A5999"/>
    <w:multiLevelType w:val="singleLevel"/>
    <w:tmpl w:val="FA4A5999"/>
    <w:lvl w:ilvl="0" w:tentative="0">
      <w:start w:val="6"/>
      <w:numFmt w:val="chineseCounting"/>
      <w:suff w:val="space"/>
      <w:lvlText w:val="%1、"/>
      <w:lvlJc w:val="left"/>
      <w:rPr>
        <w:rFonts w:hint="eastAsia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0"/>
  <w:bordersDoNotSurroundFooter w:val="0"/>
  <w:documentProtection w:enforcement="0"/>
  <w:defaultTabStop w:val="420"/>
  <w:drawingGridHorizontalSpacing w:val="210"/>
  <w:drawingGridVerticalSpacing w:val="157"/>
  <w:displayHorizontalDrawingGridEvery w:val="1"/>
  <w:displayVerticalDrawingGridEvery w:val="2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Q3YTU4NWRjNjFkODc0NDg4YWJjZDk4ODBiMWQ4ZTEifQ=="/>
    <w:docVar w:name="KSO_WPS_MARK_KEY" w:val="d39e5970-c69a-44af-9781-58516c249071"/>
  </w:docVars>
  <w:rsids>
    <w:rsidRoot w:val="0CCB7736"/>
    <w:rsid w:val="00047FEF"/>
    <w:rsid w:val="000A3906"/>
    <w:rsid w:val="001776F1"/>
    <w:rsid w:val="006F0A16"/>
    <w:rsid w:val="00773328"/>
    <w:rsid w:val="00821883"/>
    <w:rsid w:val="00917857"/>
    <w:rsid w:val="00951882"/>
    <w:rsid w:val="00A755C2"/>
    <w:rsid w:val="00D06DD6"/>
    <w:rsid w:val="011D2710"/>
    <w:rsid w:val="016A347B"/>
    <w:rsid w:val="01B42948"/>
    <w:rsid w:val="01BF20E7"/>
    <w:rsid w:val="01E4322D"/>
    <w:rsid w:val="021138F7"/>
    <w:rsid w:val="02B50488"/>
    <w:rsid w:val="0338470A"/>
    <w:rsid w:val="034822A9"/>
    <w:rsid w:val="03D86621"/>
    <w:rsid w:val="04EE6171"/>
    <w:rsid w:val="05315F6B"/>
    <w:rsid w:val="05395EA9"/>
    <w:rsid w:val="0616597F"/>
    <w:rsid w:val="06426ACC"/>
    <w:rsid w:val="07A62D33"/>
    <w:rsid w:val="086B5F82"/>
    <w:rsid w:val="09E6794E"/>
    <w:rsid w:val="0A067AB9"/>
    <w:rsid w:val="0ABD557B"/>
    <w:rsid w:val="0BBB5A8D"/>
    <w:rsid w:val="0C104906"/>
    <w:rsid w:val="0C607C21"/>
    <w:rsid w:val="0CCB7736"/>
    <w:rsid w:val="0D9E0E8D"/>
    <w:rsid w:val="0E1F65D3"/>
    <w:rsid w:val="0E3E5716"/>
    <w:rsid w:val="0E6B257C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837AA9"/>
    <w:rsid w:val="11963ADD"/>
    <w:rsid w:val="11EB0F5C"/>
    <w:rsid w:val="11F20483"/>
    <w:rsid w:val="12123C76"/>
    <w:rsid w:val="12831010"/>
    <w:rsid w:val="129038DB"/>
    <w:rsid w:val="13441D7E"/>
    <w:rsid w:val="136F31F8"/>
    <w:rsid w:val="138750E0"/>
    <w:rsid w:val="1396506E"/>
    <w:rsid w:val="13D82A59"/>
    <w:rsid w:val="140E6961"/>
    <w:rsid w:val="15604228"/>
    <w:rsid w:val="15A620D3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A34935"/>
    <w:rsid w:val="1D5A640E"/>
    <w:rsid w:val="1E9351E5"/>
    <w:rsid w:val="1F7640EC"/>
    <w:rsid w:val="20176B8B"/>
    <w:rsid w:val="20D30097"/>
    <w:rsid w:val="20D76C5F"/>
    <w:rsid w:val="20E55C2B"/>
    <w:rsid w:val="21057490"/>
    <w:rsid w:val="214A230E"/>
    <w:rsid w:val="21B052C4"/>
    <w:rsid w:val="22A209E2"/>
    <w:rsid w:val="22B43877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7A77CA"/>
    <w:rsid w:val="28043432"/>
    <w:rsid w:val="284A2254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C772686"/>
    <w:rsid w:val="2E4F43C0"/>
    <w:rsid w:val="2EC7368E"/>
    <w:rsid w:val="2EDC05D9"/>
    <w:rsid w:val="2F240CAA"/>
    <w:rsid w:val="2F5137B6"/>
    <w:rsid w:val="2FF62815"/>
    <w:rsid w:val="30FB4B41"/>
    <w:rsid w:val="31621165"/>
    <w:rsid w:val="322E1E8E"/>
    <w:rsid w:val="323C5548"/>
    <w:rsid w:val="326804EE"/>
    <w:rsid w:val="33235CE2"/>
    <w:rsid w:val="33F22F3B"/>
    <w:rsid w:val="359F2200"/>
    <w:rsid w:val="35A42962"/>
    <w:rsid w:val="36AD0EA9"/>
    <w:rsid w:val="36FF783F"/>
    <w:rsid w:val="37450F88"/>
    <w:rsid w:val="375F1A7E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A0F7AD4"/>
    <w:rsid w:val="3A53023B"/>
    <w:rsid w:val="3AF42D2D"/>
    <w:rsid w:val="3B062751"/>
    <w:rsid w:val="3B3A041F"/>
    <w:rsid w:val="3BAE6BF9"/>
    <w:rsid w:val="3BEE0229"/>
    <w:rsid w:val="3C3568D7"/>
    <w:rsid w:val="3CCA47F2"/>
    <w:rsid w:val="3CDE0708"/>
    <w:rsid w:val="3D33006A"/>
    <w:rsid w:val="3D3954D4"/>
    <w:rsid w:val="3D5877DF"/>
    <w:rsid w:val="3DAE53BC"/>
    <w:rsid w:val="3DC55CAA"/>
    <w:rsid w:val="3DD556CA"/>
    <w:rsid w:val="3DFE271A"/>
    <w:rsid w:val="3E5F4AE1"/>
    <w:rsid w:val="3F450429"/>
    <w:rsid w:val="3FB6105E"/>
    <w:rsid w:val="3FBF3F86"/>
    <w:rsid w:val="3FF70715"/>
    <w:rsid w:val="3FFD550C"/>
    <w:rsid w:val="4021030A"/>
    <w:rsid w:val="40226C80"/>
    <w:rsid w:val="406B1CD9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4143822"/>
    <w:rsid w:val="44654A12"/>
    <w:rsid w:val="44E421C9"/>
    <w:rsid w:val="45320384"/>
    <w:rsid w:val="457C5F26"/>
    <w:rsid w:val="4716830A"/>
    <w:rsid w:val="47BF53CA"/>
    <w:rsid w:val="48B126BB"/>
    <w:rsid w:val="49CF255F"/>
    <w:rsid w:val="4A3239D7"/>
    <w:rsid w:val="4B2C5DCD"/>
    <w:rsid w:val="4B46D032"/>
    <w:rsid w:val="4B7D1173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B17672"/>
    <w:rsid w:val="4DB27F04"/>
    <w:rsid w:val="4F4E1C81"/>
    <w:rsid w:val="4F5D15A2"/>
    <w:rsid w:val="4FCB46B2"/>
    <w:rsid w:val="4FFE57BD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87476B"/>
    <w:rsid w:val="53910AF4"/>
    <w:rsid w:val="53FBDA3F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F72F7C"/>
    <w:rsid w:val="5717642E"/>
    <w:rsid w:val="57946554"/>
    <w:rsid w:val="57D80A00"/>
    <w:rsid w:val="586243BF"/>
    <w:rsid w:val="58FD3402"/>
    <w:rsid w:val="5968027A"/>
    <w:rsid w:val="5AAF7799"/>
    <w:rsid w:val="5AB04BD0"/>
    <w:rsid w:val="5B0D75A1"/>
    <w:rsid w:val="5B5C1753"/>
    <w:rsid w:val="5BE211F7"/>
    <w:rsid w:val="5BF510BE"/>
    <w:rsid w:val="5C6C4B26"/>
    <w:rsid w:val="5D03DFF6"/>
    <w:rsid w:val="5D9C3D56"/>
    <w:rsid w:val="5DD775C7"/>
    <w:rsid w:val="5E134100"/>
    <w:rsid w:val="5F7A1C50"/>
    <w:rsid w:val="5FC69000"/>
    <w:rsid w:val="601C4AB5"/>
    <w:rsid w:val="604F2F3E"/>
    <w:rsid w:val="60BE691E"/>
    <w:rsid w:val="60F838FC"/>
    <w:rsid w:val="61444403"/>
    <w:rsid w:val="62265BDF"/>
    <w:rsid w:val="62E1699A"/>
    <w:rsid w:val="62FBC294"/>
    <w:rsid w:val="63123C13"/>
    <w:rsid w:val="637D5875"/>
    <w:rsid w:val="64147F0D"/>
    <w:rsid w:val="64B713E7"/>
    <w:rsid w:val="64D66362"/>
    <w:rsid w:val="65860217"/>
    <w:rsid w:val="659D5052"/>
    <w:rsid w:val="667E0AA1"/>
    <w:rsid w:val="66AE5CE5"/>
    <w:rsid w:val="66D4191C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8D38AE"/>
    <w:rsid w:val="6BA1010E"/>
    <w:rsid w:val="6BC80F42"/>
    <w:rsid w:val="6CE47E41"/>
    <w:rsid w:val="6CED5810"/>
    <w:rsid w:val="6CF92413"/>
    <w:rsid w:val="6DFE5E04"/>
    <w:rsid w:val="6E0D1F7B"/>
    <w:rsid w:val="6E796921"/>
    <w:rsid w:val="6E87203D"/>
    <w:rsid w:val="6F9278BB"/>
    <w:rsid w:val="6FB7D4E3"/>
    <w:rsid w:val="6FBE0EF0"/>
    <w:rsid w:val="6FFF1C22"/>
    <w:rsid w:val="70EC5DDE"/>
    <w:rsid w:val="71572F19"/>
    <w:rsid w:val="719B7427"/>
    <w:rsid w:val="71E33685"/>
    <w:rsid w:val="71F326B3"/>
    <w:rsid w:val="724A6793"/>
    <w:rsid w:val="72647B59"/>
    <w:rsid w:val="7372FC32"/>
    <w:rsid w:val="73A56E44"/>
    <w:rsid w:val="73B12A87"/>
    <w:rsid w:val="741F26FA"/>
    <w:rsid w:val="74470DF8"/>
    <w:rsid w:val="744E1D52"/>
    <w:rsid w:val="74BD60BB"/>
    <w:rsid w:val="74CF0052"/>
    <w:rsid w:val="74FA3C0D"/>
    <w:rsid w:val="751D6EAE"/>
    <w:rsid w:val="75FD1676"/>
    <w:rsid w:val="7687113B"/>
    <w:rsid w:val="76C3247D"/>
    <w:rsid w:val="76EFC8B0"/>
    <w:rsid w:val="776ACBF9"/>
    <w:rsid w:val="77FF7A21"/>
    <w:rsid w:val="78F85B3E"/>
    <w:rsid w:val="7951325E"/>
    <w:rsid w:val="799536BA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352599"/>
    <w:rsid w:val="7E474F7B"/>
    <w:rsid w:val="7E7F4A49"/>
    <w:rsid w:val="7E8F7AC1"/>
    <w:rsid w:val="7F2BE2DA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qFormat="1" w:unhideWhenUsed="0" w:uiPriority="0" w:name="Body Text"/>
    <w:lsdException w:qFormat="1" w:unhideWhenUsed="0" w:uiPriority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qFormat="1" w:unhideWhenUsed="0" w:uiPriority="0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4">
    <w:name w:val="heading 1"/>
    <w:basedOn w:val="1"/>
    <w:next w:val="1"/>
    <w:qFormat/>
    <w:locked/>
    <w:uiPriority w:val="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12">
    <w:name w:val="Default Paragraph Font"/>
    <w:semiHidden/>
    <w:qFormat/>
    <w:uiPriority w:val="99"/>
  </w:style>
  <w:style w:type="table" w:default="1" w:styleId="10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eastAsia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semiHidden/>
    <w:qFormat/>
    <w:uiPriority w:val="0"/>
    <w:pPr>
      <w:spacing w:after="120"/>
      <w:ind w:left="283" w:leftChars="0" w:firstLine="210"/>
    </w:pPr>
    <w:rPr>
      <w:rFonts w:ascii="Times New Roman" w:eastAsia="宋体"/>
      <w:sz w:val="21"/>
    </w:rPr>
  </w:style>
  <w:style w:type="paragraph" w:styleId="3">
    <w:name w:val="Body Text Indent"/>
    <w:basedOn w:val="1"/>
    <w:semiHidden/>
    <w:qFormat/>
    <w:uiPriority w:val="0"/>
    <w:pPr>
      <w:ind w:left="659" w:leftChars="314"/>
    </w:pPr>
    <w:rPr>
      <w:rFonts w:ascii="仿宋_GB2312" w:eastAsia="仿宋_GB2312"/>
      <w:sz w:val="24"/>
    </w:rPr>
  </w:style>
  <w:style w:type="paragraph" w:styleId="5">
    <w:name w:val="Body Text"/>
    <w:basedOn w:val="1"/>
    <w:semiHidden/>
    <w:qFormat/>
    <w:uiPriority w:val="0"/>
    <w:rPr>
      <w:rFonts w:ascii="仿宋" w:hAnsi="仿宋" w:eastAsia="仿宋" w:cs="仿宋"/>
      <w:sz w:val="31"/>
      <w:szCs w:val="31"/>
      <w:lang w:val="en-US" w:eastAsia="en-US" w:bidi="ar-SA"/>
    </w:rPr>
  </w:style>
  <w:style w:type="paragraph" w:styleId="6">
    <w:name w:val="footer"/>
    <w:basedOn w:val="1"/>
    <w:link w:val="14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5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8">
    <w:name w:val="footnote text"/>
    <w:basedOn w:val="1"/>
    <w:next w:val="1"/>
    <w:qFormat/>
    <w:uiPriority w:val="0"/>
    <w:pPr>
      <w:snapToGrid w:val="0"/>
      <w:jc w:val="left"/>
    </w:pPr>
    <w:rPr>
      <w:sz w:val="18"/>
      <w:szCs w:val="18"/>
    </w:rPr>
  </w:style>
  <w:style w:type="paragraph" w:styleId="9">
    <w:name w:val="Normal (Web)"/>
    <w:basedOn w:val="1"/>
    <w:qFormat/>
    <w:uiPriority w:val="0"/>
    <w:pPr>
      <w:spacing w:before="100" w:beforeAutospacing="1" w:after="10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11">
    <w:name w:val="Table Grid"/>
    <w:basedOn w:val="10"/>
    <w:qFormat/>
    <w:uiPriority w:val="9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3">
    <w:name w:val="page number"/>
    <w:basedOn w:val="12"/>
    <w:qFormat/>
    <w:uiPriority w:val="99"/>
    <w:rPr>
      <w:rFonts w:cs="Times New Roman"/>
    </w:rPr>
  </w:style>
  <w:style w:type="character" w:customStyle="1" w:styleId="14">
    <w:name w:val="Footer Char"/>
    <w:basedOn w:val="12"/>
    <w:link w:val="6"/>
    <w:semiHidden/>
    <w:qFormat/>
    <w:uiPriority w:val="99"/>
    <w:rPr>
      <w:sz w:val="18"/>
      <w:szCs w:val="18"/>
    </w:rPr>
  </w:style>
  <w:style w:type="character" w:customStyle="1" w:styleId="15">
    <w:name w:val="Header Char"/>
    <w:basedOn w:val="12"/>
    <w:link w:val="7"/>
    <w:semiHidden/>
    <w:qFormat/>
    <w:uiPriority w:val="99"/>
    <w:rPr>
      <w:sz w:val="18"/>
      <w:szCs w:val="18"/>
    </w:rPr>
  </w:style>
  <w:style w:type="paragraph" w:styleId="16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table" w:customStyle="1" w:styleId="17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8">
    <w:name w:val="Table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oter" Target="footer3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10</Pages>
  <Words>3475</Words>
  <Characters>3805</Characters>
  <Lines>0</Lines>
  <Paragraphs>0</Paragraphs>
  <TotalTime>70</TotalTime>
  <ScaleCrop>false</ScaleCrop>
  <LinksUpToDate>false</LinksUpToDate>
  <CharactersWithSpaces>3881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2020-06-06T01:07:00Z</dcterms:created>
  <dc:creator>Administrator</dc:creator>
  <cp:lastModifiedBy>黄可夫</cp:lastModifiedBy>
  <cp:lastPrinted>2024-05-28T07:49:00Z</cp:lastPrinted>
  <dcterms:modified xsi:type="dcterms:W3CDTF">2024-05-31T00:09:07Z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2052-11.1.0.12980</vt:lpwstr>
  </property>
  <property fmtid="{D5CDD505-2E9C-101B-9397-08002B2CF9AE}" pid="3" name="KSOSaveFontToCloudKey">
    <vt:lpwstr>386772509_embed</vt:lpwstr>
  </property>
  <property fmtid="{D5CDD505-2E9C-101B-9397-08002B2CF9AE}" pid="4" name="ICV">
    <vt:lpwstr>40AD524518B94A92BDF1262EF8E5269B</vt:lpwstr>
  </property>
</Properties>
</file>