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5</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年度</w:t>
      </w:r>
      <w:r>
        <w:rPr>
          <w:rFonts w:hint="eastAsia" w:ascii="黑体" w:hAnsi="黑体" w:eastAsia="黑体" w:cs="黑体"/>
          <w:sz w:val="44"/>
          <w:szCs w:val="44"/>
          <w:lang w:eastAsia="zh-CN"/>
        </w:rPr>
        <w:t>华容县住房和城乡建设局</w:t>
      </w:r>
      <w:r>
        <w:rPr>
          <w:rFonts w:hint="eastAsia" w:ascii="黑体" w:hAnsi="黑体" w:eastAsia="黑体" w:cs="黑体"/>
          <w:sz w:val="44"/>
          <w:szCs w:val="44"/>
        </w:rPr>
        <w:t>部门（单位）</w:t>
      </w:r>
      <w:r>
        <w:rPr>
          <w:rFonts w:hint="eastAsia" w:ascii="黑体" w:hAnsi="黑体" w:eastAsia="黑体" w:cs="黑体"/>
          <w:sz w:val="44"/>
          <w:szCs w:val="44"/>
          <w:lang w:eastAsia="zh-CN"/>
        </w:rPr>
        <w:t>老旧小区改造项目</w:t>
      </w:r>
      <w:r>
        <w:rPr>
          <w:rFonts w:hint="eastAsia" w:ascii="黑体" w:hAnsi="黑体" w:eastAsia="黑体" w:cs="黑体"/>
          <w:sz w:val="44"/>
          <w:szCs w:val="44"/>
        </w:rPr>
        <w:t>支出</w:t>
      </w:r>
    </w:p>
    <w:p>
      <w:pPr>
        <w:jc w:val="center"/>
        <w:rPr>
          <w:rFonts w:hint="eastAsia" w:ascii="黑体" w:hAnsi="黑体" w:eastAsia="黑体" w:cs="黑体"/>
          <w:sz w:val="44"/>
          <w:szCs w:val="44"/>
        </w:rPr>
      </w:pPr>
      <w:r>
        <w:rPr>
          <w:rFonts w:hint="eastAsia" w:ascii="黑体" w:hAnsi="黑体" w:eastAsia="黑体" w:cs="黑体"/>
          <w:sz w:val="44"/>
          <w:szCs w:val="44"/>
        </w:rPr>
        <w:t>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pStyle w:val="6"/>
        <w:rPr>
          <w:rFonts w:hint="default"/>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pStyle w:val="4"/>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single" w:color="auto"/>
        </w:rPr>
        <w:t xml:space="preserve">       </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ind w:firstLine="4560" w:firstLineChars="1500"/>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43"/>
          <w:sz w:val="32"/>
          <w:szCs w:val="32"/>
          <w:lang w:val="en-US" w:eastAsia="zh-CN"/>
        </w:rPr>
        <w:t>30</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pStyle w:val="4"/>
        <w:spacing w:before="102" w:line="224" w:lineRule="auto"/>
        <w:ind w:left="3216"/>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（此页为封面）</w:t>
      </w:r>
    </w:p>
    <w:p>
      <w:pPr>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br w:type="page"/>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年度</w:t>
      </w:r>
      <w:r>
        <w:rPr>
          <w:rFonts w:hint="eastAsia" w:ascii="黑体" w:hAnsi="黑体" w:eastAsia="黑体" w:cs="黑体"/>
          <w:sz w:val="44"/>
          <w:szCs w:val="44"/>
          <w:lang w:eastAsia="zh-CN"/>
        </w:rPr>
        <w:t>华容县住房和城乡建设局</w:t>
      </w:r>
      <w:r>
        <w:rPr>
          <w:rFonts w:hint="eastAsia" w:ascii="黑体" w:hAnsi="黑体" w:eastAsia="黑体" w:cs="黑体"/>
          <w:sz w:val="44"/>
          <w:szCs w:val="44"/>
        </w:rPr>
        <w:t>部门（单位）</w:t>
      </w:r>
      <w:r>
        <w:rPr>
          <w:rFonts w:hint="eastAsia" w:ascii="黑体" w:hAnsi="黑体" w:eastAsia="黑体" w:cs="黑体"/>
          <w:sz w:val="44"/>
          <w:szCs w:val="44"/>
          <w:lang w:eastAsia="zh-CN"/>
        </w:rPr>
        <w:t>老旧小区改造项目</w:t>
      </w:r>
      <w:r>
        <w:rPr>
          <w:rFonts w:hint="eastAsia" w:ascii="黑体" w:hAnsi="黑体" w:eastAsia="黑体" w:cs="黑体"/>
          <w:sz w:val="44"/>
          <w:szCs w:val="44"/>
        </w:rPr>
        <w:t>支出</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绩效自评报告</w:t>
      </w:r>
    </w:p>
    <w:p>
      <w:pPr>
        <w:pStyle w:val="2"/>
        <w:rPr>
          <w:rFonts w:hint="eastAsia" w:ascii="黑体" w:hAnsi="黑体" w:eastAsia="黑体" w:cs="黑体"/>
        </w:rPr>
      </w:pP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numPr>
          <w:ilvl w:val="0"/>
          <w:numId w:val="1"/>
        </w:numPr>
        <w:spacing w:before="98" w:line="223" w:lineRule="auto"/>
        <w:ind w:left="584"/>
        <w:outlineLvl w:val="1"/>
      </w:pPr>
      <w:r>
        <w:rPr>
          <w:rFonts w:ascii="黑体" w:hAnsi="黑体" w:eastAsia="黑体" w:cs="黑体"/>
          <w:b/>
          <w:bCs/>
          <w:spacing w:val="-1"/>
          <w:sz w:val="30"/>
          <w:szCs w:val="30"/>
        </w:rPr>
        <w:t>基本情况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both"/>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b/>
          <w:color w:val="333333"/>
          <w:kern w:val="0"/>
          <w:sz w:val="30"/>
          <w:szCs w:val="30"/>
          <w:lang w:val="en-US" w:eastAsia="zh-CN" w:bidi="ar"/>
        </w:rPr>
        <w:t>（一）项目概况</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我县2023年度城镇老旧小区改造任务为：改造广厦社区、城兴街社区等社区老旧小区26个，5993户，建筑面积57.23万平方米。</w:t>
      </w:r>
    </w:p>
    <w:p>
      <w:pPr>
        <w:keepNext w:val="0"/>
        <w:keepLines w:val="0"/>
        <w:widowControl/>
        <w:suppressLineNumbers w:val="0"/>
        <w:spacing w:before="0" w:beforeAutospacing="0" w:after="0" w:afterAutospacing="0" w:line="480" w:lineRule="auto"/>
        <w:ind w:left="0" w:right="0" w:firstLine="640"/>
        <w:jc w:val="left"/>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（二）项目计划批复与完成情况</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2022年省下达我县老旧小区改造任务为：改造老旧小区26个，总建筑面积57.23万平方米，涉及居民5993户,计划投资5267万元。截至2023年12月31日，我县2023年度实际改造完成老旧小区26个，建筑面积57.23万平方米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（三）项目资金计划、到位情况</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1、资金计划批复情况。</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《湖南省财政厅、湖南省住房和城乡建设厅关于下达2023中央财政保障性安居工程补助资金的通知》（湘财预〔2022〕120号 ）2672万元，省级资金248万元《关于下达2023年省级财政城镇保障性安居工程专项资金的通知》（湘财预〔2023〕257号 ）均已批复。</w:t>
      </w:r>
    </w:p>
    <w:p>
      <w:pPr>
        <w:keepNext w:val="0"/>
        <w:keepLines w:val="0"/>
        <w:widowControl/>
        <w:suppressLineNumbers w:val="0"/>
        <w:spacing w:before="0" w:beforeAutospacing="0" w:after="0" w:afterAutospacing="0" w:line="480" w:lineRule="auto"/>
        <w:ind w:left="0" w:right="0" w:firstLine="683"/>
        <w:jc w:val="left"/>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2、资金到位情况。</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华容县2023年度老旧小区改造项目资金到位率为100%，其中中央补助资金及省级资金2920万元，已全部到位，并完成支付。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lang w:val="en-US"/>
        </w:rPr>
      </w:pPr>
      <w:r>
        <w:rPr>
          <w:rFonts w:hint="eastAsia" w:ascii="仿宋_GB2312" w:hAnsi="仿宋_GB2312" w:eastAsia="仿宋_GB2312" w:cs="仿宋_GB2312"/>
          <w:b/>
          <w:color w:val="333333"/>
          <w:kern w:val="0"/>
          <w:sz w:val="30"/>
          <w:szCs w:val="30"/>
          <w:lang w:val="en-US" w:eastAsia="zh-CN" w:bidi="ar"/>
        </w:rPr>
        <w:t>二、主要绩效情况分析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（一）资金管理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1、项目申报及资金申请</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2022年10月，我局及时组织各社区认真摸排，制定2023年度城市老旧小区改造计划，经县政府盖章确认后上报省住建厅。最终确定我县2023年老旧小区改造为26个小区，涉及5993户，建筑面积57.23万平方米。2023年中央资金2672万元已全部申请拨付到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2、资金使用</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严格按照财务管理要求，设置专账核算，资金使用管理手续规范，建设项目拨款申请表、发票、财政直接支付凭证等资金使用手续完整规范。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项目资金使用符合相关的财务管理制度规定，项目资金规范运行。资金使用符合国家财经法规和财务管理制度以及有关专项资金管理办法的规定，符合项目预算批复或合同规定的用途，资金的拨付有完整的审批程序和手续。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（二）项目管理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1、中长期工作规划制定</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县住房和城乡建设局组织各社区对辖区内老旧小区进行细致的调查摸底，确定2023年改造计划，准确完整填报了计划改造小区的个数、总户数、占地面积、建筑面积、投资估算等具体内容。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 2、年度计划与实施方案制定</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spacing w:before="0" w:beforeAutospacing="0" w:after="0" w:afterAutospacing="0" w:line="480" w:lineRule="auto"/>
        <w:ind w:left="0" w:right="0" w:firstLine="640"/>
        <w:jc w:val="left"/>
        <w:rPr>
          <w:rFonts w:hint="eastAsia" w:ascii="仿宋_GB2312" w:hAnsi="仿宋_GB2312" w:eastAsia="仿宋_GB2312" w:cs="仿宋_GB2312"/>
          <w:color w:val="333333"/>
          <w:kern w:val="0"/>
          <w:sz w:val="30"/>
          <w:szCs w:val="30"/>
          <w:lang w:val="en-US" w:eastAsia="zh-CN" w:bidi="ar"/>
        </w:rPr>
      </w:pPr>
      <w:r>
        <w:rPr>
          <w:rFonts w:hint="eastAsia" w:ascii="仿宋" w:hAnsi="仿宋" w:eastAsia="仿宋" w:cs="仿宋"/>
          <w:snapToGrid w:val="0"/>
          <w:color w:val="333333"/>
          <w:kern w:val="0"/>
          <w:sz w:val="32"/>
          <w:szCs w:val="32"/>
          <w:lang w:val="en-US" w:eastAsia="zh-CN" w:bidi="ar"/>
        </w:rPr>
        <w:t xml:space="preserve">2022年10月，县住建局对我县老旧小区改造的总体目标、实施内容、资金安排、申请审批程序、建设标准、项目实施、建后管养、政策宣传、保障措施9个方面进行宣传，同时明确了2023年度改造计划为：改造老旧小区26个，总建筑面积57.23万平方米，受益居民5993户。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3、改造项目符合招标设计规范</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改造项目实施过程中严格执行建设项目一般程序，经政府采购确定可研、招标代理机构、设计、施工、监理等，所有改造项目按要求实行政府采购方式确定施工单位，项目立项、可研批复及设计、施工、监理合同等手续齐全，委托具有专业资质的设计公司按规定进行图纸审查，改造中及时公示改造实施方案，充分征求民意，并根据居民反馈意见及时对改造内容作出科学调整。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（三）项目产出效益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1、目标任务完成情况</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2023年，省政府下达我县老旧小区改造目标任务26个，建筑面积57.23万平方米，受益居民5993户,计划投资5267万元。我县积极推进老旧小区改造工作，加大老旧小区改造力度。截至2023年12月31日，我县2023年度实际改造完成老旧小区26个，建筑面积57.23万平方米，受益居民5993户,完成投资5000余万元，完成省下达的目标任务。</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b/>
          <w:color w:val="333333"/>
          <w:kern w:val="0"/>
          <w:sz w:val="30"/>
          <w:szCs w:val="30"/>
          <w:lang w:val="en-US" w:eastAsia="zh-CN" w:bidi="ar"/>
        </w:rPr>
        <w:t>项目时限达标情况</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2023年，省下达我县老旧小区改造目标任务26个。截至2023年12月31日，我县26个老旧小区改造项目已全部完工，完成年度目标任务。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3、社会效益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（1）人居环境改善</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重点对房屋公共部位进行了修缮，包括整修屋面，对屋面渗漏的房屋进行防渗漏处理，整修、更换破损落水管道；添置单元防盗门，在小区出入口等位置设置视频安防监控系统；拆除私搭乱建、清理乱堆乱放、清除毁绿种菜，拆除了占绿、毁绿的违章建筑，恢复绿化功能，提升绿化档次；维修改造原有休闲场地，配置健身器材等文体设施，有条件的小区积极新建休闲设施；维修小区道路，修缮疏通地下管网，更换破损井盖，保证排水通畅；新建或改建老旧小区场外基础设施，维修杆管线设施，规范整治强弱线缆，消除空中“蜘蛛网”；积极改建、补建公共停车位。 通过整治改造，小区环境实现了由“脏、乱、差”到“亮、洁、美”的转变，基础设施显著改善、小区功能明显增强、居住环境全面提升。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（2）小区公共设施完善，满足群众生活需要</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维修小区道路，做到路面平整无坑洼，路牙整齐无缺损；修缮疏通地下管网，更换破损井盖，保证排水通畅；维修杆管线设施，规范整治强弱线缆，消除空中“蜘蛛网”；积极改建、补建公共停车位，因地制宜新建、整修非机动车库（车棚），解决小区居民非机动车停放及充电需求；完善环卫设施，增设标准化垃圾桶，保障小区居民生活垃圾倾倒和堆放，小区基础设施配套得到显著完善。维修改造原有休闲场地，配置健身器材等文体设施，有条件的小区积极新建休闲设施；合理配置宣传栏、公示牌等，展示小区改造成效。经过改造，小区公共设施更加完善，小区生活环境和居住条件得到全面提升。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b/>
          <w:color w:val="333333"/>
          <w:kern w:val="0"/>
          <w:sz w:val="30"/>
          <w:szCs w:val="30"/>
          <w:lang w:val="en-US" w:eastAsia="zh-CN" w:bidi="ar"/>
        </w:rPr>
      </w:pPr>
      <w:r>
        <w:rPr>
          <w:rFonts w:hint="eastAsia" w:ascii="仿宋_GB2312" w:hAnsi="仿宋_GB2312" w:eastAsia="仿宋_GB2312" w:cs="仿宋_GB2312"/>
          <w:b/>
          <w:color w:val="333333"/>
          <w:kern w:val="0"/>
          <w:sz w:val="30"/>
          <w:szCs w:val="30"/>
          <w:lang w:val="en-US" w:eastAsia="zh-CN" w:bidi="ar"/>
        </w:rPr>
        <w:t>（四）居民满意度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（1）改造过程征求群众意见，改造计划及时公示</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充分尊重群众意愿，通过召开座谈会、发放《老旧小区整治改造居民需求调查表》、《致广大居民的一封信》等形式，多次征求群众意见，结合小区实际确定改造具体内容。聘请业主代表作为义务监督员、发放聘书、请代表全程参与工程的设计、施工、验收，确保居民的知情权、建议权、监督权。及时公示改造实施方案，充分征求民意，并根据居民反馈意见及时作出科学调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（2）积极回应群众诉求，及时处理群众反映事项</w:t>
      </w:r>
    </w:p>
    <w:p>
      <w:pPr>
        <w:keepNext w:val="0"/>
        <w:keepLines w:val="0"/>
        <w:widowControl/>
        <w:suppressLineNumbers w:val="0"/>
        <w:spacing w:before="0" w:beforeAutospacing="0" w:after="0" w:afterAutospacing="0" w:line="480" w:lineRule="auto"/>
        <w:ind w:left="0" w:right="0" w:firstLine="640"/>
        <w:jc w:val="left"/>
        <w:rPr>
          <w:rFonts w:hint="eastAsia" w:ascii="仿宋_GB2312" w:hAnsi="仿宋_GB2312" w:eastAsia="仿宋_GB2312" w:cs="仿宋_GB2312"/>
          <w:color w:val="333333"/>
          <w:kern w:val="0"/>
          <w:sz w:val="30"/>
          <w:szCs w:val="30"/>
          <w:lang w:val="en-US" w:eastAsia="zh-CN" w:bidi="ar"/>
        </w:rPr>
      </w:pPr>
      <w:r>
        <w:rPr>
          <w:rFonts w:hint="eastAsia" w:ascii="仿宋" w:hAnsi="仿宋" w:eastAsia="仿宋" w:cs="仿宋"/>
          <w:snapToGrid w:val="0"/>
          <w:color w:val="333333"/>
          <w:kern w:val="0"/>
          <w:sz w:val="32"/>
          <w:szCs w:val="32"/>
          <w:lang w:val="en-US" w:eastAsia="zh-CN" w:bidi="ar"/>
        </w:rPr>
        <w:t xml:space="preserve">积极回应群众诉求，针对群众反映的问题，第一时间组织人员调查核实，立行立改，群众较为满意。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43" w:firstLineChars="200"/>
        <w:jc w:val="left"/>
        <w:textAlignment w:val="auto"/>
        <w:rPr>
          <w:rFonts w:hint="eastAsia" w:ascii="黑体" w:hAnsi="黑体" w:eastAsia="黑体" w:cs="黑体"/>
          <w:sz w:val="32"/>
          <w:szCs w:val="32"/>
        </w:rPr>
      </w:pPr>
      <w:r>
        <w:rPr>
          <w:rFonts w:hint="eastAsia" w:ascii="黑体" w:hAnsi="黑体" w:eastAsia="黑体" w:cs="黑体"/>
          <w:b/>
          <w:color w:val="333333"/>
          <w:kern w:val="0"/>
          <w:sz w:val="32"/>
          <w:szCs w:val="32"/>
          <w:lang w:val="en-US" w:eastAsia="zh-CN" w:bidi="ar"/>
        </w:rPr>
        <w:t>三、主要做法</w:t>
      </w:r>
      <w:r>
        <w:rPr>
          <w:rFonts w:hint="eastAsia" w:ascii="黑体" w:hAnsi="黑体" w:eastAsia="黑体" w:cs="黑体"/>
          <w:color w:val="333333"/>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（一）加强组织领导，科学谋划。</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住建局作为全县老旧小区改造项目牵头部门，强化组织领导，统筹安排部署，坚持“超前谋划、科学筹划、层层细化”的工作思路，早谋划早开工，提前做好各项准备工作，指导全力推进老旧小区改造工作。</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每年5、6月份开始对辖区老旧小区情况进行系统全面的调查摸排，核实确定下一年度老旧小区改造计划，并提前做好民意调查、项目立项等前期工作，有条件的社区提前开展施工图设计及审查、施工单位招投标等相关准备工作。在完成相关前期工作的有力保障下，正常在每年3月份便可组织施工单位进场，实施小区改造。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（二）坚持因地制宜，不断优化方案。</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为确保整治改造方案科学合理，县住建局多次组织技术人员对改造小区配套设施、内部环境等进行现场勘查，全面了解情况。同时认真听取小区居民的意见和需求，对整治方案进行反复修订和完善。改造按照基础型和提升型两类组织实施，突出把墙面脱落、小区道路、雨污水管道、小区绿化、停车设施等基础设施、公共设施作为整治工作重点内容，同时在小区内配建休闲健身设施、视频监控、门禁系统等，确保老旧小区实现“水通、路平、灯亮、景美”的预期效果。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（三）规范建设程序，确保工程质量。</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为确保工程进度与质量，严格规范项目审批和招标程序，选择经验丰富、实力雄厚的勘测、设计、施工、监理等单位参与工程实施，委托质监部门建立全程跟踪制度，严格按照计划，紧抓时间节点，加快推进工程进度。在改造过程中，各小区严把“质量关”、“进度关”，完善质量安全监管机制，落实施工主体责任，强化施工过程的动态质量安全监管，确保老旧小区整治改造工程质量和安全处于可控状态，确保工程质量，让老旧小区整治改造切切实实成为利民惠民的精品工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（四）建立长效机制，落实后期管护。</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三分建，七分管”，老旧小区改造整治只是措施，建立后期长效管理机制，确保老旧小区整治改造效果持续发挥才是根本。要求各社区对老旧小区改造项目竣工后，必须做好改造完成项目的后期管护工作，遵循小区业主意愿，采取自行聘请物业公司或者委托社区进行管理，建立老旧小区长效管理机制。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（五）秉持为民理念，做到“三问于民”。</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一是改造前“问需于民”。通过入户走访、召开业主代表座谈会、发放《致广大居民的一封信》、《老旧小区环境综合整治居民需求调查表》等多种形式，多方征求意见，了解群众需求。二是改造中“问计于民”。及时公示改造实施方案，充分征求民意，并根据居民反馈意见作出科学调整，保障群众的充分参与权。三是改造后“问效于民”。通过电话回访、入户走访、第三方绩效评价等形式，掌握小区改造真实成效，真正把住户群众的需求和满意作为我们工作的首要目标。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（六）加大宣传力度，营造浓厚氛围。</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通过悬挂宣传横幅、网络、媒体、政府网站、墙体标语等，大力宣传老旧小区整治相关政策，努力营造浓厚宣传氛围，调动广大群众参与老旧小区改造工作的积极性。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1.充分发挥住建局网站的宣传主阵地作用，加强老旧小区整治政策宣传工作。及时将上级有关城市老旧小区整治相关政策文件以及县里出台的相关方案、办法等发布于民生专栏。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2.充分利用老旧小区出入口、小区广场、围墙等载体，悬挂宣传条幅，制作信息宣传栏、文化墙等，宣传相关政策，展示小区改造效果。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43" w:firstLineChars="200"/>
        <w:jc w:val="left"/>
        <w:textAlignment w:val="auto"/>
        <w:rPr>
          <w:rFonts w:hint="eastAsia" w:ascii="黑体" w:hAnsi="黑体" w:eastAsia="黑体" w:cs="黑体"/>
          <w:sz w:val="32"/>
          <w:szCs w:val="32"/>
        </w:rPr>
      </w:pPr>
      <w:r>
        <w:rPr>
          <w:rFonts w:hint="eastAsia" w:ascii="黑体" w:hAnsi="黑体" w:eastAsia="黑体" w:cs="黑体"/>
          <w:b/>
          <w:color w:val="333333"/>
          <w:kern w:val="0"/>
          <w:sz w:val="32"/>
          <w:szCs w:val="32"/>
          <w:lang w:val="en-US" w:eastAsia="zh-CN" w:bidi="ar"/>
        </w:rPr>
        <w:t> 四、</w:t>
      </w:r>
      <w:r>
        <w:rPr>
          <w:rFonts w:hint="eastAsia" w:ascii="黑体" w:hAnsi="黑体" w:eastAsia="黑体" w:cs="黑体"/>
          <w:color w:val="333333"/>
          <w:kern w:val="0"/>
          <w:sz w:val="32"/>
          <w:szCs w:val="32"/>
          <w:lang w:val="en-US" w:eastAsia="zh-CN" w:bidi="ar"/>
        </w:rPr>
        <w:t xml:space="preserve">取得成效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 w:hAnsi="仿宋" w:eastAsia="仿宋" w:cs="仿宋"/>
          <w:snapToGrid w:val="0"/>
          <w:color w:val="333333"/>
          <w:kern w:val="0"/>
          <w:sz w:val="32"/>
          <w:szCs w:val="32"/>
          <w:lang w:val="en-US" w:eastAsia="zh-CN" w:bidi="ar"/>
        </w:rPr>
      </w:pPr>
      <w:r>
        <w:rPr>
          <w:rFonts w:hint="eastAsia" w:ascii="仿宋_GB2312" w:hAnsi="仿宋_GB2312" w:eastAsia="仿宋_GB2312" w:cs="仿宋_GB2312"/>
          <w:b/>
          <w:color w:val="333333"/>
          <w:kern w:val="0"/>
          <w:sz w:val="30"/>
          <w:szCs w:val="30"/>
          <w:lang w:val="en-US" w:eastAsia="zh-CN" w:bidi="ar"/>
        </w:rPr>
        <w:t>（一）住房安全得到保障。</w:t>
      </w:r>
      <w:r>
        <w:rPr>
          <w:rFonts w:hint="eastAsia" w:ascii="仿宋" w:hAnsi="仿宋" w:eastAsia="仿宋" w:cs="仿宋"/>
          <w:snapToGrid w:val="0"/>
          <w:color w:val="333333"/>
          <w:kern w:val="0"/>
          <w:sz w:val="32"/>
          <w:szCs w:val="32"/>
          <w:lang w:val="en-US" w:eastAsia="zh-CN" w:bidi="ar"/>
        </w:rPr>
        <w:t xml:space="preserve">老旧小区改造整治主要目标就是实现老旧小区住房安全，小区环境有序、整洁、美观。其中，安全更是重中之重，老旧小区改造以来我们重点对房屋公共部位进行了修缮，包括整修屋面，对屋面渗漏的房屋进行防渗漏处理，整修、更换破损落水管道；对破损、陈旧、风化严重的房屋外墙进行防渗、粉刷处理；清理楼道乱堆乱放、乱搭乱建，刷白楼道内墙，修缮破损台阶，修缮、添置公共照明；适当修缮、添置单元防盗门，在小区出入口等位置设置视频安防监控系统。通过改造，切实解决老旧小区房屋存在的各种安全隐患，提高了房屋安全水平。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color w:val="333333"/>
          <w:kern w:val="0"/>
          <w:sz w:val="30"/>
          <w:szCs w:val="30"/>
          <w:lang w:val="en-US" w:eastAsia="zh-CN" w:bidi="ar"/>
        </w:rPr>
        <w:t>（二）居住环境全面提升。</w:t>
      </w:r>
      <w:r>
        <w:rPr>
          <w:rFonts w:hint="eastAsia" w:ascii="仿宋" w:hAnsi="仿宋" w:eastAsia="仿宋" w:cs="仿宋"/>
          <w:snapToGrid w:val="0"/>
          <w:color w:val="333333"/>
          <w:kern w:val="0"/>
          <w:sz w:val="32"/>
          <w:szCs w:val="32"/>
          <w:lang w:val="en-US" w:eastAsia="zh-CN" w:bidi="ar"/>
        </w:rPr>
        <w:t xml:space="preserve">环境质量提升是老旧小区改造整治工作的迫切需求，是广大居民住户的共同心愿。改造过程中，通过开展集中整治活动，拆除私搭乱建、清理乱堆乱放、清除毁绿种菜等一系列举措，拆除了占绿、毁绿的违章建筑，恢复绿化功能，提升绿化档次；维修改造原有休闲场地，配置健身器材等文体设施，有条件的小区积极新建休闲设施；合理配置宣传栏、公示牌等，展示小区改造成效，小区居住环境得到全面提升。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right="0" w:firstLine="602" w:firstLineChars="200"/>
        <w:jc w:val="left"/>
        <w:textAlignment w:val="auto"/>
        <w:rPr>
          <w:rFonts w:hint="eastAsia" w:ascii="仿宋" w:hAnsi="仿宋" w:eastAsia="仿宋" w:cs="仿宋"/>
          <w:snapToGrid w:val="0"/>
          <w:color w:val="333333"/>
          <w:kern w:val="0"/>
          <w:sz w:val="32"/>
          <w:szCs w:val="32"/>
          <w:lang w:val="en-US" w:eastAsia="zh-CN" w:bidi="ar"/>
        </w:rPr>
      </w:pPr>
      <w:r>
        <w:rPr>
          <w:rFonts w:hint="eastAsia" w:ascii="仿宋_GB2312" w:hAnsi="仿宋_GB2312" w:eastAsia="仿宋_GB2312" w:cs="仿宋_GB2312"/>
          <w:b/>
          <w:color w:val="333333"/>
          <w:kern w:val="0"/>
          <w:sz w:val="30"/>
          <w:szCs w:val="30"/>
          <w:lang w:val="en-US" w:eastAsia="zh-CN" w:bidi="ar"/>
        </w:rPr>
        <w:t>(三)基础设施显著改善。</w:t>
      </w:r>
      <w:r>
        <w:rPr>
          <w:rFonts w:hint="eastAsia" w:ascii="仿宋" w:hAnsi="仿宋" w:eastAsia="仿宋" w:cs="仿宋"/>
          <w:snapToGrid w:val="0"/>
          <w:color w:val="333333"/>
          <w:kern w:val="0"/>
          <w:sz w:val="32"/>
          <w:szCs w:val="32"/>
          <w:lang w:val="en-US" w:eastAsia="zh-CN" w:bidi="ar"/>
        </w:rPr>
        <w:t xml:space="preserve">老旧小区改造整治的主要内容之一就是完善配套基础设施。维修小区道路，做到路面平整无坑洼，路牙整齐无缺损；修缮疏通地下管网，更换破损井盖，保证排水通畅；维修杆管线设施，规范整治强弱线缆，消除空中“蜘蛛网”；积极改建、补建公共停车位，增设交通标志，因地制宜新建、整修非机动车库（车棚），解决小区居民非机动车停放及充电需求；完善环卫设施，增设标准化垃圾桶，保障小区居民生活垃圾倾倒和堆放，对小区场外基础设施进行升级改造，小区基础设施配套得到显著完善。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_GB2312" w:hAnsi="仿宋_GB2312" w:eastAsia="仿宋_GB2312" w:cs="仿宋_GB2312"/>
          <w:color w:val="333333"/>
          <w:kern w:val="0"/>
          <w:sz w:val="30"/>
          <w:szCs w:val="30"/>
          <w:lang w:val="en-US" w:eastAsia="zh-CN" w:bidi="ar"/>
        </w:rPr>
      </w:pPr>
      <w:r>
        <w:rPr>
          <w:rFonts w:hint="eastAsia" w:ascii="黑体" w:hAnsi="黑体" w:eastAsia="黑体" w:cs="黑体"/>
          <w:color w:val="333333"/>
          <w:kern w:val="0"/>
          <w:sz w:val="30"/>
          <w:szCs w:val="30"/>
          <w:lang w:val="en-US" w:eastAsia="zh-CN" w:bidi="ar"/>
        </w:rPr>
        <w:t>（四）小区功能明显增强</w:t>
      </w:r>
      <w:r>
        <w:rPr>
          <w:rFonts w:hint="eastAsia" w:ascii="仿宋_GB2312" w:hAnsi="仿宋_GB2312" w:eastAsia="仿宋_GB2312" w:cs="仿宋_GB2312"/>
          <w:color w:val="333333"/>
          <w:kern w:val="0"/>
          <w:sz w:val="30"/>
          <w:szCs w:val="30"/>
          <w:lang w:val="en-US" w:eastAsia="zh-CN" w:bidi="ar"/>
        </w:rPr>
        <w:t>。</w:t>
      </w:r>
      <w:r>
        <w:rPr>
          <w:rFonts w:hint="eastAsia" w:ascii="仿宋" w:hAnsi="仿宋" w:eastAsia="仿宋" w:cs="仿宋"/>
          <w:snapToGrid w:val="0"/>
          <w:color w:val="333333"/>
          <w:kern w:val="0"/>
          <w:sz w:val="32"/>
          <w:szCs w:val="32"/>
          <w:lang w:val="en-US" w:eastAsia="zh-CN" w:bidi="ar"/>
        </w:rPr>
        <w:t>结合改造小区场地实际，采取新建、改建等方式积极配置物业服务用房；根据小区规模，适度完善社区服务、居民文化活动等公共服务设施，配置健身器材等文体设施；积极开展建筑节能和适老化改造，增加单元门楼梯坡道。</w:t>
      </w:r>
      <w:r>
        <w:rPr>
          <w:rFonts w:hint="eastAsia" w:ascii="仿宋_GB2312" w:hAnsi="仿宋_GB2312" w:eastAsia="仿宋_GB2312" w:cs="仿宋_GB2312"/>
          <w:color w:val="333333"/>
          <w:kern w:val="0"/>
          <w:sz w:val="30"/>
          <w:szCs w:val="30"/>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0" w:firstLineChars="200"/>
        <w:jc w:val="left"/>
        <w:textAlignment w:val="auto"/>
        <w:rPr>
          <w:rFonts w:hint="eastAsia" w:ascii="黑体" w:hAnsi="黑体" w:eastAsia="黑体" w:cs="黑体"/>
          <w:sz w:val="30"/>
          <w:szCs w:val="30"/>
        </w:rPr>
      </w:pPr>
      <w:r>
        <w:rPr>
          <w:rFonts w:hint="eastAsia" w:ascii="黑体" w:hAnsi="黑体" w:eastAsia="黑体" w:cs="黑体"/>
          <w:color w:val="333333"/>
          <w:kern w:val="0"/>
          <w:sz w:val="30"/>
          <w:szCs w:val="30"/>
          <w:lang w:val="en-US" w:eastAsia="zh-CN" w:bidi="ar"/>
        </w:rPr>
        <w:t xml:space="preserve">五、存在的主要问题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 宣传工作难度较大，民调范围与受益群体不一致。虽然我们积极采取了多种形式大力宣传老旧小区改造民生工程相关政策，但因此项民生工程受益群体相对狭窄，大部分未享受到这一政策的居民不愿意主动了解相关政策规定，容易造成此项民生工程民调的知晓率不高。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right="0" w:firstLine="600" w:firstLineChars="200"/>
        <w:jc w:val="left"/>
        <w:textAlignment w:val="auto"/>
        <w:rPr>
          <w:rFonts w:hint="eastAsia" w:ascii="黑体" w:hAnsi="黑体" w:eastAsia="黑体" w:cs="黑体"/>
          <w:sz w:val="30"/>
          <w:szCs w:val="30"/>
          <w:lang w:eastAsia="zh-CN"/>
        </w:rPr>
      </w:pPr>
      <w:r>
        <w:rPr>
          <w:rFonts w:hint="eastAsia" w:ascii="黑体" w:hAnsi="黑体" w:eastAsia="黑体" w:cs="黑体"/>
          <w:sz w:val="30"/>
          <w:szCs w:val="30"/>
          <w:lang w:eastAsia="zh-CN"/>
        </w:rPr>
        <w:t>六、工作建议</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pPr>
      <w:r>
        <w:rPr>
          <w:rFonts w:hint="eastAsia" w:ascii="仿宋" w:hAnsi="仿宋" w:eastAsia="仿宋" w:cs="仿宋"/>
          <w:snapToGrid w:val="0"/>
          <w:color w:val="333333"/>
          <w:kern w:val="0"/>
          <w:sz w:val="32"/>
          <w:szCs w:val="32"/>
          <w:lang w:val="en-US" w:eastAsia="zh-CN" w:bidi="ar"/>
        </w:rPr>
        <w:t xml:space="preserve">一是进一步加大宣传力度，提高居民住户的知情度和满意度。积极采取多种形式，加强老旧小区整治民生工程的政策宣传，使广大群众充分了解民生工程的相关政策内容。督促社区在小区整治实施过程中，做到改造前有民意征求、施工中有居民代表全程监督、竣工时有居民代表参与验收。制作老旧小区整治改造项目公开宣传栏，及时公布小区整治改造项目基本信息，让居民住户清楚了解小区整治改造方案的实施内容和具体改造项目。 </w:t>
      </w:r>
    </w:p>
    <w:p>
      <w:pPr>
        <w:keepNext w:val="0"/>
        <w:keepLines w:val="0"/>
        <w:widowControl/>
        <w:suppressLineNumbers w:val="0"/>
        <w:kinsoku w:val="0"/>
        <w:autoSpaceDE w:val="0"/>
        <w:autoSpaceDN w:val="0"/>
        <w:adjustRightInd w:val="0"/>
        <w:snapToGrid w:val="0"/>
        <w:spacing w:before="0" w:beforeAutospacing="0" w:after="0" w:afterAutospacing="0" w:line="480" w:lineRule="auto"/>
        <w:ind w:left="0" w:right="0" w:firstLine="640"/>
        <w:jc w:val="both"/>
        <w:textAlignment w:val="baseline"/>
        <w:rPr>
          <w:rFonts w:hint="eastAsia" w:ascii="仿宋" w:hAnsi="仿宋" w:eastAsia="仿宋" w:cs="仿宋"/>
          <w:snapToGrid w:val="0"/>
          <w:color w:val="333333"/>
          <w:kern w:val="0"/>
          <w:sz w:val="32"/>
          <w:szCs w:val="32"/>
          <w:lang w:val="en-US" w:eastAsia="zh-CN" w:bidi="ar"/>
        </w:rPr>
        <w:sectPr>
          <w:footerReference r:id="rId3" w:type="default"/>
          <w:pgSz w:w="12080" w:h="16950"/>
          <w:pgMar w:top="1440" w:right="1799" w:bottom="1271" w:left="1769" w:header="0" w:footer="972" w:gutter="0"/>
          <w:cols w:space="720" w:num="1"/>
        </w:sectPr>
      </w:pPr>
      <w:r>
        <w:rPr>
          <w:rFonts w:hint="eastAsia" w:ascii="仿宋" w:hAnsi="仿宋" w:eastAsia="仿宋" w:cs="仿宋"/>
          <w:snapToGrid w:val="0"/>
          <w:color w:val="333333"/>
          <w:kern w:val="0"/>
          <w:sz w:val="32"/>
          <w:szCs w:val="32"/>
          <w:lang w:val="en-US" w:eastAsia="zh-CN" w:bidi="ar"/>
        </w:rPr>
        <w:t xml:space="preserve">二是建立改造项目管理信息系统，及时更新系统数据，完善基础资料。同时加强与省住建厅的沟通协调，多请示多汇报，争取省直主管部门更多的支持和帮助。 </w:t>
      </w:r>
    </w:p>
    <w:p>
      <w:pPr>
        <w:spacing w:before="181" w:line="171"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6</w:t>
      </w:r>
    </w:p>
    <w:p>
      <w:pPr>
        <w:keepNext w:val="0"/>
        <w:keepLines w:val="0"/>
        <w:pageBreakBefore w:val="0"/>
        <w:widowControl w:val="0"/>
        <w:kinsoku/>
        <w:wordWrap/>
        <w:overflowPunct/>
        <w:topLinePunct w:val="0"/>
        <w:autoSpaceDE/>
        <w:autoSpaceDN/>
        <w:bidi w:val="0"/>
        <w:adjustRightInd/>
        <w:snapToGrid/>
        <w:spacing w:after="158" w:afterLines="50" w:line="580" w:lineRule="exact"/>
        <w:ind w:lef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7"/>
          <w:sz w:val="44"/>
          <w:szCs w:val="44"/>
        </w:rPr>
        <w:t>2023年度项目支出绩效自评表</w:t>
      </w:r>
    </w:p>
    <w:tbl>
      <w:tblPr>
        <w:tblStyle w:val="9"/>
        <w:tblW w:w="502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02"/>
        <w:gridCol w:w="897"/>
        <w:gridCol w:w="1109"/>
        <w:gridCol w:w="938"/>
        <w:gridCol w:w="981"/>
        <w:gridCol w:w="1111"/>
        <w:gridCol w:w="597"/>
        <w:gridCol w:w="702"/>
        <w:gridCol w:w="13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699" w:type="pct"/>
            <w:gridSpan w:val="3"/>
            <w:vAlign w:val="center"/>
          </w:tcPr>
          <w:p>
            <w:pPr>
              <w:jc w:val="center"/>
              <w:rPr>
                <w:rFonts w:hint="eastAsia" w:ascii="黑体" w:hAnsi="黑体" w:eastAsia="黑体" w:cs="黑体"/>
                <w:sz w:val="21"/>
                <w:szCs w:val="21"/>
              </w:rPr>
            </w:pPr>
            <w:r>
              <w:rPr>
                <w:rFonts w:hint="eastAsia" w:ascii="黑体" w:hAnsi="黑体" w:eastAsia="黑体" w:cs="黑体"/>
                <w:sz w:val="21"/>
                <w:szCs w:val="21"/>
              </w:rPr>
              <w:t>项目支出名称</w:t>
            </w:r>
          </w:p>
        </w:tc>
        <w:tc>
          <w:tcPr>
            <w:tcW w:w="3300" w:type="pct"/>
            <w:gridSpan w:val="6"/>
            <w:vAlign w:val="center"/>
          </w:tcPr>
          <w:p>
            <w:pPr>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老旧小区改造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27"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主管</w:t>
            </w:r>
          </w:p>
          <w:p>
            <w:pPr>
              <w:jc w:val="center"/>
              <w:rPr>
                <w:rFonts w:hint="eastAsia" w:ascii="黑体" w:hAnsi="黑体" w:eastAsia="黑体" w:cs="黑体"/>
                <w:sz w:val="21"/>
                <w:szCs w:val="21"/>
              </w:rPr>
            </w:pPr>
            <w:r>
              <w:rPr>
                <w:rFonts w:hint="eastAsia" w:ascii="黑体" w:hAnsi="黑体" w:eastAsia="黑体" w:cs="黑体"/>
                <w:sz w:val="21"/>
                <w:szCs w:val="21"/>
              </w:rPr>
              <w:t>部门</w:t>
            </w:r>
          </w:p>
        </w:tc>
        <w:tc>
          <w:tcPr>
            <w:tcW w:w="2293" w:type="pct"/>
            <w:gridSpan w:val="4"/>
            <w:vAlign w:val="center"/>
          </w:tcPr>
          <w:p>
            <w:pPr>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华容县住房和城乡建设局</w:t>
            </w:r>
          </w:p>
        </w:tc>
        <w:tc>
          <w:tcPr>
            <w:tcW w:w="647"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实施单位</w:t>
            </w:r>
          </w:p>
        </w:tc>
        <w:tc>
          <w:tcPr>
            <w:tcW w:w="1531" w:type="pct"/>
            <w:gridSpan w:val="3"/>
            <w:vAlign w:val="center"/>
          </w:tcPr>
          <w:p>
            <w:pPr>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华容县住房和城乡建设局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restart"/>
            <w:tcBorders>
              <w:bottom w:val="nil"/>
            </w:tcBorders>
            <w:vAlign w:val="center"/>
          </w:tcPr>
          <w:p>
            <w:pPr>
              <w:jc w:val="center"/>
              <w:rPr>
                <w:rFonts w:hint="eastAsia" w:ascii="黑体" w:hAnsi="黑体" w:eastAsia="黑体" w:cs="黑体"/>
                <w:sz w:val="21"/>
                <w:szCs w:val="21"/>
              </w:rPr>
            </w:pPr>
            <w:r>
              <w:rPr>
                <w:rFonts w:hint="eastAsia" w:ascii="黑体" w:hAnsi="黑体" w:eastAsia="黑体" w:cs="黑体"/>
                <w:sz w:val="21"/>
                <w:szCs w:val="21"/>
              </w:rPr>
              <w:t>项目资金（万元）</w:t>
            </w:r>
          </w:p>
        </w:tc>
        <w:tc>
          <w:tcPr>
            <w:tcW w:w="1172" w:type="pct"/>
            <w:gridSpan w:val="2"/>
            <w:vAlign w:val="center"/>
          </w:tcPr>
          <w:p>
            <w:pPr>
              <w:jc w:val="center"/>
              <w:rPr>
                <w:rFonts w:hint="eastAsia" w:ascii="黑体" w:hAnsi="黑体" w:eastAsia="黑体" w:cs="黑体"/>
                <w:sz w:val="21"/>
                <w:szCs w:val="21"/>
              </w:rPr>
            </w:pPr>
          </w:p>
        </w:tc>
        <w:tc>
          <w:tcPr>
            <w:tcW w:w="548"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年初</w:t>
            </w:r>
          </w:p>
          <w:p>
            <w:pPr>
              <w:jc w:val="center"/>
              <w:rPr>
                <w:rFonts w:hint="eastAsia" w:ascii="黑体" w:hAnsi="黑体" w:eastAsia="黑体" w:cs="黑体"/>
                <w:sz w:val="21"/>
                <w:szCs w:val="21"/>
              </w:rPr>
            </w:pPr>
            <w:r>
              <w:rPr>
                <w:rFonts w:hint="eastAsia" w:ascii="黑体" w:hAnsi="黑体" w:eastAsia="黑体" w:cs="黑体"/>
                <w:sz w:val="21"/>
                <w:szCs w:val="21"/>
              </w:rPr>
              <w:t>预算数</w:t>
            </w:r>
          </w:p>
        </w:tc>
        <w:tc>
          <w:tcPr>
            <w:tcW w:w="572"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全年</w:t>
            </w:r>
          </w:p>
          <w:p>
            <w:pPr>
              <w:jc w:val="center"/>
              <w:rPr>
                <w:rFonts w:hint="eastAsia" w:ascii="黑体" w:hAnsi="黑体" w:eastAsia="黑体" w:cs="黑体"/>
                <w:sz w:val="21"/>
                <w:szCs w:val="21"/>
              </w:rPr>
            </w:pPr>
            <w:r>
              <w:rPr>
                <w:rFonts w:hint="eastAsia" w:ascii="黑体" w:hAnsi="黑体" w:eastAsia="黑体" w:cs="黑体"/>
                <w:sz w:val="21"/>
                <w:szCs w:val="21"/>
              </w:rPr>
              <w:t>预算数</w:t>
            </w:r>
          </w:p>
        </w:tc>
        <w:tc>
          <w:tcPr>
            <w:tcW w:w="647"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全年</w:t>
            </w:r>
          </w:p>
          <w:p>
            <w:pPr>
              <w:jc w:val="center"/>
              <w:rPr>
                <w:rFonts w:hint="eastAsia" w:ascii="黑体" w:hAnsi="黑体" w:eastAsia="黑体" w:cs="黑体"/>
                <w:sz w:val="21"/>
                <w:szCs w:val="21"/>
              </w:rPr>
            </w:pPr>
            <w:r>
              <w:rPr>
                <w:rFonts w:hint="eastAsia" w:ascii="黑体" w:hAnsi="黑体" w:eastAsia="黑体" w:cs="黑体"/>
                <w:sz w:val="21"/>
                <w:szCs w:val="21"/>
              </w:rPr>
              <w:t>执行数</w:t>
            </w:r>
          </w:p>
        </w:tc>
        <w:tc>
          <w:tcPr>
            <w:tcW w:w="349" w:type="pct"/>
            <w:vAlign w:val="center"/>
          </w:tcPr>
          <w:p>
            <w:pPr>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分值</w:t>
            </w:r>
          </w:p>
        </w:tc>
        <w:tc>
          <w:tcPr>
            <w:tcW w:w="410"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执行率</w:t>
            </w:r>
          </w:p>
        </w:tc>
        <w:tc>
          <w:tcPr>
            <w:tcW w:w="772"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自评得分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1172" w:type="pct"/>
            <w:gridSpan w:val="2"/>
            <w:vAlign w:val="center"/>
          </w:tcPr>
          <w:p>
            <w:pPr>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年度资金总额</w:t>
            </w: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6907.22</w:t>
            </w:r>
          </w:p>
        </w:tc>
        <w:tc>
          <w:tcPr>
            <w:tcW w:w="647"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6907.22</w:t>
            </w:r>
          </w:p>
        </w:tc>
        <w:tc>
          <w:tcPr>
            <w:tcW w:w="349"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w:t>
            </w:r>
          </w:p>
        </w:tc>
        <w:tc>
          <w:tcPr>
            <w:tcW w:w="7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bookmarkStart w:id="0" w:name="_GoBack"/>
            <w:bookmarkEnd w:id="0"/>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1172" w:type="pct"/>
            <w:gridSpan w:val="2"/>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其中：当年财政拨款</w:t>
            </w: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2672</w:t>
            </w:r>
          </w:p>
        </w:tc>
        <w:tc>
          <w:tcPr>
            <w:tcW w:w="647"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2672</w:t>
            </w: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1172" w:type="pct"/>
            <w:gridSpan w:val="2"/>
            <w:vAlign w:val="center"/>
          </w:tcPr>
          <w:p>
            <w:pPr>
              <w:ind w:left="0" w:leftChars="0" w:firstLine="619" w:firstLineChars="29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上年结转资金</w:t>
            </w: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continue"/>
            <w:tcBorders>
              <w:top w:val="nil"/>
            </w:tcBorders>
            <w:vAlign w:val="center"/>
          </w:tcPr>
          <w:p>
            <w:pPr>
              <w:jc w:val="center"/>
              <w:rPr>
                <w:rFonts w:hint="eastAsia" w:asciiTheme="minorEastAsia" w:hAnsiTheme="minorEastAsia" w:eastAsiaTheme="minorEastAsia" w:cstheme="minorEastAsia"/>
                <w:sz w:val="21"/>
                <w:szCs w:val="21"/>
              </w:rPr>
            </w:pPr>
          </w:p>
        </w:tc>
        <w:tc>
          <w:tcPr>
            <w:tcW w:w="1172" w:type="pct"/>
            <w:gridSpan w:val="2"/>
            <w:vAlign w:val="center"/>
          </w:tcPr>
          <w:p>
            <w:pPr>
              <w:ind w:left="0" w:leftChars="0" w:firstLine="619" w:firstLineChars="29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其他资金</w:t>
            </w: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4235.22</w:t>
            </w:r>
          </w:p>
        </w:tc>
        <w:tc>
          <w:tcPr>
            <w:tcW w:w="647"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4235.22</w:t>
            </w: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restart"/>
            <w:tcBorders>
              <w:bottom w:val="nil"/>
            </w:tcBorders>
            <w:vAlign w:val="center"/>
          </w:tcPr>
          <w:p>
            <w:pPr>
              <w:jc w:val="center"/>
              <w:rPr>
                <w:rFonts w:hint="eastAsia" w:ascii="黑体" w:hAnsi="黑体" w:eastAsia="黑体" w:cs="黑体"/>
                <w:sz w:val="21"/>
                <w:szCs w:val="21"/>
              </w:rPr>
            </w:pPr>
            <w:r>
              <w:rPr>
                <w:rFonts w:hint="eastAsia" w:ascii="黑体" w:hAnsi="黑体" w:eastAsia="黑体" w:cs="黑体"/>
                <w:sz w:val="21"/>
                <w:szCs w:val="21"/>
              </w:rPr>
              <w:t>年度总</w:t>
            </w:r>
          </w:p>
          <w:p>
            <w:pPr>
              <w:jc w:val="center"/>
              <w:rPr>
                <w:rFonts w:hint="eastAsia" w:ascii="黑体" w:hAnsi="黑体" w:eastAsia="黑体" w:cs="黑体"/>
                <w:sz w:val="21"/>
                <w:szCs w:val="21"/>
              </w:rPr>
            </w:pPr>
            <w:r>
              <w:rPr>
                <w:rFonts w:hint="eastAsia" w:ascii="黑体" w:hAnsi="黑体" w:eastAsia="黑体" w:cs="黑体"/>
                <w:sz w:val="21"/>
                <w:szCs w:val="21"/>
                <w:lang w:eastAsia="zh-CN"/>
              </w:rPr>
              <w:t>体</w:t>
            </w:r>
            <w:r>
              <w:rPr>
                <w:rFonts w:hint="eastAsia" w:ascii="黑体" w:hAnsi="黑体" w:eastAsia="黑体" w:cs="黑体"/>
                <w:sz w:val="21"/>
                <w:szCs w:val="21"/>
              </w:rPr>
              <w:t>目标</w:t>
            </w:r>
          </w:p>
        </w:tc>
        <w:tc>
          <w:tcPr>
            <w:tcW w:w="2293" w:type="pct"/>
            <w:gridSpan w:val="4"/>
            <w:vAlign w:val="center"/>
          </w:tcPr>
          <w:p>
            <w:pPr>
              <w:jc w:val="center"/>
              <w:rPr>
                <w:rFonts w:hint="eastAsia" w:ascii="黑体" w:hAnsi="黑体" w:eastAsia="黑体" w:cs="黑体"/>
                <w:sz w:val="21"/>
                <w:szCs w:val="21"/>
              </w:rPr>
            </w:pPr>
            <w:r>
              <w:rPr>
                <w:rFonts w:hint="eastAsia" w:ascii="黑体" w:hAnsi="黑体" w:eastAsia="黑体" w:cs="黑体"/>
                <w:sz w:val="21"/>
                <w:szCs w:val="21"/>
              </w:rPr>
              <w:t>预期目标</w:t>
            </w:r>
          </w:p>
        </w:tc>
        <w:tc>
          <w:tcPr>
            <w:tcW w:w="2178" w:type="pct"/>
            <w:gridSpan w:val="4"/>
            <w:vAlign w:val="center"/>
          </w:tcPr>
          <w:p>
            <w:pPr>
              <w:jc w:val="center"/>
              <w:rPr>
                <w:rFonts w:hint="eastAsia" w:ascii="黑体" w:hAnsi="黑体" w:eastAsia="黑体" w:cs="黑体"/>
                <w:sz w:val="21"/>
                <w:szCs w:val="21"/>
              </w:rPr>
            </w:pPr>
            <w:r>
              <w:rPr>
                <w:rFonts w:hint="eastAsia" w:ascii="黑体" w:hAnsi="黑体" w:eastAsia="黑体" w:cs="黑体"/>
                <w:sz w:val="21"/>
                <w:szCs w:val="21"/>
              </w:rPr>
              <w:t>实际完成情况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527" w:type="pct"/>
            <w:vMerge w:val="continue"/>
            <w:tcBorders>
              <w:top w:val="nil"/>
            </w:tcBorders>
            <w:vAlign w:val="center"/>
          </w:tcPr>
          <w:p>
            <w:pPr>
              <w:jc w:val="center"/>
              <w:rPr>
                <w:rFonts w:hint="eastAsia" w:asciiTheme="minorEastAsia" w:hAnsiTheme="minorEastAsia" w:eastAsiaTheme="minorEastAsia" w:cstheme="minorEastAsia"/>
                <w:sz w:val="21"/>
                <w:szCs w:val="21"/>
              </w:rPr>
            </w:pPr>
          </w:p>
        </w:tc>
        <w:tc>
          <w:tcPr>
            <w:tcW w:w="2293" w:type="pct"/>
            <w:gridSpan w:val="4"/>
            <w:vAlign w:val="center"/>
          </w:tcPr>
          <w:p>
            <w:pPr>
              <w:pStyle w:val="10"/>
              <w:spacing w:before="52" w:line="213" w:lineRule="auto"/>
              <w:ind w:left="23"/>
              <w:rPr>
                <w:rFonts w:hint="eastAsia"/>
                <w:spacing w:val="-2"/>
                <w:sz w:val="18"/>
                <w:szCs w:val="18"/>
                <w:lang w:val="en-US" w:eastAsia="zh-CN"/>
              </w:rPr>
            </w:pPr>
            <w:r>
              <w:rPr>
                <w:rFonts w:hint="eastAsia"/>
                <w:spacing w:val="-2"/>
                <w:sz w:val="18"/>
                <w:szCs w:val="18"/>
                <w:lang w:val="en-US" w:eastAsia="zh-CN"/>
              </w:rPr>
              <w:t>完成26个老旧小区改造，改造5993户。</w:t>
            </w:r>
          </w:p>
          <w:p>
            <w:pPr>
              <w:jc w:val="center"/>
              <w:rPr>
                <w:rFonts w:hint="eastAsia" w:asciiTheme="minorEastAsia" w:hAnsiTheme="minorEastAsia" w:eastAsiaTheme="minorEastAsia" w:cstheme="minorEastAsia"/>
                <w:sz w:val="21"/>
                <w:szCs w:val="21"/>
              </w:rPr>
            </w:pPr>
          </w:p>
        </w:tc>
        <w:tc>
          <w:tcPr>
            <w:tcW w:w="2178" w:type="pct"/>
            <w:gridSpan w:val="4"/>
            <w:vAlign w:val="center"/>
          </w:tcPr>
          <w:p>
            <w:pPr>
              <w:pStyle w:val="10"/>
              <w:spacing w:before="52" w:line="213" w:lineRule="auto"/>
              <w:ind w:left="23"/>
              <w:rPr>
                <w:rFonts w:hint="eastAsia"/>
                <w:spacing w:val="-2"/>
                <w:sz w:val="18"/>
                <w:szCs w:val="18"/>
                <w:lang w:val="en-US" w:eastAsia="zh-CN"/>
              </w:rPr>
            </w:pPr>
            <w:r>
              <w:rPr>
                <w:rFonts w:hint="eastAsia"/>
                <w:spacing w:val="-2"/>
                <w:sz w:val="18"/>
                <w:szCs w:val="18"/>
                <w:lang w:val="en-US" w:eastAsia="zh-CN"/>
              </w:rPr>
              <w:t>完成26个老旧小区改造，改造5993户。</w:t>
            </w:r>
          </w:p>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527" w:type="pct"/>
            <w:vMerge w:val="restart"/>
            <w:vAlign w:val="center"/>
          </w:tcPr>
          <w:p>
            <w:pPr>
              <w:jc w:val="center"/>
              <w:rPr>
                <w:rFonts w:hint="eastAsia" w:ascii="黑体" w:hAnsi="黑体" w:eastAsia="黑体" w:cs="黑体"/>
                <w:sz w:val="21"/>
                <w:szCs w:val="21"/>
              </w:rPr>
            </w:pPr>
            <w:r>
              <w:rPr>
                <w:rFonts w:hint="eastAsia" w:ascii="黑体" w:hAnsi="黑体" w:eastAsia="黑体" w:cs="黑体"/>
                <w:sz w:val="21"/>
                <w:szCs w:val="21"/>
              </w:rPr>
              <w:t>绩</w:t>
            </w:r>
          </w:p>
          <w:p>
            <w:pPr>
              <w:jc w:val="center"/>
              <w:rPr>
                <w:rFonts w:hint="eastAsia" w:ascii="黑体" w:hAnsi="黑体" w:eastAsia="黑体" w:cs="黑体"/>
                <w:sz w:val="21"/>
                <w:szCs w:val="21"/>
              </w:rPr>
            </w:pPr>
            <w:r>
              <w:rPr>
                <w:rFonts w:hint="eastAsia" w:ascii="黑体" w:hAnsi="黑体" w:eastAsia="黑体" w:cs="黑体"/>
                <w:sz w:val="21"/>
                <w:szCs w:val="21"/>
              </w:rPr>
              <w:t>效</w:t>
            </w:r>
          </w:p>
          <w:p>
            <w:pPr>
              <w:jc w:val="center"/>
              <w:rPr>
                <w:rFonts w:hint="eastAsia" w:ascii="黑体" w:hAnsi="黑体" w:eastAsia="黑体" w:cs="黑体"/>
                <w:sz w:val="21"/>
                <w:szCs w:val="21"/>
              </w:rPr>
            </w:pPr>
            <w:r>
              <w:rPr>
                <w:rFonts w:hint="eastAsia" w:ascii="黑体" w:hAnsi="黑体" w:eastAsia="黑体" w:cs="黑体"/>
                <w:sz w:val="21"/>
                <w:szCs w:val="21"/>
              </w:rPr>
              <w:t>指</w:t>
            </w:r>
          </w:p>
          <w:p>
            <w:pPr>
              <w:jc w:val="center"/>
              <w:rPr>
                <w:rFonts w:hint="eastAsia" w:ascii="黑体" w:hAnsi="黑体" w:eastAsia="黑体" w:cs="黑体"/>
                <w:sz w:val="21"/>
                <w:szCs w:val="21"/>
              </w:rPr>
            </w:pPr>
            <w:r>
              <w:rPr>
                <w:rFonts w:hint="eastAsia" w:ascii="黑体" w:hAnsi="黑体" w:eastAsia="黑体" w:cs="黑体"/>
                <w:sz w:val="21"/>
                <w:szCs w:val="21"/>
              </w:rPr>
              <w:t>标</w:t>
            </w:r>
          </w:p>
        </w:tc>
        <w:tc>
          <w:tcPr>
            <w:tcW w:w="524"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一级指标</w:t>
            </w:r>
          </w:p>
        </w:tc>
        <w:tc>
          <w:tcPr>
            <w:tcW w:w="647"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二级指标</w:t>
            </w:r>
          </w:p>
        </w:tc>
        <w:tc>
          <w:tcPr>
            <w:tcW w:w="548"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三级指标</w:t>
            </w:r>
          </w:p>
        </w:tc>
        <w:tc>
          <w:tcPr>
            <w:tcW w:w="572"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年度</w:t>
            </w:r>
          </w:p>
          <w:p>
            <w:pPr>
              <w:jc w:val="center"/>
              <w:rPr>
                <w:rFonts w:hint="eastAsia" w:ascii="黑体" w:hAnsi="黑体" w:eastAsia="黑体" w:cs="黑体"/>
                <w:sz w:val="21"/>
                <w:szCs w:val="21"/>
              </w:rPr>
            </w:pPr>
            <w:r>
              <w:rPr>
                <w:rFonts w:hint="eastAsia" w:ascii="黑体" w:hAnsi="黑体" w:eastAsia="黑体" w:cs="黑体"/>
                <w:sz w:val="21"/>
                <w:szCs w:val="21"/>
              </w:rPr>
              <w:t>指标值</w:t>
            </w:r>
          </w:p>
        </w:tc>
        <w:tc>
          <w:tcPr>
            <w:tcW w:w="647"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实际</w:t>
            </w:r>
          </w:p>
          <w:p>
            <w:pPr>
              <w:jc w:val="center"/>
              <w:rPr>
                <w:rFonts w:hint="eastAsia" w:ascii="黑体" w:hAnsi="黑体" w:eastAsia="黑体" w:cs="黑体"/>
                <w:sz w:val="21"/>
                <w:szCs w:val="21"/>
              </w:rPr>
            </w:pPr>
            <w:r>
              <w:rPr>
                <w:rFonts w:hint="eastAsia" w:ascii="黑体" w:hAnsi="黑体" w:eastAsia="黑体" w:cs="黑体"/>
                <w:sz w:val="21"/>
                <w:szCs w:val="21"/>
              </w:rPr>
              <w:t>完成值</w:t>
            </w:r>
          </w:p>
        </w:tc>
        <w:tc>
          <w:tcPr>
            <w:tcW w:w="349"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分值</w:t>
            </w:r>
          </w:p>
        </w:tc>
        <w:tc>
          <w:tcPr>
            <w:tcW w:w="410"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自评</w:t>
            </w:r>
          </w:p>
          <w:p>
            <w:pPr>
              <w:jc w:val="center"/>
              <w:rPr>
                <w:rFonts w:hint="eastAsia" w:ascii="黑体" w:hAnsi="黑体" w:eastAsia="黑体" w:cs="黑体"/>
                <w:sz w:val="21"/>
                <w:szCs w:val="21"/>
              </w:rPr>
            </w:pPr>
            <w:r>
              <w:rPr>
                <w:rFonts w:hint="eastAsia" w:ascii="黑体" w:hAnsi="黑体" w:eastAsia="黑体" w:cs="黑体"/>
                <w:sz w:val="21"/>
                <w:szCs w:val="21"/>
              </w:rPr>
              <w:t>得分</w:t>
            </w:r>
          </w:p>
        </w:tc>
        <w:tc>
          <w:tcPr>
            <w:tcW w:w="772" w:type="pct"/>
            <w:vAlign w:val="center"/>
          </w:tcPr>
          <w:p>
            <w:pPr>
              <w:jc w:val="center"/>
              <w:rPr>
                <w:rFonts w:hint="eastAsia" w:ascii="黑体" w:hAnsi="黑体" w:eastAsia="黑体" w:cs="黑体"/>
                <w:sz w:val="21"/>
                <w:szCs w:val="21"/>
              </w:rPr>
            </w:pPr>
            <w:r>
              <w:rPr>
                <w:rFonts w:hint="eastAsia" w:ascii="黑体" w:hAnsi="黑体" w:eastAsia="黑体" w:cs="黑体"/>
                <w:sz w:val="21"/>
                <w:szCs w:val="21"/>
              </w:rPr>
              <w:t>偏差原因分析及改进措施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restart"/>
            <w:tcBorders>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0分</w:t>
            </w:r>
            <w:r>
              <w:rPr>
                <w:rFonts w:hint="eastAsia" w:asciiTheme="minorEastAsia" w:hAnsiTheme="minorEastAsia" w:eastAsiaTheme="minorEastAsia" w:cstheme="minorEastAsia"/>
                <w:sz w:val="21"/>
                <w:szCs w:val="21"/>
                <w:lang w:eastAsia="zh-CN"/>
              </w:rPr>
              <w:t>）</w:t>
            </w:r>
          </w:p>
        </w:tc>
        <w:tc>
          <w:tcPr>
            <w:tcW w:w="647" w:type="pct"/>
            <w:vMerge w:val="restart"/>
            <w:tcBorders>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老旧小区改造个数</w:t>
            </w:r>
          </w:p>
        </w:tc>
        <w:tc>
          <w:tcPr>
            <w:tcW w:w="5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26个</w:t>
            </w:r>
          </w:p>
        </w:tc>
        <w:tc>
          <w:tcPr>
            <w:tcW w:w="647"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26个</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老旧小区改造户数</w:t>
            </w:r>
          </w:p>
        </w:tc>
        <w:tc>
          <w:tcPr>
            <w:tcW w:w="572"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5993户</w:t>
            </w:r>
          </w:p>
        </w:tc>
        <w:tc>
          <w:tcPr>
            <w:tcW w:w="647"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5993户</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410" w:type="pct"/>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老旧小区改造验收合格率</w:t>
            </w:r>
          </w:p>
        </w:tc>
        <w:tc>
          <w:tcPr>
            <w:tcW w:w="5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w:t>
            </w:r>
          </w:p>
        </w:tc>
        <w:tc>
          <w:tcPr>
            <w:tcW w:w="647"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continue"/>
            <w:tcBorders>
              <w:top w:val="nil"/>
              <w:bottom w:val="nil"/>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时</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老旧小区改造开工目标完成率</w:t>
            </w:r>
          </w:p>
        </w:tc>
        <w:tc>
          <w:tcPr>
            <w:tcW w:w="572"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w:t>
            </w:r>
          </w:p>
        </w:tc>
        <w:tc>
          <w:tcPr>
            <w:tcW w:w="647"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w:t>
            </w:r>
          </w:p>
        </w:tc>
        <w:tc>
          <w:tcPr>
            <w:tcW w:w="349" w:type="pct"/>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410" w:type="pct"/>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27" w:type="pct"/>
            <w:vMerge w:val="continue"/>
            <w:textDirection w:val="tbRlV"/>
            <w:vAlign w:val="center"/>
          </w:tcPr>
          <w:p>
            <w:pPr>
              <w:jc w:val="center"/>
              <w:rPr>
                <w:rFonts w:hint="eastAsia" w:ascii="黑体" w:hAnsi="黑体" w:eastAsia="黑体" w:cs="黑体"/>
                <w:sz w:val="21"/>
                <w:szCs w:val="21"/>
              </w:rPr>
            </w:pPr>
          </w:p>
        </w:tc>
        <w:tc>
          <w:tcPr>
            <w:tcW w:w="524" w:type="pct"/>
            <w:vMerge w:val="continue"/>
            <w:tcBorders>
              <w:top w:val="nil"/>
              <w:bottom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restart"/>
            <w:vAlign w:val="center"/>
          </w:tcPr>
          <w:p>
            <w:pPr>
              <w:jc w:val="center"/>
              <w:rPr>
                <w:rFonts w:hint="eastAsia" w:ascii="黑体" w:hAnsi="黑体" w:eastAsia="黑体" w:cs="黑体"/>
                <w:sz w:val="21"/>
                <w:szCs w:val="21"/>
              </w:rPr>
            </w:pPr>
            <w:r>
              <w:rPr>
                <w:rFonts w:hint="eastAsia" w:ascii="黑体" w:hAnsi="黑体" w:eastAsia="黑体" w:cs="黑体"/>
                <w:sz w:val="21"/>
                <w:szCs w:val="21"/>
              </w:rPr>
              <w:t>绩</w:t>
            </w:r>
          </w:p>
          <w:p>
            <w:pPr>
              <w:jc w:val="center"/>
              <w:rPr>
                <w:rFonts w:hint="eastAsia" w:ascii="黑体" w:hAnsi="黑体" w:eastAsia="黑体" w:cs="黑体"/>
                <w:sz w:val="21"/>
                <w:szCs w:val="21"/>
              </w:rPr>
            </w:pPr>
            <w:r>
              <w:rPr>
                <w:rFonts w:hint="eastAsia" w:ascii="黑体" w:hAnsi="黑体" w:eastAsia="黑体" w:cs="黑体"/>
                <w:sz w:val="21"/>
                <w:szCs w:val="21"/>
              </w:rPr>
              <w:t>效</w:t>
            </w:r>
          </w:p>
          <w:p>
            <w:pPr>
              <w:jc w:val="center"/>
              <w:rPr>
                <w:rFonts w:hint="eastAsia" w:ascii="黑体" w:hAnsi="黑体" w:eastAsia="黑体" w:cs="黑体"/>
                <w:sz w:val="21"/>
                <w:szCs w:val="21"/>
              </w:rPr>
            </w:pPr>
            <w:r>
              <w:rPr>
                <w:rFonts w:hint="eastAsia" w:ascii="黑体" w:hAnsi="黑体" w:eastAsia="黑体" w:cs="黑体"/>
                <w:sz w:val="21"/>
                <w:szCs w:val="21"/>
              </w:rPr>
              <w:t>指</w:t>
            </w:r>
          </w:p>
          <w:p>
            <w:pPr>
              <w:jc w:val="center"/>
              <w:rPr>
                <w:rFonts w:hint="eastAsia" w:ascii="黑体" w:hAnsi="黑体" w:eastAsia="黑体" w:cs="黑体"/>
                <w:sz w:val="21"/>
                <w:szCs w:val="21"/>
              </w:rPr>
            </w:pPr>
            <w:r>
              <w:rPr>
                <w:rFonts w:hint="eastAsia" w:ascii="黑体" w:hAnsi="黑体" w:eastAsia="黑体" w:cs="黑体"/>
                <w:sz w:val="21"/>
                <w:szCs w:val="21"/>
              </w:rPr>
              <w:t>标</w:t>
            </w:r>
          </w:p>
        </w:tc>
        <w:tc>
          <w:tcPr>
            <w:tcW w:w="524"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益</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（30分）</w:t>
            </w:r>
          </w:p>
        </w:tc>
        <w:tc>
          <w:tcPr>
            <w:tcW w:w="647" w:type="pct"/>
            <w:vMerge w:val="restart"/>
            <w:tcBorders>
              <w:left w:val="single" w:color="auto" w:sz="4" w:space="0"/>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经济</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效益</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left w:val="single" w:color="auto" w:sz="4" w:space="0"/>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效益</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8"/>
                <w:lang w:val="en-US" w:eastAsia="zh-CN"/>
              </w:rPr>
              <w:t>改善居民居住条件</w:t>
            </w:r>
          </w:p>
        </w:tc>
        <w:tc>
          <w:tcPr>
            <w:tcW w:w="572"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成效显著</w:t>
            </w:r>
          </w:p>
        </w:tc>
        <w:tc>
          <w:tcPr>
            <w:tcW w:w="647"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成效显著</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left w:val="single" w:color="auto" w:sz="4" w:space="0"/>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生态</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效益</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8"/>
                <w:lang w:eastAsia="zh-CN"/>
              </w:rPr>
              <w:t>改善居民人居环境</w:t>
            </w:r>
          </w:p>
        </w:tc>
        <w:tc>
          <w:tcPr>
            <w:tcW w:w="572"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成效显著</w:t>
            </w:r>
          </w:p>
        </w:tc>
        <w:tc>
          <w:tcPr>
            <w:tcW w:w="647"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成效显著</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left w:val="single" w:color="auto" w:sz="4" w:space="0"/>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可持续</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影响</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满意度</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（10分）</w:t>
            </w:r>
          </w:p>
        </w:tc>
        <w:tc>
          <w:tcPr>
            <w:tcW w:w="647" w:type="pct"/>
            <w:vMerge w:val="restart"/>
            <w:tcBorders>
              <w:left w:val="single" w:color="auto" w:sz="4" w:space="0"/>
              <w:bottom w:val="nil"/>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服务对象</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满意度</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548" w:type="pct"/>
            <w:vAlign w:val="center"/>
          </w:tcPr>
          <w:p>
            <w:pPr>
              <w:jc w:val="center"/>
              <w:rPr>
                <w:rFonts w:hint="eastAsia" w:asciiTheme="minorEastAsia" w:hAnsiTheme="minorEastAsia" w:eastAsiaTheme="minorEastAsia" w:cstheme="minorEastAsia"/>
                <w:sz w:val="21"/>
                <w:szCs w:val="21"/>
              </w:rPr>
            </w:pPr>
            <w:r>
              <w:rPr>
                <w:rFonts w:hint="eastAsia" w:eastAsia="宋体"/>
                <w:sz w:val="18"/>
                <w:lang w:val="en-US" w:eastAsia="zh-CN"/>
              </w:rPr>
              <w:t>居民满意度</w:t>
            </w:r>
          </w:p>
        </w:tc>
        <w:tc>
          <w:tcPr>
            <w:tcW w:w="572"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≥95%</w:t>
            </w:r>
          </w:p>
        </w:tc>
        <w:tc>
          <w:tcPr>
            <w:tcW w:w="647"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95%</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bottom w:val="nil"/>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top w:val="nil"/>
              <w:left w:val="single" w:color="auto" w:sz="4" w:space="0"/>
              <w:bottom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指</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0分</w:t>
            </w:r>
            <w:r>
              <w:rPr>
                <w:rFonts w:hint="eastAsia" w:asciiTheme="minorEastAsia" w:hAnsiTheme="minorEastAsia" w:eastAsiaTheme="minorEastAsia" w:cstheme="minorEastAsia"/>
                <w:sz w:val="21"/>
                <w:szCs w:val="21"/>
                <w:lang w:val="en-US" w:eastAsia="zh-CN"/>
              </w:rPr>
              <w:t>）</w:t>
            </w:r>
          </w:p>
        </w:tc>
        <w:tc>
          <w:tcPr>
            <w:tcW w:w="647" w:type="pct"/>
            <w:vMerge w:val="restart"/>
            <w:tcBorders>
              <w:top w:val="single" w:color="auto" w:sz="4" w:space="0"/>
              <w:left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经济</w:t>
            </w:r>
          </w:p>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成本</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指标</w:t>
            </w:r>
          </w:p>
        </w:tc>
        <w:tc>
          <w:tcPr>
            <w:tcW w:w="548" w:type="pct"/>
            <w:tcBorders>
              <w:lef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eastAsia="宋体"/>
                <w:sz w:val="19"/>
                <w:lang w:val="en-US" w:eastAsia="zh-CN"/>
              </w:rPr>
              <w:t>老旧小区改造补助资金</w:t>
            </w:r>
          </w:p>
        </w:tc>
        <w:tc>
          <w:tcPr>
            <w:tcW w:w="572"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2672万元</w:t>
            </w:r>
          </w:p>
        </w:tc>
        <w:tc>
          <w:tcPr>
            <w:tcW w:w="647" w:type="pct"/>
            <w:vAlign w:val="center"/>
          </w:tcPr>
          <w:p>
            <w:pPr>
              <w:jc w:val="center"/>
              <w:rPr>
                <w:rFonts w:hint="eastAsia" w:asciiTheme="minorEastAsia" w:hAnsiTheme="minorEastAsia" w:eastAsiaTheme="minorEastAsia" w:cstheme="minorEastAsia"/>
                <w:sz w:val="21"/>
                <w:szCs w:val="21"/>
              </w:rPr>
            </w:pPr>
            <w:r>
              <w:rPr>
                <w:rFonts w:hint="eastAsia" w:eastAsia="宋体"/>
                <w:sz w:val="19"/>
                <w:lang w:val="en-US" w:eastAsia="zh-CN"/>
              </w:rPr>
              <w:t>2672万元</w:t>
            </w:r>
          </w:p>
        </w:tc>
        <w:tc>
          <w:tcPr>
            <w:tcW w:w="349"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w:t>
            </w: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tcBorders>
              <w:lef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top w:val="single" w:color="auto" w:sz="4" w:space="0"/>
              <w:left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社会</w:t>
            </w:r>
          </w:p>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成本</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指标</w:t>
            </w:r>
          </w:p>
        </w:tc>
        <w:tc>
          <w:tcPr>
            <w:tcW w:w="548" w:type="pct"/>
            <w:tcBorders>
              <w:lef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tcBorders>
              <w:lef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restart"/>
            <w:tcBorders>
              <w:top w:val="single" w:color="auto" w:sz="4" w:space="0"/>
              <w:left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生态</w:t>
            </w:r>
          </w:p>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环境</w:t>
            </w:r>
          </w:p>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成本</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指标</w:t>
            </w:r>
          </w:p>
        </w:tc>
        <w:tc>
          <w:tcPr>
            <w:tcW w:w="548" w:type="pct"/>
            <w:tcBorders>
              <w:lef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27" w:type="pct"/>
            <w:vMerge w:val="continue"/>
            <w:textDirection w:val="tbRlV"/>
            <w:vAlign w:val="center"/>
          </w:tcPr>
          <w:p>
            <w:pPr>
              <w:jc w:val="center"/>
              <w:rPr>
                <w:rFonts w:hint="eastAsia" w:asciiTheme="minorEastAsia" w:hAnsiTheme="minorEastAsia" w:eastAsiaTheme="minorEastAsia" w:cstheme="minorEastAsia"/>
                <w:sz w:val="21"/>
                <w:szCs w:val="21"/>
              </w:rPr>
            </w:pPr>
          </w:p>
        </w:tc>
        <w:tc>
          <w:tcPr>
            <w:tcW w:w="524"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647" w:type="pct"/>
            <w:vMerge w:val="continue"/>
            <w:tcBorders>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p>
        </w:tc>
        <w:tc>
          <w:tcPr>
            <w:tcW w:w="548" w:type="pct"/>
            <w:tcBorders>
              <w:lef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w:t>
            </w:r>
          </w:p>
        </w:tc>
        <w:tc>
          <w:tcPr>
            <w:tcW w:w="572" w:type="pct"/>
            <w:vAlign w:val="center"/>
          </w:tcPr>
          <w:p>
            <w:pPr>
              <w:jc w:val="center"/>
              <w:rPr>
                <w:rFonts w:hint="eastAsia" w:asciiTheme="minorEastAsia" w:hAnsiTheme="minorEastAsia" w:eastAsiaTheme="minorEastAsia" w:cstheme="minorEastAsia"/>
                <w:sz w:val="21"/>
                <w:szCs w:val="21"/>
              </w:rPr>
            </w:pPr>
          </w:p>
        </w:tc>
        <w:tc>
          <w:tcPr>
            <w:tcW w:w="647" w:type="pct"/>
            <w:vAlign w:val="center"/>
          </w:tcPr>
          <w:p>
            <w:pPr>
              <w:jc w:val="center"/>
              <w:rPr>
                <w:rFonts w:hint="eastAsia" w:asciiTheme="minorEastAsia" w:hAnsiTheme="minorEastAsia" w:eastAsiaTheme="minorEastAsia" w:cstheme="minorEastAsia"/>
                <w:sz w:val="21"/>
                <w:szCs w:val="21"/>
              </w:rPr>
            </w:pPr>
          </w:p>
        </w:tc>
        <w:tc>
          <w:tcPr>
            <w:tcW w:w="349" w:type="pct"/>
            <w:vAlign w:val="center"/>
          </w:tcPr>
          <w:p>
            <w:pPr>
              <w:jc w:val="center"/>
              <w:rPr>
                <w:rFonts w:hint="eastAsia" w:asciiTheme="minorEastAsia" w:hAnsiTheme="minorEastAsia" w:eastAsiaTheme="minorEastAsia" w:cstheme="minorEastAsia"/>
                <w:sz w:val="21"/>
                <w:szCs w:val="21"/>
              </w:rPr>
            </w:pPr>
          </w:p>
        </w:tc>
        <w:tc>
          <w:tcPr>
            <w:tcW w:w="410" w:type="pct"/>
            <w:vAlign w:val="center"/>
          </w:tcPr>
          <w:p>
            <w:pPr>
              <w:jc w:val="center"/>
              <w:rPr>
                <w:rFonts w:hint="eastAsia" w:asciiTheme="minorEastAsia" w:hAnsiTheme="minorEastAsia" w:eastAsiaTheme="minorEastAsia" w:cstheme="minorEastAsia"/>
                <w:sz w:val="21"/>
                <w:szCs w:val="21"/>
              </w:rPr>
            </w:pPr>
          </w:p>
        </w:tc>
        <w:tc>
          <w:tcPr>
            <w:tcW w:w="772" w:type="pct"/>
            <w:vAlign w:val="center"/>
          </w:tcPr>
          <w:p>
            <w:pPr>
              <w:jc w:val="center"/>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468" w:type="pct"/>
            <w:gridSpan w:val="6"/>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总分</w:t>
            </w:r>
          </w:p>
        </w:tc>
        <w:tc>
          <w:tcPr>
            <w:tcW w:w="349" w:type="pc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100</w:t>
            </w:r>
          </w:p>
        </w:tc>
        <w:tc>
          <w:tcPr>
            <w:tcW w:w="410" w:type="pct"/>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99</w:t>
            </w:r>
          </w:p>
        </w:tc>
        <w:tc>
          <w:tcPr>
            <w:tcW w:w="772" w:type="pct"/>
            <w:vAlign w:val="center"/>
          </w:tcPr>
          <w:p>
            <w:pPr>
              <w:jc w:val="center"/>
              <w:rPr>
                <w:rFonts w:hint="eastAsia" w:asciiTheme="minorEastAsia" w:hAnsiTheme="minorEastAsia" w:eastAsiaTheme="minorEastAsia" w:cstheme="minorEastAsia"/>
                <w:sz w:val="21"/>
                <w:szCs w:val="21"/>
              </w:rPr>
            </w:pPr>
          </w:p>
        </w:tc>
      </w:tr>
    </w:tbl>
    <w:p>
      <w:pPr>
        <w:rPr>
          <w:rFonts w:hint="eastAsia"/>
        </w:rPr>
      </w:pPr>
      <w:r>
        <w:rPr>
          <w:rFonts w:hint="eastAsia"/>
        </w:rPr>
        <w:t>备注：每个一级项目支出一张表。如，业务工作经费，运行维护经费，其他事业发展类资金各一张表。</w:t>
      </w:r>
    </w:p>
    <w:p>
      <w:pPr>
        <w:rPr>
          <w:rFonts w:hint="eastAsia"/>
        </w:rPr>
      </w:pPr>
    </w:p>
    <w:p>
      <w:pPr>
        <w:rPr>
          <w:rFonts w:hint="eastAsia"/>
        </w:rPr>
      </w:pPr>
      <w:r>
        <w:rPr>
          <w:rFonts w:hint="eastAsia"/>
        </w:rPr>
        <w:t>填表人：        填报日期：            联系电话：      单位负责人签字：</w:t>
      </w:r>
    </w:p>
    <w:p>
      <w:pPr>
        <w:sectPr>
          <w:footerReference r:id="rId4" w:type="default"/>
          <w:pgSz w:w="11905" w:h="16838"/>
          <w:pgMar w:top="1984" w:right="1701" w:bottom="1984" w:left="1701" w:header="850" w:footer="1587" w:gutter="0"/>
          <w:pgNumType w:fmt="numberInDash"/>
          <w:cols w:space="0" w:num="1"/>
          <w:rtlGutter w:val="0"/>
          <w:docGrid w:type="lines" w:linePitch="314" w:charSpace="0"/>
        </w:sectPr>
      </w:pPr>
      <w:r>
        <w:rPr>
          <w:sz w:val="22"/>
          <w:szCs w:val="22"/>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3" w:lineRule="auto"/>
      <w:jc w:val="right"/>
      <w:rPr>
        <w:rFonts w:ascii="宋体" w:hAnsi="宋体" w:eastAsia="宋体" w:cs="宋体"/>
        <w:sz w:val="30"/>
        <w:szCs w:val="30"/>
      </w:rPr>
    </w:pPr>
    <w:r>
      <w:rPr>
        <w:rFonts w:ascii="宋体" w:hAnsi="宋体" w:eastAsia="宋体" w:cs="宋体"/>
        <w:spacing w:val="-23"/>
        <w:w w:val="73"/>
        <w:sz w:val="30"/>
        <w:szCs w:val="30"/>
      </w:rPr>
      <w:t>—</w:t>
    </w:r>
    <w:r>
      <w:rPr>
        <w:rFonts w:ascii="宋体" w:hAnsi="宋体" w:eastAsia="宋体" w:cs="宋体"/>
        <w:spacing w:val="-121"/>
        <w:sz w:val="30"/>
        <w:szCs w:val="30"/>
      </w:rPr>
      <w:t xml:space="preserve"> </w:t>
    </w:r>
    <w:r>
      <w:rPr>
        <w:rFonts w:ascii="宋体" w:hAnsi="宋体" w:eastAsia="宋体" w:cs="宋体"/>
        <w:spacing w:val="-23"/>
        <w:w w:val="73"/>
        <w:sz w:val="30"/>
        <w:szCs w:val="30"/>
      </w:rPr>
      <w:t>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1" w:line="174" w:lineRule="auto"/>
      <w:ind w:left="574"/>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12</w:t>
                          </w:r>
                          <w:r>
                            <w:rPr>
                              <w:rFonts w:hint="default" w:ascii="Times New Roman" w:hAnsi="Times New Roman" w:eastAsia="华文仿宋"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5"/>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12</w:t>
                    </w:r>
                    <w:r>
                      <w:rPr>
                        <w:rFonts w:hint="default" w:ascii="Times New Roman" w:hAnsi="Times New Roman" w:eastAsia="华文仿宋" w:cs="Times New Roman"/>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16B33"/>
    <w:multiLevelType w:val="singleLevel"/>
    <w:tmpl w:val="B9116B33"/>
    <w:lvl w:ilvl="0" w:tentative="0">
      <w:start w:val="2"/>
      <w:numFmt w:val="decimal"/>
      <w:suff w:val="nothing"/>
      <w:lvlText w:val="%1、"/>
      <w:lvlJc w:val="left"/>
    </w:lvl>
  </w:abstractNum>
  <w:abstractNum w:abstractNumId="1">
    <w:nsid w:val="6A4E0588"/>
    <w:multiLevelType w:val="singleLevel"/>
    <w:tmpl w:val="6A4E058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TU4NWRjNjFkODc0NDg4YWJjZDk4ODBiMWQ4ZTEifQ=="/>
    <w:docVar w:name="KSO_WPS_MARK_KEY" w:val="1a2bb491-4e04-485a-9df5-2c7fe33b2f62"/>
  </w:docVars>
  <w:rsids>
    <w:rsidRoot w:val="0F72274B"/>
    <w:rsid w:val="0F72274B"/>
    <w:rsid w:val="5E8F1015"/>
    <w:rsid w:val="7F5F5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qFormat/>
    <w:uiPriority w:val="0"/>
    <w:pPr>
      <w:spacing w:after="120"/>
      <w:ind w:left="283" w:leftChars="0" w:firstLine="210"/>
    </w:pPr>
    <w:rPr>
      <w:rFonts w:ascii="Times New Roman" w:eastAsia="宋体"/>
      <w:sz w:val="21"/>
    </w:rPr>
  </w:style>
  <w:style w:type="paragraph" w:styleId="3">
    <w:name w:val="Body Text Indent"/>
    <w:basedOn w:val="1"/>
    <w:semiHidden/>
    <w:qFormat/>
    <w:uiPriority w:val="0"/>
    <w:pPr>
      <w:ind w:left="659" w:leftChars="314"/>
    </w:pPr>
    <w:rPr>
      <w:rFonts w:ascii="仿宋_GB2312" w:eastAsia="仿宋_GB2312"/>
      <w:sz w:val="24"/>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footnote text"/>
    <w:basedOn w:val="1"/>
    <w:next w:val="1"/>
    <w:qFormat/>
    <w:uiPriority w:val="0"/>
    <w:pPr>
      <w:snapToGrid w:val="0"/>
      <w:jc w:val="left"/>
    </w:pPr>
    <w:rPr>
      <w:sz w:val="18"/>
      <w:szCs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5301</Words>
  <Characters>5559</Characters>
  <Lines>0</Lines>
  <Paragraphs>0</Paragraphs>
  <TotalTime>8</TotalTime>
  <ScaleCrop>false</ScaleCrop>
  <LinksUpToDate>false</LinksUpToDate>
  <CharactersWithSpaces>5671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2024-05-29T07:38:00Z</dcterms:created>
  <dc:creator>黄可夫</dc:creator>
  <cp:lastModifiedBy>黄可夫</cp:lastModifiedBy>
  <cp:lastPrinted>2024-05-31T03:10:28Z</cp:lastPrinted>
  <dcterms:modified xsi:type="dcterms:W3CDTF">2024-05-31T03:10:39Z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D3E06B48442148B895CC57A282E4678D</vt:lpwstr>
  </property>
</Properties>
</file>