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10" w:lineRule="exact"/>
        <w:jc w:val="center"/>
        <w:rPr>
          <w:rFonts w:ascii="方正小标宋简体" w:hAnsi="方正小标宋简体"/>
          <w:sz w:val="36"/>
          <w:szCs w:val="36"/>
        </w:rPr>
      </w:pPr>
      <w:r>
        <w:rPr>
          <w:rFonts w:ascii="方正小标宋简体" w:hAnsi="方正小标宋简体"/>
          <w:sz w:val="36"/>
          <w:szCs w:val="36"/>
        </w:rPr>
        <w:t>2023</w:t>
      </w:r>
      <w:r>
        <w:rPr>
          <w:rFonts w:ascii="宋体" w:hAnsi="宋体"/>
          <w:sz w:val="36"/>
          <w:szCs w:val="36"/>
        </w:rPr>
        <w:t>年度</w:t>
      </w:r>
      <w:r>
        <w:rPr>
          <w:rFonts w:hint="eastAsia" w:ascii="宋体" w:hAnsi="宋体"/>
          <w:sz w:val="36"/>
          <w:szCs w:val="36"/>
        </w:rPr>
        <w:t>华容县妇幼保健院</w:t>
      </w:r>
    </w:p>
    <w:p>
      <w:pPr>
        <w:spacing w:line="610" w:lineRule="exact"/>
        <w:jc w:val="center"/>
        <w:rPr>
          <w:rFonts w:ascii="方正小标宋简体" w:hAnsi="方正小标宋简体"/>
          <w:sz w:val="36"/>
          <w:szCs w:val="36"/>
        </w:rPr>
      </w:pPr>
      <w:r>
        <w:rPr>
          <w:rFonts w:hint="eastAsia" w:ascii="宋体" w:hAnsi="宋体"/>
          <w:sz w:val="36"/>
          <w:szCs w:val="36"/>
        </w:rPr>
        <w:t>农村适龄和城镇低保适龄妇女</w:t>
      </w:r>
    </w:p>
    <w:p>
      <w:pPr>
        <w:spacing w:line="610" w:lineRule="exact"/>
        <w:jc w:val="center"/>
        <w:rPr>
          <w:rFonts w:ascii="方正小标宋简体" w:hAnsi="方正小标宋简体"/>
          <w:sz w:val="36"/>
          <w:szCs w:val="36"/>
        </w:rPr>
      </w:pPr>
      <w:r>
        <w:rPr>
          <w:rFonts w:hint="eastAsia" w:ascii="宋体" w:hAnsi="宋体"/>
          <w:sz w:val="36"/>
          <w:szCs w:val="36"/>
        </w:rPr>
        <w:t>两癌筛查</w:t>
      </w:r>
      <w:r>
        <w:rPr>
          <w:rFonts w:ascii="宋体" w:hAnsi="宋体"/>
          <w:sz w:val="36"/>
          <w:szCs w:val="36"/>
        </w:rPr>
        <w:t>项目支出</w:t>
      </w:r>
    </w:p>
    <w:p>
      <w:pPr>
        <w:spacing w:line="610" w:lineRule="exact"/>
        <w:jc w:val="center"/>
        <w:rPr>
          <w:sz w:val="36"/>
          <w:szCs w:val="36"/>
        </w:rPr>
      </w:pPr>
      <w:r>
        <w:rPr>
          <w:rFonts w:ascii="宋体" w:hAnsi="宋体"/>
          <w:sz w:val="36"/>
          <w:szCs w:val="36"/>
        </w:rPr>
        <w:t>绩效自评报告</w:t>
      </w:r>
    </w:p>
    <w:p>
      <w:pPr>
        <w:spacing w:line="700" w:lineRule="exact"/>
        <w:rPr>
          <w:rFonts w:ascii="微软雅黑" w:hAnsi="微软雅黑" w:eastAsia="微软雅黑" w:cs="宋体"/>
          <w:color w:val="333333"/>
          <w:kern w:val="0"/>
          <w:sz w:val="24"/>
          <w:szCs w:val="24"/>
        </w:rPr>
      </w:pPr>
      <w:r>
        <w:rPr>
          <w:rFonts w:hint="eastAsia" w:ascii="微软雅黑" w:hAnsi="微软雅黑" w:eastAsia="微软雅黑" w:cs="宋体"/>
          <w:color w:val="333333"/>
          <w:kern w:val="0"/>
          <w:sz w:val="24"/>
          <w:szCs w:val="24"/>
        </w:rPr>
        <w:t xml:space="preserve"> </w:t>
      </w:r>
    </w:p>
    <w:p>
      <w:pPr>
        <w:spacing w:line="700" w:lineRule="exact"/>
        <w:ind w:firstLine="560" w:firstLineChars="200"/>
        <w:rPr>
          <w:rFonts w:hint="eastAsia" w:asciiTheme="minorEastAsia" w:hAnsiTheme="minorEastAsia" w:eastAsiaTheme="minorEastAsia" w:cstheme="minorEastAsia"/>
          <w:color w:val="333333"/>
          <w:kern w:val="0"/>
          <w:sz w:val="28"/>
          <w:szCs w:val="28"/>
        </w:rPr>
      </w:pPr>
      <w:r>
        <w:rPr>
          <w:rFonts w:hint="eastAsia" w:asciiTheme="minorEastAsia" w:hAnsiTheme="minorEastAsia" w:eastAsiaTheme="minorEastAsia" w:cstheme="minorEastAsia"/>
          <w:color w:val="333333"/>
          <w:kern w:val="0"/>
          <w:sz w:val="28"/>
          <w:szCs w:val="28"/>
        </w:rPr>
        <w:t>一、基本情况</w:t>
      </w:r>
    </w:p>
    <w:p>
      <w:pPr>
        <w:spacing w:line="700" w:lineRule="exact"/>
        <w:ind w:firstLine="560" w:firstLineChars="200"/>
        <w:rPr>
          <w:rFonts w:hint="eastAsia" w:asciiTheme="minorEastAsia" w:hAnsiTheme="minorEastAsia" w:eastAsiaTheme="minorEastAsia" w:cstheme="minorEastAsia"/>
          <w:color w:val="333333"/>
          <w:kern w:val="0"/>
          <w:sz w:val="28"/>
          <w:szCs w:val="28"/>
        </w:rPr>
      </w:pPr>
      <w:r>
        <w:rPr>
          <w:rFonts w:hint="eastAsia" w:asciiTheme="minorEastAsia" w:hAnsiTheme="minorEastAsia" w:eastAsiaTheme="minorEastAsia" w:cstheme="minorEastAsia"/>
          <w:color w:val="333333"/>
          <w:kern w:val="0"/>
          <w:sz w:val="28"/>
          <w:szCs w:val="28"/>
        </w:rPr>
        <w:t>（一）项目概况</w:t>
      </w:r>
    </w:p>
    <w:p>
      <w:pPr>
        <w:spacing w:line="700" w:lineRule="exact"/>
        <w:ind w:firstLine="840" w:firstLineChars="300"/>
        <w:rPr>
          <w:rFonts w:hint="eastAsia" w:asciiTheme="minorEastAsia" w:hAnsiTheme="minorEastAsia" w:eastAsiaTheme="minorEastAsia" w:cstheme="minorEastAsia"/>
          <w:color w:val="FF0000"/>
          <w:kern w:val="0"/>
          <w:sz w:val="28"/>
          <w:szCs w:val="28"/>
        </w:rPr>
      </w:pPr>
      <w:r>
        <w:rPr>
          <w:rFonts w:hint="eastAsia" w:asciiTheme="minorEastAsia" w:hAnsiTheme="minorEastAsia" w:eastAsiaTheme="minorEastAsia" w:cstheme="minorEastAsia"/>
          <w:color w:val="333333"/>
          <w:kern w:val="0"/>
          <w:sz w:val="28"/>
          <w:szCs w:val="28"/>
        </w:rPr>
        <w:t>为落实省委、省政府重点民生实事项目，建立党委政府领导、 部门合作、医疗机构实施、全社会参与的妇女乳腺癌和宫颈癌（以下简称“两癌”）防治模式和协作机制，保护广大妇女身心健康，对我县农村适龄和城镇低保适龄女性实施乳腺癌和宫颈癌的免费筛查。</w:t>
      </w:r>
      <w:r>
        <w:rPr>
          <w:rFonts w:hint="eastAsia" w:asciiTheme="minorEastAsia" w:hAnsiTheme="minorEastAsia" w:eastAsiaTheme="minorEastAsia" w:cstheme="minorEastAsia"/>
          <w:kern w:val="0"/>
          <w:sz w:val="28"/>
          <w:szCs w:val="28"/>
        </w:rPr>
        <w:t>2023年投入省级资金</w:t>
      </w:r>
      <w:r>
        <w:rPr>
          <w:rFonts w:hint="eastAsia" w:asciiTheme="minorEastAsia" w:hAnsiTheme="minorEastAsia" w:eastAsiaTheme="minorEastAsia" w:cstheme="minorEastAsia"/>
          <w:kern w:val="0"/>
          <w:sz w:val="28"/>
          <w:szCs w:val="28"/>
          <w:lang w:val="en-US" w:eastAsia="zh-CN"/>
        </w:rPr>
        <w:t>50.4</w:t>
      </w:r>
      <w:r>
        <w:rPr>
          <w:rFonts w:hint="eastAsia" w:asciiTheme="minorEastAsia" w:hAnsiTheme="minorEastAsia" w:eastAsiaTheme="minorEastAsia" w:cstheme="minorEastAsia"/>
          <w:kern w:val="0"/>
          <w:sz w:val="28"/>
          <w:szCs w:val="28"/>
        </w:rPr>
        <w:t>万元，</w:t>
      </w:r>
      <w:r>
        <w:rPr>
          <w:rFonts w:hint="eastAsia" w:asciiTheme="minorEastAsia" w:hAnsiTheme="minorEastAsia" w:eastAsiaTheme="minorEastAsia" w:cstheme="minorEastAsia"/>
          <w:kern w:val="0"/>
          <w:sz w:val="28"/>
          <w:szCs w:val="28"/>
          <w:lang w:eastAsia="zh-CN"/>
        </w:rPr>
        <w:t>县本级资金</w:t>
      </w:r>
      <w:r>
        <w:rPr>
          <w:rFonts w:hint="eastAsia" w:asciiTheme="minorEastAsia" w:hAnsiTheme="minorEastAsia" w:eastAsiaTheme="minorEastAsia" w:cstheme="minorEastAsia"/>
          <w:kern w:val="0"/>
          <w:sz w:val="28"/>
          <w:szCs w:val="28"/>
          <w:lang w:val="en-US" w:eastAsia="zh-CN"/>
        </w:rPr>
        <w:t>90万元，合计140.4</w:t>
      </w:r>
      <w:r>
        <w:rPr>
          <w:rFonts w:hint="eastAsia" w:asciiTheme="minorEastAsia" w:hAnsiTheme="minorEastAsia" w:eastAsiaTheme="minorEastAsia" w:cstheme="minorEastAsia"/>
          <w:kern w:val="0"/>
          <w:sz w:val="28"/>
          <w:szCs w:val="28"/>
        </w:rPr>
        <w:t>万元。</w:t>
      </w:r>
    </w:p>
    <w:p>
      <w:pPr>
        <w:spacing w:line="700" w:lineRule="exact"/>
        <w:ind w:firstLine="560" w:firstLineChars="200"/>
        <w:rPr>
          <w:rFonts w:hint="eastAsia" w:asciiTheme="minorEastAsia" w:hAnsiTheme="minorEastAsia" w:eastAsiaTheme="minorEastAsia" w:cstheme="minorEastAsia"/>
          <w:color w:val="333333"/>
          <w:kern w:val="0"/>
          <w:sz w:val="28"/>
          <w:szCs w:val="28"/>
        </w:rPr>
      </w:pPr>
      <w:r>
        <w:rPr>
          <w:rFonts w:hint="eastAsia" w:asciiTheme="minorEastAsia" w:hAnsiTheme="minorEastAsia" w:eastAsiaTheme="minorEastAsia" w:cstheme="minorEastAsia"/>
          <w:color w:val="333333"/>
          <w:kern w:val="0"/>
          <w:sz w:val="28"/>
          <w:szCs w:val="28"/>
        </w:rPr>
        <w:t>（二）项目绩效目标</w:t>
      </w:r>
    </w:p>
    <w:p>
      <w:pPr>
        <w:spacing w:line="700" w:lineRule="exact"/>
        <w:ind w:firstLine="560" w:firstLineChars="200"/>
        <w:rPr>
          <w:rFonts w:hint="eastAsia" w:asciiTheme="minorEastAsia" w:hAnsiTheme="minorEastAsia" w:eastAsiaTheme="minorEastAsia" w:cstheme="minorEastAsia"/>
          <w:color w:val="000000"/>
          <w:kern w:val="0"/>
          <w:sz w:val="28"/>
          <w:szCs w:val="28"/>
        </w:rPr>
      </w:pPr>
      <w:r>
        <w:rPr>
          <w:rFonts w:hint="eastAsia" w:asciiTheme="minorEastAsia" w:hAnsiTheme="minorEastAsia" w:eastAsiaTheme="minorEastAsia" w:cstheme="minorEastAsia"/>
          <w:color w:val="000000"/>
          <w:kern w:val="0"/>
          <w:sz w:val="28"/>
          <w:szCs w:val="28"/>
        </w:rPr>
        <w:t>2023年目标人群数为9000人。筛查10895人，目标人群覆盖率达121.06%，宫颈癌早诊率、乳腺癌早诊率、“两癌”阳性个案治疗随访率分别达95</w:t>
      </w:r>
      <w:r>
        <w:rPr>
          <w:rFonts w:hint="eastAsia" w:asciiTheme="minorEastAsia" w:hAnsiTheme="minorEastAsia" w:eastAsiaTheme="minorEastAsia" w:cstheme="minorEastAsia"/>
          <w:sz w:val="28"/>
          <w:szCs w:val="28"/>
        </w:rPr>
        <w:drawing>
          <wp:inline distT="0" distB="0" distL="0" distR="0">
            <wp:extent cx="85725" cy="152400"/>
            <wp:effectExtent l="19050" t="0" r="9525" b="0"/>
            <wp:docPr id="1" name="图片 1" descr="C:\Users\ADMINI~1\AppData\Local\Temp\ksohtml4840\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1\AppData\Local\Temp\ksohtml4840\wps1.jpg"/>
                    <pic:cNvPicPr>
                      <a:picLocks noChangeAspect="1" noChangeArrowheads="1"/>
                    </pic:cNvPicPr>
                  </pic:nvPicPr>
                  <pic:blipFill>
                    <a:blip r:embed="rId6" cstate="print"/>
                    <a:srcRect/>
                    <a:stretch>
                      <a:fillRect/>
                    </a:stretch>
                  </pic:blipFill>
                  <pic:spPr>
                    <a:xfrm>
                      <a:off x="0" y="0"/>
                      <a:ext cx="85725" cy="152400"/>
                    </a:xfrm>
                    <a:prstGeom prst="rect">
                      <a:avLst/>
                    </a:prstGeom>
                    <a:noFill/>
                    <a:ln w="9525">
                      <a:noFill/>
                      <a:miter lim="800000"/>
                      <a:headEnd/>
                      <a:tailEnd/>
                    </a:ln>
                  </pic:spPr>
                </pic:pic>
              </a:graphicData>
            </a:graphic>
          </wp:inline>
        </w:drawing>
      </w:r>
      <w:r>
        <w:rPr>
          <w:rFonts w:hint="eastAsia" w:asciiTheme="minorEastAsia" w:hAnsiTheme="minorEastAsia" w:eastAsiaTheme="minorEastAsia" w:cstheme="minorEastAsia"/>
          <w:color w:val="000000"/>
          <w:kern w:val="0"/>
          <w:sz w:val="28"/>
          <w:szCs w:val="28"/>
        </w:rPr>
        <w:t>、65</w:t>
      </w:r>
      <w:r>
        <w:rPr>
          <w:rFonts w:hint="eastAsia" w:asciiTheme="minorEastAsia" w:hAnsiTheme="minorEastAsia" w:eastAsiaTheme="minorEastAsia" w:cstheme="minorEastAsia"/>
          <w:sz w:val="28"/>
          <w:szCs w:val="28"/>
        </w:rPr>
        <w:drawing>
          <wp:inline distT="0" distB="0" distL="0" distR="0">
            <wp:extent cx="85725" cy="152400"/>
            <wp:effectExtent l="19050" t="0" r="9525" b="0"/>
            <wp:docPr id="2" name="图片 2" descr="C:\Users\ADMINI~1\AppData\Local\Temp\ksohtml4840\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ADMINI~1\AppData\Local\Temp\ksohtml4840\wps2.jpg"/>
                    <pic:cNvPicPr>
                      <a:picLocks noChangeAspect="1" noChangeArrowheads="1"/>
                    </pic:cNvPicPr>
                  </pic:nvPicPr>
                  <pic:blipFill>
                    <a:blip r:embed="rId6" cstate="print"/>
                    <a:srcRect/>
                    <a:stretch>
                      <a:fillRect/>
                    </a:stretch>
                  </pic:blipFill>
                  <pic:spPr>
                    <a:xfrm>
                      <a:off x="0" y="0"/>
                      <a:ext cx="85725" cy="152400"/>
                    </a:xfrm>
                    <a:prstGeom prst="rect">
                      <a:avLst/>
                    </a:prstGeom>
                    <a:noFill/>
                    <a:ln w="9525">
                      <a:noFill/>
                      <a:miter lim="800000"/>
                      <a:headEnd/>
                      <a:tailEnd/>
                    </a:ln>
                  </pic:spPr>
                </pic:pic>
              </a:graphicData>
            </a:graphic>
          </wp:inline>
        </w:drawing>
      </w:r>
      <w:r>
        <w:rPr>
          <w:rFonts w:hint="eastAsia" w:asciiTheme="minorEastAsia" w:hAnsiTheme="minorEastAsia" w:eastAsiaTheme="minorEastAsia" w:cstheme="minorEastAsia"/>
          <w:color w:val="000000"/>
          <w:kern w:val="0"/>
          <w:sz w:val="28"/>
          <w:szCs w:val="28"/>
        </w:rPr>
        <w:t>和95</w:t>
      </w:r>
      <w:r>
        <w:rPr>
          <w:rFonts w:hint="eastAsia" w:asciiTheme="minorEastAsia" w:hAnsiTheme="minorEastAsia" w:eastAsiaTheme="minorEastAsia" w:cstheme="minorEastAsia"/>
          <w:sz w:val="28"/>
          <w:szCs w:val="28"/>
        </w:rPr>
        <w:drawing>
          <wp:inline distT="0" distB="0" distL="0" distR="0">
            <wp:extent cx="85725" cy="152400"/>
            <wp:effectExtent l="19050" t="0" r="9525" b="0"/>
            <wp:docPr id="3" name="图片 3" descr="C:\Users\ADMINI~1\AppData\Local\Temp\ksohtml4840\wp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ADMINI~1\AppData\Local\Temp\ksohtml4840\wps3.jpg"/>
                    <pic:cNvPicPr>
                      <a:picLocks noChangeAspect="1" noChangeArrowheads="1"/>
                    </pic:cNvPicPr>
                  </pic:nvPicPr>
                  <pic:blipFill>
                    <a:blip r:embed="rId6" cstate="print"/>
                    <a:srcRect/>
                    <a:stretch>
                      <a:fillRect/>
                    </a:stretch>
                  </pic:blipFill>
                  <pic:spPr>
                    <a:xfrm>
                      <a:off x="0" y="0"/>
                      <a:ext cx="85725" cy="152400"/>
                    </a:xfrm>
                    <a:prstGeom prst="rect">
                      <a:avLst/>
                    </a:prstGeom>
                    <a:noFill/>
                    <a:ln w="9525">
                      <a:noFill/>
                      <a:miter lim="800000"/>
                      <a:headEnd/>
                      <a:tailEnd/>
                    </a:ln>
                  </pic:spPr>
                </pic:pic>
              </a:graphicData>
            </a:graphic>
          </wp:inline>
        </w:drawing>
      </w:r>
      <w:r>
        <w:rPr>
          <w:rFonts w:hint="eastAsia" w:asciiTheme="minorEastAsia" w:hAnsiTheme="minorEastAsia" w:eastAsiaTheme="minorEastAsia" w:cstheme="minorEastAsia"/>
          <w:color w:val="000000"/>
          <w:kern w:val="0"/>
          <w:sz w:val="28"/>
          <w:szCs w:val="28"/>
        </w:rPr>
        <w:t>以上。</w:t>
      </w:r>
    </w:p>
    <w:p>
      <w:pPr>
        <w:spacing w:line="700" w:lineRule="exact"/>
        <w:ind w:firstLine="560" w:firstLineChars="200"/>
        <w:rPr>
          <w:rFonts w:hint="eastAsia" w:asciiTheme="minorEastAsia" w:hAnsiTheme="minorEastAsia" w:eastAsiaTheme="minorEastAsia" w:cstheme="minorEastAsia"/>
          <w:color w:val="333333"/>
          <w:kern w:val="0"/>
          <w:sz w:val="28"/>
          <w:szCs w:val="28"/>
        </w:rPr>
      </w:pPr>
      <w:r>
        <w:rPr>
          <w:rFonts w:hint="eastAsia" w:asciiTheme="minorEastAsia" w:hAnsiTheme="minorEastAsia" w:eastAsiaTheme="minorEastAsia" w:cstheme="minorEastAsia"/>
          <w:color w:val="333333"/>
          <w:kern w:val="0"/>
          <w:sz w:val="28"/>
          <w:szCs w:val="28"/>
        </w:rPr>
        <w:t>二、绩效评价工作开展情况</w:t>
      </w:r>
    </w:p>
    <w:p>
      <w:pPr>
        <w:spacing w:line="560" w:lineRule="exact"/>
        <w:ind w:firstLine="560" w:firstLineChars="200"/>
        <w:rPr>
          <w:rFonts w:hint="eastAsia" w:asciiTheme="minorEastAsia" w:hAnsiTheme="minorEastAsia" w:eastAsiaTheme="minorEastAsia" w:cstheme="minorEastAsia"/>
          <w:color w:val="333333"/>
          <w:kern w:val="0"/>
          <w:sz w:val="28"/>
          <w:szCs w:val="28"/>
        </w:rPr>
      </w:pPr>
      <w:r>
        <w:rPr>
          <w:rFonts w:hint="eastAsia" w:asciiTheme="minorEastAsia" w:hAnsiTheme="minorEastAsia" w:eastAsiaTheme="minorEastAsia" w:cstheme="minorEastAsia"/>
          <w:color w:val="333333"/>
          <w:kern w:val="0"/>
          <w:sz w:val="28"/>
          <w:szCs w:val="28"/>
        </w:rPr>
        <w:t>（一）目的：提高“两癌”早诊早治率，同时通过宣传与健康教育，提升农村妇女“两癌”防治知识知晓率，树立“防”重于“治”的健康理念。服务范围：对我县35-64岁农村适龄和城镇低保适龄妇女进行宫颈癌和乳腺癌的免费检查。</w:t>
      </w:r>
    </w:p>
    <w:p>
      <w:pPr>
        <w:spacing w:line="700" w:lineRule="exact"/>
        <w:ind w:firstLine="560" w:firstLineChars="200"/>
        <w:rPr>
          <w:rFonts w:hint="eastAsia" w:asciiTheme="minorEastAsia" w:hAnsiTheme="minorEastAsia" w:eastAsiaTheme="minorEastAsia" w:cstheme="minorEastAsia"/>
          <w:color w:val="333333"/>
          <w:kern w:val="0"/>
          <w:sz w:val="28"/>
          <w:szCs w:val="28"/>
        </w:rPr>
      </w:pPr>
      <w:r>
        <w:rPr>
          <w:rFonts w:hint="eastAsia" w:asciiTheme="minorEastAsia" w:hAnsiTheme="minorEastAsia" w:eastAsiaTheme="minorEastAsia" w:cstheme="minorEastAsia"/>
          <w:color w:val="333333"/>
          <w:kern w:val="0"/>
          <w:sz w:val="28"/>
          <w:szCs w:val="28"/>
        </w:rPr>
        <w:t>（二）评价指标体系（见附表）</w:t>
      </w:r>
    </w:p>
    <w:p>
      <w:pPr>
        <w:spacing w:line="700" w:lineRule="exact"/>
        <w:ind w:firstLine="560" w:firstLineChars="200"/>
        <w:rPr>
          <w:rFonts w:hint="eastAsia" w:asciiTheme="minorEastAsia" w:hAnsiTheme="minorEastAsia" w:eastAsiaTheme="minorEastAsia" w:cstheme="minorEastAsia"/>
          <w:color w:val="333333"/>
          <w:kern w:val="0"/>
          <w:sz w:val="28"/>
          <w:szCs w:val="28"/>
        </w:rPr>
      </w:pPr>
      <w:r>
        <w:rPr>
          <w:rFonts w:hint="eastAsia" w:asciiTheme="minorEastAsia" w:hAnsiTheme="minorEastAsia" w:eastAsiaTheme="minorEastAsia" w:cstheme="minorEastAsia"/>
          <w:color w:val="333333"/>
          <w:kern w:val="0"/>
          <w:sz w:val="28"/>
          <w:szCs w:val="28"/>
        </w:rPr>
        <w:t>（三）绩效评价工作过程</w:t>
      </w:r>
    </w:p>
    <w:p>
      <w:pPr>
        <w:spacing w:line="700" w:lineRule="exact"/>
        <w:ind w:firstLine="560" w:firstLineChars="200"/>
        <w:rPr>
          <w:rFonts w:hint="eastAsia" w:asciiTheme="minorEastAsia" w:hAnsiTheme="minorEastAsia" w:eastAsiaTheme="minorEastAsia" w:cstheme="minorEastAsia"/>
          <w:color w:val="333333"/>
          <w:kern w:val="0"/>
          <w:sz w:val="28"/>
          <w:szCs w:val="28"/>
        </w:rPr>
      </w:pPr>
      <w:r>
        <w:rPr>
          <w:rFonts w:hint="eastAsia" w:asciiTheme="minorEastAsia" w:hAnsiTheme="minorEastAsia" w:eastAsiaTheme="minorEastAsia" w:cstheme="minorEastAsia"/>
          <w:color w:val="333333"/>
          <w:kern w:val="0"/>
          <w:sz w:val="28"/>
          <w:szCs w:val="28"/>
        </w:rPr>
        <w:t>1、加强领导，确保组织到位。制定了华容县两癌检查实施方案，成立了领导小组和技术小组。明确了各个机构的职责，确保两癌检查工作的顺利实施。</w:t>
      </w:r>
    </w:p>
    <w:p>
      <w:pPr>
        <w:spacing w:line="700" w:lineRule="exact"/>
        <w:ind w:firstLine="560" w:firstLineChars="200"/>
        <w:rPr>
          <w:rFonts w:hint="eastAsia" w:asciiTheme="minorEastAsia" w:hAnsiTheme="minorEastAsia" w:eastAsiaTheme="minorEastAsia" w:cstheme="minorEastAsia"/>
          <w:color w:val="333333"/>
          <w:kern w:val="0"/>
          <w:sz w:val="28"/>
          <w:szCs w:val="28"/>
        </w:rPr>
      </w:pPr>
      <w:r>
        <w:rPr>
          <w:rFonts w:hint="eastAsia" w:asciiTheme="minorEastAsia" w:hAnsiTheme="minorEastAsia" w:eastAsiaTheme="minorEastAsia" w:cstheme="minorEastAsia"/>
          <w:color w:val="333333"/>
          <w:kern w:val="0"/>
          <w:sz w:val="28"/>
          <w:szCs w:val="28"/>
        </w:rPr>
        <w:t>2、严格规范，加强培训。根据上级文件要求，制定了操作规范流程以及相关的工作制度。定期组织开展人员培训、业务指导、质量控制和监督检查。</w:t>
      </w:r>
    </w:p>
    <w:p>
      <w:pPr>
        <w:spacing w:line="700" w:lineRule="exact"/>
        <w:ind w:firstLine="560" w:firstLineChars="200"/>
        <w:rPr>
          <w:rFonts w:hint="eastAsia" w:asciiTheme="minorEastAsia" w:hAnsiTheme="minorEastAsia" w:eastAsiaTheme="minorEastAsia" w:cstheme="minorEastAsia"/>
          <w:color w:val="333333"/>
          <w:kern w:val="0"/>
          <w:sz w:val="28"/>
          <w:szCs w:val="28"/>
        </w:rPr>
      </w:pPr>
      <w:r>
        <w:rPr>
          <w:rFonts w:hint="eastAsia" w:asciiTheme="minorEastAsia" w:hAnsiTheme="minorEastAsia" w:eastAsiaTheme="minorEastAsia" w:cstheme="minorEastAsia"/>
          <w:color w:val="333333"/>
          <w:kern w:val="0"/>
          <w:sz w:val="28"/>
          <w:szCs w:val="28"/>
        </w:rPr>
        <w:t>3、建立健全“两癌”免费检查适龄妇女的电子档案信息库。对所有检查对象建立电子档案，健全“两癌信息数据采集系统”。</w:t>
      </w:r>
    </w:p>
    <w:p>
      <w:pPr>
        <w:spacing w:line="700" w:lineRule="exact"/>
        <w:ind w:firstLine="560" w:firstLineChars="200"/>
        <w:rPr>
          <w:rFonts w:hint="eastAsia" w:asciiTheme="minorEastAsia" w:hAnsiTheme="minorEastAsia" w:eastAsiaTheme="minorEastAsia" w:cstheme="minorEastAsia"/>
          <w:color w:val="333333"/>
          <w:kern w:val="0"/>
          <w:sz w:val="28"/>
          <w:szCs w:val="28"/>
        </w:rPr>
      </w:pPr>
      <w:r>
        <w:rPr>
          <w:rFonts w:hint="eastAsia" w:asciiTheme="minorEastAsia" w:hAnsiTheme="minorEastAsia" w:eastAsiaTheme="minorEastAsia" w:cstheme="minorEastAsia"/>
          <w:color w:val="333333"/>
          <w:kern w:val="0"/>
          <w:sz w:val="28"/>
          <w:szCs w:val="28"/>
        </w:rPr>
        <w:t>四、综合评价情况及评价结论根据文件要求，我局对全县两癌检查的情况进行了一次绩效评估。从群众的反映表明，实施两癌检查这一惠民政策，提升妇女“两癌”意识，树立健康文明理念，培养良好生活方式，群众较满意。绩效评价等级：</w:t>
      </w:r>
      <w:r>
        <w:rPr>
          <w:rFonts w:hint="eastAsia" w:asciiTheme="minorEastAsia" w:hAnsiTheme="minorEastAsia" w:eastAsiaTheme="minorEastAsia" w:cstheme="minorEastAsia"/>
          <w:color w:val="333333"/>
          <w:kern w:val="0"/>
          <w:sz w:val="28"/>
          <w:szCs w:val="28"/>
          <w:lang w:val="en-US" w:eastAsia="zh-CN"/>
        </w:rPr>
        <w:t>98</w:t>
      </w:r>
      <w:r>
        <w:rPr>
          <w:rFonts w:hint="eastAsia" w:asciiTheme="minorEastAsia" w:hAnsiTheme="minorEastAsia" w:eastAsiaTheme="minorEastAsia" w:cstheme="minorEastAsia"/>
          <w:color w:val="333333"/>
          <w:kern w:val="0"/>
          <w:sz w:val="28"/>
          <w:szCs w:val="28"/>
        </w:rPr>
        <w:t>分，为优。</w:t>
      </w:r>
    </w:p>
    <w:p>
      <w:pPr>
        <w:spacing w:line="700" w:lineRule="exact"/>
        <w:ind w:firstLine="560" w:firstLineChars="200"/>
        <w:rPr>
          <w:rFonts w:hint="eastAsia" w:asciiTheme="minorEastAsia" w:hAnsiTheme="minorEastAsia" w:eastAsiaTheme="minorEastAsia" w:cstheme="minorEastAsia"/>
          <w:color w:val="333333"/>
          <w:kern w:val="0"/>
          <w:sz w:val="28"/>
          <w:szCs w:val="28"/>
        </w:rPr>
      </w:pPr>
      <w:r>
        <w:rPr>
          <w:rFonts w:hint="eastAsia" w:asciiTheme="minorEastAsia" w:hAnsiTheme="minorEastAsia" w:eastAsiaTheme="minorEastAsia" w:cstheme="minorEastAsia"/>
          <w:color w:val="333333"/>
          <w:kern w:val="0"/>
          <w:sz w:val="28"/>
          <w:szCs w:val="28"/>
        </w:rPr>
        <w:t>五、绩效评价指标分析</w:t>
      </w:r>
    </w:p>
    <w:p>
      <w:pPr>
        <w:spacing w:line="700" w:lineRule="exact"/>
        <w:ind w:firstLine="560" w:firstLineChars="200"/>
        <w:rPr>
          <w:rFonts w:hint="eastAsia" w:asciiTheme="minorEastAsia" w:hAnsiTheme="minorEastAsia" w:eastAsiaTheme="minorEastAsia" w:cstheme="minorEastAsia"/>
          <w:color w:val="333333"/>
          <w:kern w:val="0"/>
          <w:sz w:val="28"/>
          <w:szCs w:val="28"/>
        </w:rPr>
      </w:pPr>
      <w:r>
        <w:rPr>
          <w:rFonts w:hint="eastAsia" w:asciiTheme="minorEastAsia" w:hAnsiTheme="minorEastAsia" w:eastAsiaTheme="minorEastAsia" w:cstheme="minorEastAsia"/>
          <w:color w:val="333333"/>
          <w:kern w:val="0"/>
          <w:sz w:val="28"/>
          <w:szCs w:val="28"/>
        </w:rPr>
        <w:t>（一）项目决策情况。</w:t>
      </w:r>
    </w:p>
    <w:p>
      <w:pPr>
        <w:spacing w:line="700" w:lineRule="exact"/>
        <w:ind w:firstLine="560" w:firstLineChars="200"/>
        <w:rPr>
          <w:rFonts w:hint="eastAsia" w:asciiTheme="minorEastAsia" w:hAnsiTheme="minorEastAsia" w:eastAsiaTheme="minorEastAsia" w:cstheme="minorEastAsia"/>
          <w:color w:val="333333"/>
          <w:kern w:val="0"/>
          <w:sz w:val="28"/>
          <w:szCs w:val="28"/>
        </w:rPr>
      </w:pPr>
      <w:r>
        <w:rPr>
          <w:rFonts w:hint="eastAsia" w:asciiTheme="minorEastAsia" w:hAnsiTheme="minorEastAsia" w:eastAsiaTheme="minorEastAsia" w:cstheme="minorEastAsia"/>
          <w:color w:val="333333"/>
          <w:kern w:val="0"/>
          <w:sz w:val="28"/>
          <w:szCs w:val="28"/>
        </w:rPr>
        <w:t>立项依据充分、立项程序规范、绩效目标合理、绩效指标明确、预算编制科学、资金分配合理。</w:t>
      </w:r>
    </w:p>
    <w:p>
      <w:pPr>
        <w:spacing w:line="700" w:lineRule="exact"/>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（二）项目过程情况。</w:t>
      </w:r>
    </w:p>
    <w:p>
      <w:pPr>
        <w:spacing w:line="700" w:lineRule="exact"/>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资金到位率100%，预算执行率为100%。资金使用合规、管理制度健全及执行有效。</w:t>
      </w:r>
    </w:p>
    <w:p>
      <w:pPr>
        <w:spacing w:line="700" w:lineRule="exact"/>
        <w:ind w:firstLine="560" w:firstLineChars="200"/>
        <w:rPr>
          <w:rFonts w:hint="eastAsia" w:asciiTheme="minorEastAsia" w:hAnsiTheme="minorEastAsia" w:eastAsiaTheme="minorEastAsia" w:cstheme="minorEastAsia"/>
          <w:color w:val="333333"/>
          <w:kern w:val="0"/>
          <w:sz w:val="28"/>
          <w:szCs w:val="28"/>
        </w:rPr>
      </w:pPr>
      <w:r>
        <w:rPr>
          <w:rFonts w:hint="eastAsia" w:asciiTheme="minorEastAsia" w:hAnsiTheme="minorEastAsia" w:eastAsiaTheme="minorEastAsia" w:cstheme="minorEastAsia"/>
          <w:color w:val="333333"/>
          <w:kern w:val="0"/>
          <w:sz w:val="28"/>
          <w:szCs w:val="28"/>
        </w:rPr>
        <w:t>（三）项目产出情况。</w:t>
      </w:r>
    </w:p>
    <w:p>
      <w:pPr>
        <w:spacing w:line="700" w:lineRule="exact"/>
        <w:ind w:firstLine="560" w:firstLineChars="200"/>
        <w:rPr>
          <w:rFonts w:hint="eastAsia" w:asciiTheme="minorEastAsia" w:hAnsiTheme="minorEastAsia" w:eastAsiaTheme="minorEastAsia" w:cstheme="minorEastAsia"/>
          <w:color w:val="000000"/>
          <w:kern w:val="0"/>
          <w:sz w:val="28"/>
          <w:szCs w:val="28"/>
        </w:rPr>
      </w:pPr>
      <w:r>
        <w:rPr>
          <w:rFonts w:hint="eastAsia" w:asciiTheme="minorEastAsia" w:hAnsiTheme="minorEastAsia" w:eastAsiaTheme="minorEastAsia" w:cstheme="minorEastAsia"/>
          <w:color w:val="000000"/>
          <w:kern w:val="0"/>
          <w:sz w:val="28"/>
          <w:szCs w:val="28"/>
        </w:rPr>
        <w:t>任务数9000人，实际完成10895人。完成率121.06%。</w:t>
      </w:r>
      <w:r>
        <w:rPr>
          <w:rFonts w:hint="eastAsia" w:asciiTheme="minorEastAsia" w:hAnsiTheme="minorEastAsia" w:eastAsiaTheme="minorEastAsia" w:cstheme="minorEastAsia"/>
          <w:color w:val="000000"/>
          <w:sz w:val="28"/>
          <w:szCs w:val="28"/>
        </w:rPr>
        <w:t>确诊乳腺癌10人，确诊</w:t>
      </w:r>
      <w:r>
        <w:rPr>
          <w:rFonts w:hint="eastAsia" w:asciiTheme="minorEastAsia" w:hAnsiTheme="minorEastAsia" w:eastAsiaTheme="minorEastAsia" w:cstheme="minorEastAsia"/>
          <w:color w:val="000000"/>
          <w:spacing w:val="15"/>
          <w:sz w:val="28"/>
          <w:szCs w:val="28"/>
        </w:rPr>
        <w:t>宫颈低级别病变158人，宫颈高级别（癌前）病变63人，宫颈癌4人（其中宫颈微小浸润癌3人，浸润癌1人），阴道低级别病变3人，阴道高级别病变5人；宫颈高级别病变及宫颈癌患者及阴道病变患者共75人。乳腺癌前病变2人，乳腺癌10人，</w:t>
      </w:r>
      <w:r>
        <w:rPr>
          <w:rFonts w:hint="eastAsia" w:asciiTheme="minorEastAsia" w:hAnsiTheme="minorEastAsia" w:eastAsiaTheme="minorEastAsia" w:cstheme="minorEastAsia"/>
          <w:color w:val="000000"/>
          <w:sz w:val="28"/>
          <w:szCs w:val="28"/>
        </w:rPr>
        <w:t>对所有阳性患者均已进行随访及转诊治疗指导，阳性患者均已进行治疗。</w:t>
      </w:r>
    </w:p>
    <w:p>
      <w:pPr>
        <w:spacing w:line="700" w:lineRule="exact"/>
        <w:ind w:firstLine="560" w:firstLineChars="200"/>
        <w:rPr>
          <w:rFonts w:hint="eastAsia" w:asciiTheme="minorEastAsia" w:hAnsiTheme="minorEastAsia" w:eastAsiaTheme="minorEastAsia" w:cstheme="minorEastAsia"/>
          <w:color w:val="333333"/>
          <w:kern w:val="0"/>
          <w:sz w:val="28"/>
          <w:szCs w:val="28"/>
        </w:rPr>
      </w:pPr>
      <w:r>
        <w:rPr>
          <w:rFonts w:hint="eastAsia" w:asciiTheme="minorEastAsia" w:hAnsiTheme="minorEastAsia" w:eastAsiaTheme="minorEastAsia" w:cstheme="minorEastAsia"/>
          <w:color w:val="333333"/>
          <w:kern w:val="0"/>
          <w:sz w:val="28"/>
          <w:szCs w:val="28"/>
        </w:rPr>
        <w:t>（四）项目效益情况。</w:t>
      </w:r>
    </w:p>
    <w:p>
      <w:pPr>
        <w:spacing w:line="700" w:lineRule="exact"/>
        <w:ind w:firstLine="560" w:firstLineChars="200"/>
        <w:rPr>
          <w:rFonts w:hint="eastAsia" w:asciiTheme="minorEastAsia" w:hAnsiTheme="minorEastAsia" w:eastAsiaTheme="minorEastAsia" w:cstheme="minorEastAsia"/>
          <w:color w:val="333333"/>
          <w:kern w:val="0"/>
          <w:sz w:val="28"/>
          <w:szCs w:val="28"/>
        </w:rPr>
      </w:pPr>
      <w:r>
        <w:rPr>
          <w:rFonts w:hint="eastAsia" w:asciiTheme="minorEastAsia" w:hAnsiTheme="minorEastAsia" w:eastAsiaTheme="minorEastAsia" w:cstheme="minorEastAsia"/>
          <w:color w:val="333333"/>
          <w:kern w:val="0"/>
          <w:sz w:val="28"/>
          <w:szCs w:val="28"/>
        </w:rPr>
        <w:t>提升妇女“两癌”意识，树立健康文明理念，培养良好生活方式，群众较满意。</w:t>
      </w:r>
    </w:p>
    <w:p>
      <w:pPr>
        <w:spacing w:line="700" w:lineRule="exact"/>
        <w:ind w:firstLine="560" w:firstLineChars="200"/>
        <w:rPr>
          <w:rFonts w:hint="eastAsia" w:asciiTheme="minorEastAsia" w:hAnsiTheme="minorEastAsia" w:eastAsiaTheme="minorEastAsia" w:cstheme="minorEastAsia"/>
          <w:color w:val="333333"/>
          <w:kern w:val="0"/>
          <w:sz w:val="28"/>
          <w:szCs w:val="28"/>
        </w:rPr>
      </w:pPr>
      <w:r>
        <w:rPr>
          <w:rFonts w:hint="eastAsia" w:asciiTheme="minorEastAsia" w:hAnsiTheme="minorEastAsia" w:eastAsiaTheme="minorEastAsia" w:cstheme="minorEastAsia"/>
          <w:color w:val="333333"/>
          <w:kern w:val="0"/>
          <w:sz w:val="28"/>
          <w:szCs w:val="28"/>
        </w:rPr>
        <w:t>六、存在问题和建议</w:t>
      </w:r>
    </w:p>
    <w:p>
      <w:pPr>
        <w:spacing w:line="700" w:lineRule="exact"/>
        <w:ind w:firstLine="560" w:firstLineChars="200"/>
        <w:rPr>
          <w:rFonts w:hint="eastAsia" w:asciiTheme="minorEastAsia" w:hAnsiTheme="minorEastAsia" w:eastAsiaTheme="minorEastAsia" w:cstheme="minorEastAsia"/>
          <w:color w:val="333333"/>
          <w:kern w:val="0"/>
          <w:sz w:val="28"/>
          <w:szCs w:val="28"/>
        </w:rPr>
      </w:pPr>
      <w:r>
        <w:rPr>
          <w:rFonts w:hint="eastAsia" w:asciiTheme="minorEastAsia" w:hAnsiTheme="minorEastAsia" w:eastAsiaTheme="minorEastAsia" w:cstheme="minorEastAsia"/>
          <w:color w:val="333333"/>
          <w:kern w:val="0"/>
          <w:sz w:val="28"/>
          <w:szCs w:val="28"/>
        </w:rPr>
        <w:t>（一）问题：我县农村适龄和城镇低保适龄妇女“两癌”免费检查工作进展比较顺利，效果令人满意，但仍存在一些问题。部分群众对两癌筛查的意识淡薄，筛查阳性病人对筛查结果不认可，导致后续的追踪随访难度加大。</w:t>
      </w:r>
    </w:p>
    <w:p>
      <w:pPr>
        <w:spacing w:line="700" w:lineRule="exact"/>
        <w:ind w:firstLine="560" w:firstLineChars="200"/>
        <w:rPr>
          <w:rFonts w:hint="eastAsia" w:asciiTheme="minorEastAsia" w:hAnsiTheme="minorEastAsia" w:eastAsiaTheme="minorEastAsia" w:cstheme="minorEastAsia"/>
          <w:color w:val="333333"/>
          <w:kern w:val="0"/>
          <w:sz w:val="28"/>
          <w:szCs w:val="28"/>
        </w:rPr>
      </w:pPr>
      <w:r>
        <w:rPr>
          <w:rFonts w:hint="eastAsia" w:asciiTheme="minorEastAsia" w:hAnsiTheme="minorEastAsia" w:eastAsiaTheme="minorEastAsia" w:cstheme="minorEastAsia"/>
          <w:color w:val="333333"/>
          <w:kern w:val="0"/>
          <w:sz w:val="28"/>
          <w:szCs w:val="28"/>
        </w:rPr>
        <w:t>（二）建议：一是适度增加财政投入。为了保证各项工作顺利开展，建议财政部门适度增加投入，合理补贴医疗机构设备款，解决项目单位部分工作经费。</w:t>
      </w:r>
    </w:p>
    <w:p/>
    <w:p/>
    <w:p/>
    <w:p/>
    <w:p/>
    <w:p/>
    <w:p/>
    <w:p/>
    <w:p/>
    <w:p/>
    <w:p/>
    <w:p/>
    <w:p/>
    <w:p/>
    <w:p/>
    <w:p/>
    <w:p/>
    <w:p/>
    <w:p/>
    <w:p/>
    <w:p/>
    <w:p/>
    <w:p/>
    <w:p/>
    <w:p/>
    <w:p/>
    <w:p/>
    <w:p/>
    <w:p/>
    <w:p/>
    <w:p/>
    <w:p/>
    <w:p/>
    <w:p/>
    <w:p/>
    <w:p/>
    <w:p/>
    <w:p/>
    <w:p>
      <w:pPr>
        <w:widowControl/>
        <w:spacing w:beforeLines="50" w:afterLines="100" w:line="600" w:lineRule="exact"/>
        <w:jc w:val="center"/>
        <w:rPr>
          <w:rFonts w:ascii="方正小标宋简体" w:hAnsi="方正小标宋简体"/>
          <w:color w:val="000000"/>
          <w:sz w:val="44"/>
          <w:szCs w:val="44"/>
        </w:rPr>
      </w:pPr>
      <w:r>
        <w:rPr>
          <w:rFonts w:ascii="方正小标宋简体" w:hAnsi="方正小标宋简体"/>
          <w:color w:val="000000"/>
          <w:sz w:val="44"/>
          <w:szCs w:val="44"/>
        </w:rPr>
        <w:t>项目支出绩效评价评分表</w:t>
      </w:r>
    </w:p>
    <w:tbl>
      <w:tblPr>
        <w:tblStyle w:val="3"/>
        <w:tblW w:w="9820" w:type="dxa"/>
        <w:jc w:val="center"/>
        <w:tblLayout w:type="fixed"/>
        <w:tblCellMar>
          <w:top w:w="0" w:type="dxa"/>
          <w:left w:w="108" w:type="dxa"/>
          <w:bottom w:w="0" w:type="dxa"/>
          <w:right w:w="108" w:type="dxa"/>
        </w:tblCellMar>
      </w:tblPr>
      <w:tblGrid>
        <w:gridCol w:w="702"/>
        <w:gridCol w:w="540"/>
        <w:gridCol w:w="703"/>
        <w:gridCol w:w="540"/>
        <w:gridCol w:w="803"/>
        <w:gridCol w:w="550"/>
        <w:gridCol w:w="2407"/>
        <w:gridCol w:w="2772"/>
        <w:gridCol w:w="803"/>
      </w:tblGrid>
      <w:tr>
        <w:tblPrEx>
          <w:tblCellMar>
            <w:top w:w="0" w:type="dxa"/>
            <w:left w:w="108" w:type="dxa"/>
            <w:bottom w:w="0" w:type="dxa"/>
            <w:right w:w="108" w:type="dxa"/>
          </w:tblCellMar>
        </w:tblPrEx>
        <w:trPr>
          <w:trHeight w:val="582" w:hRule="atLeast"/>
          <w:jc w:val="center"/>
        </w:trPr>
        <w:tc>
          <w:tcPr>
            <w:tcW w:w="702"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ascii="仿宋_GB2312" w:hAnsi="宋体" w:cs="宋体"/>
                <w:b/>
                <w:bCs/>
                <w:kern w:val="0"/>
                <w:sz w:val="18"/>
                <w:szCs w:val="18"/>
              </w:rPr>
            </w:pPr>
            <w:r>
              <w:rPr>
                <w:rFonts w:ascii="仿宋_GB2312" w:hAnsi="仿宋_GB2312" w:cs="宋体"/>
                <w:b/>
                <w:bCs/>
                <w:kern w:val="0"/>
                <w:sz w:val="18"/>
                <w:szCs w:val="18"/>
              </w:rPr>
              <w:t>一级</w:t>
            </w:r>
          </w:p>
          <w:p>
            <w:pPr>
              <w:widowControl/>
              <w:spacing w:line="240" w:lineRule="exact"/>
              <w:jc w:val="center"/>
              <w:rPr>
                <w:rFonts w:ascii="仿宋_GB2312" w:hAnsi="宋体" w:cs="宋体"/>
                <w:b/>
                <w:bCs/>
                <w:kern w:val="0"/>
                <w:sz w:val="18"/>
                <w:szCs w:val="18"/>
              </w:rPr>
            </w:pPr>
            <w:r>
              <w:rPr>
                <w:rFonts w:ascii="仿宋_GB2312" w:hAnsi="仿宋_GB2312" w:cs="宋体"/>
                <w:b/>
                <w:bCs/>
                <w:kern w:val="0"/>
                <w:sz w:val="18"/>
                <w:szCs w:val="18"/>
              </w:rPr>
              <w:t>指标</w:t>
            </w:r>
          </w:p>
        </w:tc>
        <w:tc>
          <w:tcPr>
            <w:tcW w:w="540" w:type="dxa"/>
            <w:tcBorders>
              <w:top w:val="single" w:color="000000" w:sz="4" w:space="0"/>
              <w:left w:val="nil"/>
              <w:bottom w:val="single" w:color="000000" w:sz="4" w:space="0"/>
              <w:right w:val="single" w:color="000000" w:sz="4" w:space="0"/>
            </w:tcBorders>
            <w:vAlign w:val="center"/>
          </w:tcPr>
          <w:p>
            <w:pPr>
              <w:widowControl/>
              <w:spacing w:line="240" w:lineRule="exact"/>
              <w:jc w:val="center"/>
              <w:rPr>
                <w:rFonts w:ascii="仿宋_GB2312" w:hAnsi="宋体" w:cs="宋体"/>
                <w:b/>
                <w:bCs/>
                <w:kern w:val="0"/>
                <w:sz w:val="18"/>
                <w:szCs w:val="18"/>
              </w:rPr>
            </w:pPr>
            <w:r>
              <w:rPr>
                <w:rFonts w:ascii="仿宋_GB2312" w:hAnsi="仿宋_GB2312" w:cs="宋体"/>
                <w:b/>
                <w:bCs/>
                <w:kern w:val="0"/>
                <w:sz w:val="18"/>
                <w:szCs w:val="18"/>
              </w:rPr>
              <w:t>分值</w:t>
            </w:r>
          </w:p>
        </w:tc>
        <w:tc>
          <w:tcPr>
            <w:tcW w:w="703" w:type="dxa"/>
            <w:tcBorders>
              <w:top w:val="single" w:color="000000" w:sz="4" w:space="0"/>
              <w:left w:val="nil"/>
              <w:bottom w:val="single" w:color="000000" w:sz="4" w:space="0"/>
              <w:right w:val="single" w:color="000000" w:sz="4" w:space="0"/>
            </w:tcBorders>
            <w:vAlign w:val="center"/>
          </w:tcPr>
          <w:p>
            <w:pPr>
              <w:widowControl/>
              <w:spacing w:line="240" w:lineRule="exact"/>
              <w:jc w:val="center"/>
              <w:rPr>
                <w:rFonts w:ascii="仿宋_GB2312" w:hAnsi="宋体" w:cs="宋体"/>
                <w:b/>
                <w:bCs/>
                <w:kern w:val="0"/>
                <w:sz w:val="18"/>
                <w:szCs w:val="18"/>
              </w:rPr>
            </w:pPr>
            <w:r>
              <w:rPr>
                <w:rFonts w:ascii="仿宋_GB2312" w:hAnsi="仿宋_GB2312" w:cs="宋体"/>
                <w:b/>
                <w:bCs/>
                <w:kern w:val="0"/>
                <w:sz w:val="18"/>
                <w:szCs w:val="18"/>
              </w:rPr>
              <w:t>二级</w:t>
            </w:r>
          </w:p>
          <w:p>
            <w:pPr>
              <w:widowControl/>
              <w:spacing w:line="240" w:lineRule="exact"/>
              <w:jc w:val="center"/>
              <w:rPr>
                <w:rFonts w:ascii="仿宋_GB2312" w:hAnsi="宋体" w:cs="宋体"/>
                <w:b/>
                <w:bCs/>
                <w:kern w:val="0"/>
                <w:sz w:val="18"/>
                <w:szCs w:val="18"/>
              </w:rPr>
            </w:pPr>
            <w:r>
              <w:rPr>
                <w:rFonts w:ascii="仿宋_GB2312" w:hAnsi="仿宋_GB2312" w:cs="宋体"/>
                <w:b/>
                <w:bCs/>
                <w:kern w:val="0"/>
                <w:sz w:val="18"/>
                <w:szCs w:val="18"/>
              </w:rPr>
              <w:t>指标</w:t>
            </w:r>
          </w:p>
        </w:tc>
        <w:tc>
          <w:tcPr>
            <w:tcW w:w="540" w:type="dxa"/>
            <w:tcBorders>
              <w:top w:val="single" w:color="000000" w:sz="4" w:space="0"/>
              <w:left w:val="nil"/>
              <w:bottom w:val="single" w:color="000000" w:sz="4" w:space="0"/>
              <w:right w:val="single" w:color="000000" w:sz="4" w:space="0"/>
            </w:tcBorders>
            <w:vAlign w:val="center"/>
          </w:tcPr>
          <w:p>
            <w:pPr>
              <w:widowControl/>
              <w:spacing w:line="240" w:lineRule="exact"/>
              <w:jc w:val="center"/>
              <w:rPr>
                <w:rFonts w:ascii="仿宋_GB2312" w:hAnsi="宋体" w:cs="宋体"/>
                <w:b/>
                <w:bCs/>
                <w:kern w:val="0"/>
                <w:sz w:val="18"/>
                <w:szCs w:val="18"/>
              </w:rPr>
            </w:pPr>
            <w:r>
              <w:rPr>
                <w:rFonts w:ascii="仿宋_GB2312" w:hAnsi="仿宋_GB2312" w:cs="宋体"/>
                <w:b/>
                <w:bCs/>
                <w:kern w:val="0"/>
                <w:sz w:val="18"/>
                <w:szCs w:val="18"/>
              </w:rPr>
              <w:t>分值</w:t>
            </w:r>
          </w:p>
        </w:tc>
        <w:tc>
          <w:tcPr>
            <w:tcW w:w="803" w:type="dxa"/>
            <w:tcBorders>
              <w:top w:val="single" w:color="000000" w:sz="4" w:space="0"/>
              <w:left w:val="nil"/>
              <w:bottom w:val="single" w:color="000000" w:sz="4" w:space="0"/>
              <w:right w:val="single" w:color="000000" w:sz="4" w:space="0"/>
            </w:tcBorders>
            <w:vAlign w:val="center"/>
          </w:tcPr>
          <w:p>
            <w:pPr>
              <w:widowControl/>
              <w:spacing w:line="240" w:lineRule="exact"/>
              <w:jc w:val="center"/>
              <w:rPr>
                <w:rFonts w:ascii="仿宋_GB2312" w:hAnsi="宋体" w:cs="宋体"/>
                <w:b/>
                <w:bCs/>
                <w:kern w:val="0"/>
                <w:sz w:val="18"/>
                <w:szCs w:val="18"/>
              </w:rPr>
            </w:pPr>
            <w:r>
              <w:rPr>
                <w:rFonts w:ascii="仿宋_GB2312" w:hAnsi="仿宋_GB2312" w:cs="宋体"/>
                <w:b/>
                <w:bCs/>
                <w:kern w:val="0"/>
                <w:sz w:val="18"/>
                <w:szCs w:val="18"/>
              </w:rPr>
              <w:t>三级</w:t>
            </w:r>
          </w:p>
          <w:p>
            <w:pPr>
              <w:widowControl/>
              <w:spacing w:line="240" w:lineRule="exact"/>
              <w:jc w:val="center"/>
              <w:rPr>
                <w:rFonts w:ascii="仿宋_GB2312" w:hAnsi="宋体" w:cs="宋体"/>
                <w:b/>
                <w:bCs/>
                <w:kern w:val="0"/>
                <w:sz w:val="18"/>
                <w:szCs w:val="18"/>
              </w:rPr>
            </w:pPr>
            <w:r>
              <w:rPr>
                <w:rFonts w:ascii="仿宋_GB2312" w:hAnsi="仿宋_GB2312" w:cs="宋体"/>
                <w:b/>
                <w:bCs/>
                <w:kern w:val="0"/>
                <w:sz w:val="18"/>
                <w:szCs w:val="18"/>
              </w:rPr>
              <w:t>指标</w:t>
            </w:r>
          </w:p>
        </w:tc>
        <w:tc>
          <w:tcPr>
            <w:tcW w:w="550" w:type="dxa"/>
            <w:tcBorders>
              <w:top w:val="single" w:color="000000" w:sz="4" w:space="0"/>
              <w:left w:val="nil"/>
              <w:bottom w:val="single" w:color="000000" w:sz="4" w:space="0"/>
              <w:right w:val="single" w:color="000000" w:sz="4" w:space="0"/>
            </w:tcBorders>
            <w:vAlign w:val="center"/>
          </w:tcPr>
          <w:p>
            <w:pPr>
              <w:widowControl/>
              <w:spacing w:line="240" w:lineRule="exact"/>
              <w:jc w:val="center"/>
              <w:rPr>
                <w:rFonts w:ascii="仿宋_GB2312" w:hAnsi="宋体" w:cs="宋体"/>
                <w:b/>
                <w:bCs/>
                <w:kern w:val="0"/>
                <w:sz w:val="18"/>
                <w:szCs w:val="18"/>
              </w:rPr>
            </w:pPr>
            <w:r>
              <w:rPr>
                <w:rFonts w:ascii="仿宋_GB2312" w:hAnsi="仿宋_GB2312" w:cs="宋体"/>
                <w:b/>
                <w:bCs/>
                <w:kern w:val="0"/>
                <w:sz w:val="18"/>
                <w:szCs w:val="18"/>
              </w:rPr>
              <w:t>分值</w:t>
            </w:r>
          </w:p>
        </w:tc>
        <w:tc>
          <w:tcPr>
            <w:tcW w:w="2407" w:type="dxa"/>
            <w:tcBorders>
              <w:top w:val="single" w:color="000000" w:sz="4" w:space="0"/>
              <w:left w:val="nil"/>
              <w:bottom w:val="single" w:color="000000" w:sz="4" w:space="0"/>
              <w:right w:val="single" w:color="000000" w:sz="4" w:space="0"/>
            </w:tcBorders>
            <w:vAlign w:val="center"/>
          </w:tcPr>
          <w:p>
            <w:pPr>
              <w:widowControl/>
              <w:spacing w:line="240" w:lineRule="exact"/>
              <w:jc w:val="center"/>
              <w:rPr>
                <w:rFonts w:ascii="仿宋_GB2312" w:hAnsi="宋体" w:cs="宋体"/>
                <w:b/>
                <w:bCs/>
                <w:kern w:val="0"/>
                <w:sz w:val="18"/>
                <w:szCs w:val="18"/>
              </w:rPr>
            </w:pPr>
            <w:r>
              <w:rPr>
                <w:rFonts w:ascii="仿宋_GB2312" w:hAnsi="仿宋_GB2312" w:cs="宋体"/>
                <w:b/>
                <w:bCs/>
                <w:kern w:val="0"/>
                <w:sz w:val="18"/>
                <w:szCs w:val="18"/>
              </w:rPr>
              <w:t>具体指标</w:t>
            </w:r>
          </w:p>
        </w:tc>
        <w:tc>
          <w:tcPr>
            <w:tcW w:w="2772" w:type="dxa"/>
            <w:tcBorders>
              <w:top w:val="single" w:color="000000" w:sz="4" w:space="0"/>
              <w:left w:val="nil"/>
              <w:bottom w:val="single" w:color="000000" w:sz="4" w:space="0"/>
              <w:right w:val="single" w:color="000000" w:sz="4" w:space="0"/>
            </w:tcBorders>
            <w:vAlign w:val="center"/>
          </w:tcPr>
          <w:p>
            <w:pPr>
              <w:widowControl/>
              <w:spacing w:line="240" w:lineRule="exact"/>
              <w:jc w:val="center"/>
              <w:rPr>
                <w:rFonts w:ascii="仿宋_GB2312" w:hAnsi="宋体" w:cs="宋体"/>
                <w:b/>
                <w:bCs/>
                <w:kern w:val="0"/>
                <w:sz w:val="18"/>
                <w:szCs w:val="18"/>
              </w:rPr>
            </w:pPr>
            <w:r>
              <w:rPr>
                <w:rFonts w:ascii="仿宋_GB2312" w:hAnsi="仿宋_GB2312" w:cs="宋体"/>
                <w:b/>
                <w:bCs/>
                <w:kern w:val="0"/>
                <w:sz w:val="18"/>
                <w:szCs w:val="18"/>
              </w:rPr>
              <w:t>评价标准</w:t>
            </w:r>
          </w:p>
        </w:tc>
        <w:tc>
          <w:tcPr>
            <w:tcW w:w="803" w:type="dxa"/>
            <w:tcBorders>
              <w:top w:val="single" w:color="auto" w:sz="4" w:space="0"/>
              <w:left w:val="nil"/>
              <w:bottom w:val="single" w:color="000000" w:sz="4" w:space="0"/>
              <w:right w:val="single" w:color="auto" w:sz="4" w:space="0"/>
            </w:tcBorders>
            <w:shd w:val="clear" w:color="auto" w:fill="FFFFFF"/>
            <w:vAlign w:val="center"/>
          </w:tcPr>
          <w:p>
            <w:pPr>
              <w:widowControl/>
              <w:spacing w:line="240" w:lineRule="exact"/>
              <w:jc w:val="center"/>
              <w:rPr>
                <w:rFonts w:ascii="仿宋_GB2312" w:hAnsi="宋体" w:cs="宋体"/>
                <w:b/>
                <w:bCs/>
                <w:kern w:val="0"/>
                <w:sz w:val="18"/>
                <w:szCs w:val="18"/>
              </w:rPr>
            </w:pPr>
            <w:r>
              <w:rPr>
                <w:rFonts w:ascii="仿宋_GB2312" w:hAnsi="仿宋_GB2312" w:cs="宋体"/>
                <w:b/>
                <w:bCs/>
                <w:kern w:val="0"/>
                <w:sz w:val="18"/>
                <w:szCs w:val="18"/>
              </w:rPr>
              <w:t>自评</w:t>
            </w:r>
          </w:p>
          <w:p>
            <w:pPr>
              <w:widowControl/>
              <w:spacing w:line="240" w:lineRule="exact"/>
              <w:jc w:val="center"/>
              <w:rPr>
                <w:rFonts w:ascii="仿宋_GB2312" w:hAnsi="宋体" w:cs="宋体"/>
                <w:b/>
                <w:bCs/>
                <w:kern w:val="0"/>
                <w:sz w:val="24"/>
                <w:szCs w:val="24"/>
              </w:rPr>
            </w:pPr>
            <w:r>
              <w:rPr>
                <w:rFonts w:ascii="仿宋_GB2312" w:hAnsi="仿宋_GB2312" w:cs="宋体"/>
                <w:b/>
                <w:bCs/>
                <w:kern w:val="0"/>
                <w:sz w:val="18"/>
                <w:szCs w:val="18"/>
              </w:rPr>
              <w:t>得分</w:t>
            </w:r>
          </w:p>
        </w:tc>
      </w:tr>
      <w:tr>
        <w:tblPrEx>
          <w:tblCellMar>
            <w:top w:w="0" w:type="dxa"/>
            <w:left w:w="108" w:type="dxa"/>
            <w:bottom w:w="0" w:type="dxa"/>
            <w:right w:w="108" w:type="dxa"/>
          </w:tblCellMar>
        </w:tblPrEx>
        <w:trPr>
          <w:trHeight w:val="438" w:hRule="atLeast"/>
          <w:jc w:val="center"/>
        </w:trPr>
        <w:tc>
          <w:tcPr>
            <w:tcW w:w="702" w:type="dxa"/>
            <w:vMerge w:val="restart"/>
            <w:tcBorders>
              <w:top w:val="single" w:color="000000" w:sz="4" w:space="0"/>
              <w:left w:val="single" w:color="000000" w:sz="4" w:space="0"/>
              <w:bottom w:val="single" w:color="000000" w:sz="4" w:space="0"/>
              <w:right w:val="single" w:color="000000" w:sz="4" w:space="0"/>
            </w:tcBorders>
            <w:vAlign w:val="center"/>
          </w:tcPr>
          <w:p>
            <w:r>
              <w:rPr>
                <w:rFonts w:hint="eastAsia" w:ascii="仿宋_GB2312" w:hAnsi="仿宋_GB2312" w:cs="宋体"/>
                <w:kern w:val="0"/>
                <w:sz w:val="18"/>
                <w:szCs w:val="18"/>
              </w:rPr>
              <w:t>项目管 理</w:t>
            </w:r>
          </w:p>
          <w:p>
            <w:pPr>
              <w:widowControl/>
              <w:spacing w:line="240" w:lineRule="exact"/>
              <w:ind w:left="113" w:right="113" w:firstLine="2520" w:firstLineChars="1400"/>
              <w:rPr>
                <w:rFonts w:ascii="仿宋_GB2312" w:hAnsi="宋体" w:cs="宋体"/>
                <w:kern w:val="0"/>
                <w:sz w:val="18"/>
                <w:szCs w:val="18"/>
              </w:rPr>
            </w:pPr>
          </w:p>
        </w:tc>
        <w:tc>
          <w:tcPr>
            <w:tcW w:w="540" w:type="dxa"/>
            <w:vMerge w:val="restart"/>
            <w:tcBorders>
              <w:top w:val="single" w:color="000000" w:sz="4" w:space="0"/>
              <w:left w:val="single" w:color="000000" w:sz="4" w:space="0"/>
              <w:bottom w:val="single" w:color="000000" w:sz="4" w:space="0"/>
              <w:right w:val="single" w:color="000000" w:sz="4" w:space="0"/>
            </w:tcBorders>
            <w:vAlign w:val="center"/>
          </w:tcPr>
          <w:p>
            <w:pPr>
              <w:rPr>
                <w:rFonts w:hint="default" w:eastAsia="宋体"/>
                <w:lang w:val="en-US" w:eastAsia="zh-CN"/>
              </w:rPr>
            </w:pPr>
            <w:r>
              <w:rPr>
                <w:rFonts w:hint="eastAsia" w:ascii="仿宋_GB2312" w:hAnsi="仿宋_GB2312" w:cs="宋体"/>
                <w:kern w:val="0"/>
                <w:sz w:val="18"/>
                <w:szCs w:val="18"/>
                <w:lang w:val="en-US" w:eastAsia="zh-CN"/>
              </w:rPr>
              <w:t>10</w:t>
            </w:r>
          </w:p>
        </w:tc>
        <w:tc>
          <w:tcPr>
            <w:tcW w:w="703"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ascii="仿宋_GB2312" w:hAnsi="宋体" w:cs="宋体"/>
                <w:kern w:val="0"/>
                <w:sz w:val="18"/>
                <w:szCs w:val="18"/>
              </w:rPr>
            </w:pPr>
            <w:r>
              <w:rPr>
                <w:rFonts w:ascii="仿宋_GB2312" w:hAnsi="仿宋_GB2312" w:cs="宋体"/>
                <w:kern w:val="0"/>
                <w:sz w:val="18"/>
                <w:szCs w:val="18"/>
              </w:rPr>
              <w:t>资金到位</w:t>
            </w:r>
          </w:p>
        </w:tc>
        <w:tc>
          <w:tcPr>
            <w:tcW w:w="540"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hint="eastAsia" w:ascii="仿宋_GB2312" w:hAnsi="宋体" w:eastAsia="宋体" w:cs="宋体"/>
                <w:kern w:val="0"/>
                <w:sz w:val="18"/>
                <w:szCs w:val="18"/>
                <w:lang w:eastAsia="zh-CN"/>
              </w:rPr>
            </w:pPr>
            <w:r>
              <w:rPr>
                <w:rFonts w:hint="eastAsia" w:ascii="仿宋_GB2312" w:hAnsi="仿宋_GB2312" w:cs="宋体"/>
                <w:kern w:val="0"/>
                <w:sz w:val="18"/>
                <w:szCs w:val="18"/>
                <w:lang w:val="en-US" w:eastAsia="zh-CN"/>
              </w:rPr>
              <w:t>5</w:t>
            </w:r>
          </w:p>
        </w:tc>
        <w:tc>
          <w:tcPr>
            <w:tcW w:w="803"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ascii="仿宋_GB2312" w:hAnsi="宋体" w:cs="宋体"/>
                <w:kern w:val="0"/>
                <w:sz w:val="18"/>
                <w:szCs w:val="18"/>
              </w:rPr>
            </w:pPr>
            <w:r>
              <w:rPr>
                <w:rFonts w:ascii="仿宋_GB2312" w:hAnsi="仿宋_GB2312" w:cs="宋体"/>
                <w:kern w:val="0"/>
                <w:sz w:val="18"/>
                <w:szCs w:val="18"/>
              </w:rPr>
              <w:t>到位率</w:t>
            </w:r>
          </w:p>
        </w:tc>
        <w:tc>
          <w:tcPr>
            <w:tcW w:w="55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hint="eastAsia" w:ascii="仿宋_GB2312" w:hAnsi="宋体" w:eastAsia="宋体" w:cs="宋体"/>
                <w:kern w:val="0"/>
                <w:sz w:val="18"/>
                <w:szCs w:val="18"/>
                <w:lang w:eastAsia="zh-CN"/>
              </w:rPr>
            </w:pPr>
            <w:r>
              <w:rPr>
                <w:rFonts w:hint="eastAsia" w:ascii="仿宋_GB2312" w:hAnsi="仿宋_GB2312" w:cs="宋体"/>
                <w:kern w:val="0"/>
                <w:sz w:val="18"/>
                <w:szCs w:val="18"/>
                <w:lang w:val="en-US" w:eastAsia="zh-CN"/>
              </w:rPr>
              <w:t>3</w:t>
            </w:r>
          </w:p>
        </w:tc>
        <w:tc>
          <w:tcPr>
            <w:tcW w:w="2407"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rPr>
                <w:rFonts w:ascii="仿宋_GB2312" w:hAnsi="宋体" w:cs="宋体"/>
                <w:kern w:val="0"/>
                <w:sz w:val="18"/>
                <w:szCs w:val="18"/>
              </w:rPr>
            </w:pPr>
            <w:r>
              <w:rPr>
                <w:rFonts w:ascii="仿宋_GB2312" w:hAnsi="仿宋_GB2312" w:cs="宋体"/>
                <w:kern w:val="0"/>
                <w:sz w:val="18"/>
                <w:szCs w:val="18"/>
              </w:rPr>
              <w:t>实际到位/计划到位*100%</w:t>
            </w:r>
          </w:p>
        </w:tc>
        <w:tc>
          <w:tcPr>
            <w:tcW w:w="2772"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rPr>
                <w:rFonts w:ascii="仿宋_GB2312" w:hAnsi="宋体" w:cs="宋体"/>
                <w:kern w:val="0"/>
                <w:sz w:val="18"/>
                <w:szCs w:val="18"/>
              </w:rPr>
            </w:pPr>
            <w:r>
              <w:rPr>
                <w:rFonts w:ascii="仿宋_GB2312" w:hAnsi="仿宋_GB2312" w:cs="宋体"/>
                <w:kern w:val="0"/>
                <w:sz w:val="18"/>
                <w:szCs w:val="18"/>
              </w:rPr>
              <w:t>根据项目资金的实际到位率计算得分（</w:t>
            </w:r>
            <w:r>
              <w:rPr>
                <w:rFonts w:hint="eastAsia" w:ascii="仿宋_GB2312" w:hAnsi="仿宋_GB2312" w:cs="宋体"/>
                <w:kern w:val="0"/>
                <w:sz w:val="18"/>
                <w:szCs w:val="18"/>
                <w:lang w:val="en-US" w:eastAsia="zh-CN"/>
              </w:rPr>
              <w:t>3</w:t>
            </w:r>
            <w:r>
              <w:rPr>
                <w:rFonts w:ascii="仿宋_GB2312" w:hAnsi="仿宋_GB2312" w:cs="宋体"/>
                <w:kern w:val="0"/>
                <w:sz w:val="18"/>
                <w:szCs w:val="18"/>
              </w:rPr>
              <w:t>分）</w:t>
            </w:r>
          </w:p>
        </w:tc>
        <w:tc>
          <w:tcPr>
            <w:tcW w:w="803"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hint="eastAsia" w:ascii="仿宋_GB2312" w:hAnsi="宋体" w:eastAsia="宋体" w:cs="宋体"/>
                <w:kern w:val="0"/>
                <w:sz w:val="24"/>
                <w:szCs w:val="24"/>
                <w:lang w:eastAsia="zh-CN"/>
              </w:rPr>
            </w:pPr>
            <w:r>
              <w:rPr>
                <w:rFonts w:hint="eastAsia" w:ascii="仿宋_GB2312" w:hAnsi="仿宋_GB2312" w:cs="宋体"/>
                <w:kern w:val="0"/>
                <w:sz w:val="24"/>
                <w:szCs w:val="24"/>
                <w:lang w:val="en-US" w:eastAsia="zh-CN"/>
              </w:rPr>
              <w:t>3</w:t>
            </w:r>
          </w:p>
        </w:tc>
      </w:tr>
      <w:tr>
        <w:tblPrEx>
          <w:tblCellMar>
            <w:top w:w="0" w:type="dxa"/>
            <w:left w:w="108" w:type="dxa"/>
            <w:bottom w:w="0" w:type="dxa"/>
            <w:right w:w="108" w:type="dxa"/>
          </w:tblCellMar>
        </w:tblPrEx>
        <w:trPr>
          <w:trHeight w:val="744" w:hRule="atLeast"/>
          <w:jc w:val="center"/>
        </w:trPr>
        <w:tc>
          <w:tcPr>
            <w:tcW w:w="702"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宋体" w:cs="宋体"/>
                <w:kern w:val="0"/>
                <w:sz w:val="18"/>
                <w:szCs w:val="18"/>
              </w:rPr>
            </w:pPr>
          </w:p>
        </w:tc>
        <w:tc>
          <w:tcPr>
            <w:tcW w:w="54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pPr>
          </w:p>
        </w:tc>
        <w:tc>
          <w:tcPr>
            <w:tcW w:w="703"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宋体" w:cs="宋体"/>
                <w:kern w:val="0"/>
                <w:sz w:val="18"/>
                <w:szCs w:val="18"/>
              </w:rPr>
            </w:pPr>
          </w:p>
        </w:tc>
        <w:tc>
          <w:tcPr>
            <w:tcW w:w="54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宋体" w:cs="宋体"/>
                <w:kern w:val="0"/>
                <w:sz w:val="18"/>
                <w:szCs w:val="18"/>
              </w:rPr>
            </w:pPr>
          </w:p>
        </w:tc>
        <w:tc>
          <w:tcPr>
            <w:tcW w:w="803"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ascii="仿宋_GB2312" w:hAnsi="宋体" w:cs="宋体"/>
                <w:kern w:val="0"/>
                <w:sz w:val="18"/>
                <w:szCs w:val="18"/>
              </w:rPr>
            </w:pPr>
            <w:r>
              <w:rPr>
                <w:rFonts w:ascii="仿宋_GB2312" w:hAnsi="仿宋_GB2312" w:cs="宋体"/>
                <w:kern w:val="0"/>
                <w:sz w:val="18"/>
                <w:szCs w:val="18"/>
              </w:rPr>
              <w:t>到位</w:t>
            </w:r>
          </w:p>
          <w:p>
            <w:pPr>
              <w:widowControl/>
              <w:spacing w:line="240" w:lineRule="exact"/>
              <w:jc w:val="center"/>
              <w:rPr>
                <w:rFonts w:ascii="仿宋_GB2312" w:hAnsi="宋体" w:cs="宋体"/>
                <w:kern w:val="0"/>
                <w:sz w:val="18"/>
                <w:szCs w:val="18"/>
              </w:rPr>
            </w:pPr>
            <w:r>
              <w:rPr>
                <w:rFonts w:ascii="仿宋_GB2312" w:hAnsi="仿宋_GB2312" w:cs="宋体"/>
                <w:kern w:val="0"/>
                <w:sz w:val="18"/>
                <w:szCs w:val="18"/>
              </w:rPr>
              <w:t>时效</w:t>
            </w:r>
          </w:p>
        </w:tc>
        <w:tc>
          <w:tcPr>
            <w:tcW w:w="55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hint="eastAsia" w:ascii="仿宋_GB2312" w:hAnsi="宋体" w:eastAsia="宋体" w:cs="宋体"/>
                <w:kern w:val="0"/>
                <w:sz w:val="18"/>
                <w:szCs w:val="18"/>
                <w:lang w:eastAsia="zh-CN"/>
              </w:rPr>
            </w:pPr>
            <w:r>
              <w:rPr>
                <w:rFonts w:hint="eastAsia" w:ascii="仿宋_GB2312" w:hAnsi="仿宋_GB2312" w:cs="宋体"/>
                <w:kern w:val="0"/>
                <w:sz w:val="18"/>
                <w:szCs w:val="18"/>
                <w:lang w:val="en-US" w:eastAsia="zh-CN"/>
              </w:rPr>
              <w:t>2</w:t>
            </w:r>
          </w:p>
        </w:tc>
        <w:tc>
          <w:tcPr>
            <w:tcW w:w="2407"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rPr>
                <w:rFonts w:ascii="仿宋_GB2312" w:hAnsi="宋体" w:cs="宋体"/>
                <w:kern w:val="0"/>
                <w:sz w:val="18"/>
                <w:szCs w:val="18"/>
              </w:rPr>
            </w:pPr>
            <w:r>
              <w:rPr>
                <w:rFonts w:ascii="仿宋_GB2312" w:hAnsi="仿宋_GB2312" w:cs="宋体"/>
                <w:kern w:val="0"/>
                <w:sz w:val="18"/>
                <w:szCs w:val="18"/>
              </w:rPr>
              <w:t>资金及时到位；若未及时到位，是否影响项目进度</w:t>
            </w:r>
          </w:p>
        </w:tc>
        <w:tc>
          <w:tcPr>
            <w:tcW w:w="2772"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rPr>
                <w:rFonts w:ascii="仿宋_GB2312" w:hAnsi="宋体" w:cs="宋体"/>
                <w:kern w:val="0"/>
                <w:sz w:val="18"/>
                <w:szCs w:val="18"/>
              </w:rPr>
            </w:pPr>
            <w:r>
              <w:rPr>
                <w:rFonts w:hint="eastAsia" w:ascii="宋体" w:hAnsi="宋体" w:cs="宋体"/>
                <w:kern w:val="0"/>
                <w:sz w:val="18"/>
                <w:szCs w:val="18"/>
              </w:rPr>
              <w:t>①</w:t>
            </w:r>
            <w:r>
              <w:rPr>
                <w:rFonts w:ascii="仿宋_GB2312" w:hAnsi="仿宋_GB2312" w:cs="宋体"/>
                <w:kern w:val="0"/>
                <w:sz w:val="18"/>
                <w:szCs w:val="18"/>
              </w:rPr>
              <w:t>到位及时（</w:t>
            </w:r>
            <w:r>
              <w:rPr>
                <w:rFonts w:hint="eastAsia" w:ascii="仿宋_GB2312" w:hAnsi="仿宋_GB2312" w:cs="宋体"/>
                <w:kern w:val="0"/>
                <w:sz w:val="18"/>
                <w:szCs w:val="18"/>
                <w:lang w:val="en-US" w:eastAsia="zh-CN"/>
              </w:rPr>
              <w:t>2</w:t>
            </w:r>
            <w:r>
              <w:rPr>
                <w:rFonts w:ascii="仿宋_GB2312" w:hAnsi="仿宋_GB2312" w:cs="宋体"/>
                <w:kern w:val="0"/>
                <w:sz w:val="18"/>
                <w:szCs w:val="18"/>
              </w:rPr>
              <w:t>分）</w:t>
            </w:r>
          </w:p>
          <w:p>
            <w:pPr>
              <w:widowControl/>
              <w:spacing w:line="240" w:lineRule="exact"/>
              <w:jc w:val="left"/>
              <w:rPr>
                <w:rFonts w:ascii="仿宋_GB2312" w:hAnsi="宋体" w:cs="宋体"/>
                <w:spacing w:val="-10"/>
                <w:kern w:val="0"/>
                <w:sz w:val="18"/>
                <w:szCs w:val="18"/>
              </w:rPr>
            </w:pPr>
            <w:r>
              <w:rPr>
                <w:rFonts w:hint="eastAsia" w:ascii="宋体" w:hAnsi="宋体" w:cs="宋体"/>
                <w:spacing w:val="-10"/>
                <w:kern w:val="0"/>
                <w:sz w:val="18"/>
                <w:szCs w:val="18"/>
              </w:rPr>
              <w:t>②</w:t>
            </w:r>
            <w:r>
              <w:rPr>
                <w:rFonts w:ascii="仿宋_GB2312" w:hAnsi="仿宋_GB2312" w:cs="宋体"/>
                <w:spacing w:val="-10"/>
                <w:kern w:val="0"/>
                <w:sz w:val="18"/>
                <w:szCs w:val="18"/>
              </w:rPr>
              <w:t>不及时但未影响项目进度 （</w:t>
            </w:r>
            <w:r>
              <w:rPr>
                <w:rFonts w:hint="eastAsia" w:ascii="仿宋_GB2312" w:hAnsi="仿宋_GB2312" w:cs="宋体"/>
                <w:spacing w:val="-10"/>
                <w:kern w:val="0"/>
                <w:sz w:val="18"/>
                <w:szCs w:val="18"/>
                <w:lang w:val="en-US" w:eastAsia="zh-CN"/>
              </w:rPr>
              <w:t>1</w:t>
            </w:r>
            <w:r>
              <w:rPr>
                <w:rFonts w:ascii="仿宋_GB2312" w:hAnsi="仿宋_GB2312" w:cs="宋体"/>
                <w:spacing w:val="-10"/>
                <w:kern w:val="0"/>
                <w:sz w:val="18"/>
                <w:szCs w:val="18"/>
              </w:rPr>
              <w:t>分）</w:t>
            </w:r>
          </w:p>
          <w:p>
            <w:pPr>
              <w:widowControl/>
              <w:spacing w:line="240" w:lineRule="exact"/>
              <w:jc w:val="left"/>
              <w:rPr>
                <w:rFonts w:ascii="仿宋_GB2312" w:hAnsi="宋体" w:cs="宋体"/>
                <w:kern w:val="0"/>
                <w:sz w:val="18"/>
                <w:szCs w:val="18"/>
              </w:rPr>
            </w:pPr>
            <w:r>
              <w:rPr>
                <w:rFonts w:hint="eastAsia" w:ascii="宋体" w:hAnsi="宋体" w:cs="宋体"/>
                <w:spacing w:val="-6"/>
                <w:kern w:val="0"/>
                <w:sz w:val="18"/>
                <w:szCs w:val="18"/>
              </w:rPr>
              <w:t>③</w:t>
            </w:r>
            <w:r>
              <w:rPr>
                <w:rFonts w:ascii="仿宋_GB2312" w:hAnsi="仿宋_GB2312" w:cs="宋体"/>
                <w:spacing w:val="-6"/>
                <w:kern w:val="0"/>
                <w:sz w:val="18"/>
                <w:szCs w:val="18"/>
              </w:rPr>
              <w:t>不及时并影响项目进度（</w:t>
            </w:r>
            <w:r>
              <w:rPr>
                <w:rFonts w:hint="eastAsia" w:ascii="仿宋_GB2312" w:hAnsi="仿宋_GB2312" w:cs="宋体"/>
                <w:spacing w:val="-6"/>
                <w:kern w:val="0"/>
                <w:sz w:val="18"/>
                <w:szCs w:val="18"/>
              </w:rPr>
              <w:t>扣</w:t>
            </w:r>
            <w:r>
              <w:rPr>
                <w:rFonts w:hint="eastAsia" w:ascii="仿宋_GB2312" w:hAnsi="仿宋_GB2312" w:cs="宋体"/>
                <w:spacing w:val="-6"/>
                <w:kern w:val="0"/>
                <w:sz w:val="18"/>
                <w:szCs w:val="18"/>
                <w:lang w:val="en-US" w:eastAsia="zh-CN"/>
              </w:rPr>
              <w:t>2</w:t>
            </w:r>
            <w:r>
              <w:rPr>
                <w:rFonts w:ascii="仿宋_GB2312" w:hAnsi="仿宋_GB2312" w:cs="宋体"/>
                <w:spacing w:val="-6"/>
                <w:kern w:val="0"/>
                <w:sz w:val="18"/>
                <w:szCs w:val="18"/>
              </w:rPr>
              <w:t>分）</w:t>
            </w:r>
          </w:p>
        </w:tc>
        <w:tc>
          <w:tcPr>
            <w:tcW w:w="803"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hint="eastAsia" w:ascii="仿宋_GB2312" w:hAnsi="宋体" w:eastAsia="宋体" w:cs="宋体"/>
                <w:kern w:val="0"/>
                <w:sz w:val="24"/>
                <w:szCs w:val="24"/>
                <w:lang w:eastAsia="zh-CN"/>
              </w:rPr>
            </w:pPr>
            <w:r>
              <w:rPr>
                <w:rFonts w:hint="eastAsia" w:ascii="仿宋_GB2312" w:hAnsi="仿宋_GB2312" w:cs="宋体"/>
                <w:kern w:val="0"/>
                <w:sz w:val="24"/>
                <w:szCs w:val="24"/>
                <w:lang w:val="en-US" w:eastAsia="zh-CN"/>
              </w:rPr>
              <w:t>2</w:t>
            </w:r>
          </w:p>
        </w:tc>
      </w:tr>
      <w:tr>
        <w:tblPrEx>
          <w:tblCellMar>
            <w:top w:w="0" w:type="dxa"/>
            <w:left w:w="108" w:type="dxa"/>
            <w:bottom w:w="0" w:type="dxa"/>
            <w:right w:w="108" w:type="dxa"/>
          </w:tblCellMar>
        </w:tblPrEx>
        <w:trPr>
          <w:trHeight w:val="1168" w:hRule="atLeast"/>
          <w:jc w:val="center"/>
        </w:trPr>
        <w:tc>
          <w:tcPr>
            <w:tcW w:w="702"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宋体" w:cs="宋体"/>
                <w:kern w:val="0"/>
                <w:sz w:val="18"/>
                <w:szCs w:val="18"/>
              </w:rPr>
            </w:pPr>
          </w:p>
        </w:tc>
        <w:tc>
          <w:tcPr>
            <w:tcW w:w="54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pPr>
          </w:p>
        </w:tc>
        <w:tc>
          <w:tcPr>
            <w:tcW w:w="703"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ascii="仿宋_GB2312" w:hAnsi="宋体" w:cs="宋体"/>
                <w:kern w:val="0"/>
                <w:sz w:val="18"/>
                <w:szCs w:val="18"/>
              </w:rPr>
            </w:pPr>
            <w:r>
              <w:rPr>
                <w:rFonts w:ascii="仿宋_GB2312" w:hAnsi="仿宋_GB2312" w:cs="宋体"/>
                <w:kern w:val="0"/>
                <w:sz w:val="18"/>
                <w:szCs w:val="18"/>
              </w:rPr>
              <w:t>资金管理</w:t>
            </w:r>
          </w:p>
        </w:tc>
        <w:tc>
          <w:tcPr>
            <w:tcW w:w="540"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hint="eastAsia" w:ascii="仿宋_GB2312" w:hAnsi="宋体" w:eastAsia="宋体" w:cs="宋体"/>
                <w:kern w:val="0"/>
                <w:sz w:val="18"/>
                <w:szCs w:val="18"/>
                <w:lang w:eastAsia="zh-CN"/>
              </w:rPr>
            </w:pPr>
            <w:r>
              <w:rPr>
                <w:rFonts w:hint="eastAsia" w:ascii="仿宋_GB2312" w:hAnsi="仿宋_GB2312" w:cs="宋体"/>
                <w:kern w:val="0"/>
                <w:sz w:val="18"/>
                <w:szCs w:val="18"/>
                <w:lang w:val="en-US" w:eastAsia="zh-CN"/>
              </w:rPr>
              <w:t>5</w:t>
            </w:r>
          </w:p>
        </w:tc>
        <w:tc>
          <w:tcPr>
            <w:tcW w:w="803"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ascii="仿宋_GB2312" w:hAnsi="宋体" w:cs="宋体"/>
                <w:kern w:val="0"/>
                <w:sz w:val="18"/>
                <w:szCs w:val="18"/>
              </w:rPr>
            </w:pPr>
            <w:r>
              <w:rPr>
                <w:rFonts w:ascii="仿宋_GB2312" w:hAnsi="仿宋_GB2312" w:cs="宋体"/>
                <w:kern w:val="0"/>
                <w:sz w:val="18"/>
                <w:szCs w:val="18"/>
              </w:rPr>
              <w:t>资金</w:t>
            </w:r>
          </w:p>
          <w:p>
            <w:pPr>
              <w:widowControl/>
              <w:spacing w:line="240" w:lineRule="exact"/>
              <w:jc w:val="center"/>
              <w:rPr>
                <w:rFonts w:ascii="仿宋_GB2312" w:hAnsi="宋体" w:cs="宋体"/>
                <w:kern w:val="0"/>
                <w:sz w:val="18"/>
                <w:szCs w:val="18"/>
              </w:rPr>
            </w:pPr>
            <w:r>
              <w:rPr>
                <w:rFonts w:ascii="仿宋_GB2312" w:hAnsi="仿宋_GB2312" w:cs="宋体"/>
                <w:kern w:val="0"/>
                <w:sz w:val="18"/>
                <w:szCs w:val="18"/>
              </w:rPr>
              <w:t>使用</w:t>
            </w:r>
          </w:p>
        </w:tc>
        <w:tc>
          <w:tcPr>
            <w:tcW w:w="55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hint="eastAsia" w:ascii="仿宋_GB2312" w:hAnsi="宋体" w:eastAsia="宋体" w:cs="宋体"/>
                <w:kern w:val="0"/>
                <w:sz w:val="18"/>
                <w:szCs w:val="18"/>
                <w:lang w:eastAsia="zh-CN"/>
              </w:rPr>
            </w:pPr>
            <w:r>
              <w:rPr>
                <w:rFonts w:hint="eastAsia" w:ascii="仿宋_GB2312" w:hAnsi="仿宋_GB2312" w:cs="宋体"/>
                <w:kern w:val="0"/>
                <w:sz w:val="18"/>
                <w:szCs w:val="18"/>
                <w:lang w:val="en-US" w:eastAsia="zh-CN"/>
              </w:rPr>
              <w:t>3</w:t>
            </w:r>
          </w:p>
        </w:tc>
        <w:tc>
          <w:tcPr>
            <w:tcW w:w="2407"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rPr>
                <w:rFonts w:ascii="仿宋_GB2312" w:hAnsi="宋体" w:cs="宋体"/>
                <w:kern w:val="0"/>
                <w:sz w:val="18"/>
                <w:szCs w:val="18"/>
              </w:rPr>
            </w:pPr>
            <w:r>
              <w:rPr>
                <w:rFonts w:ascii="仿宋_GB2312" w:hAnsi="仿宋_GB2312" w:cs="宋体"/>
                <w:kern w:val="0"/>
                <w:sz w:val="18"/>
                <w:szCs w:val="18"/>
              </w:rPr>
              <w:t>支出依据合规，无虚列项目支出情况；无截留挤占挪用情况；无超标准开支情况；无超预算情况</w:t>
            </w:r>
          </w:p>
        </w:tc>
        <w:tc>
          <w:tcPr>
            <w:tcW w:w="2772"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rPr>
                <w:rFonts w:ascii="仿宋_GB2312" w:hAnsi="宋体" w:cs="宋体"/>
                <w:kern w:val="0"/>
                <w:sz w:val="18"/>
                <w:szCs w:val="18"/>
              </w:rPr>
            </w:pPr>
            <w:r>
              <w:rPr>
                <w:rFonts w:hint="eastAsia" w:ascii="宋体" w:hAnsi="宋体" w:cs="宋体"/>
                <w:kern w:val="0"/>
                <w:sz w:val="18"/>
                <w:szCs w:val="18"/>
              </w:rPr>
              <w:t>①</w:t>
            </w:r>
            <w:r>
              <w:rPr>
                <w:rFonts w:ascii="仿宋_GB2312" w:hAnsi="仿宋_GB2312" w:cs="宋体"/>
                <w:kern w:val="0"/>
                <w:sz w:val="18"/>
                <w:szCs w:val="18"/>
              </w:rPr>
              <w:t>虚列套取扣</w:t>
            </w:r>
            <w:r>
              <w:rPr>
                <w:rFonts w:hint="eastAsia" w:ascii="仿宋_GB2312" w:hAnsi="仿宋_GB2312" w:cs="宋体"/>
                <w:kern w:val="0"/>
                <w:sz w:val="18"/>
                <w:szCs w:val="18"/>
                <w:lang w:val="en-US" w:eastAsia="zh-CN"/>
              </w:rPr>
              <w:t>3</w:t>
            </w:r>
            <w:r>
              <w:rPr>
                <w:rFonts w:ascii="仿宋_GB2312" w:hAnsi="仿宋_GB2312" w:cs="宋体"/>
                <w:kern w:val="0"/>
                <w:sz w:val="18"/>
                <w:szCs w:val="18"/>
              </w:rPr>
              <w:t xml:space="preserve">分 </w:t>
            </w:r>
          </w:p>
          <w:p>
            <w:pPr>
              <w:widowControl/>
              <w:spacing w:line="240" w:lineRule="exact"/>
              <w:jc w:val="left"/>
              <w:rPr>
                <w:rFonts w:ascii="仿宋_GB2312" w:hAnsi="宋体" w:cs="宋体"/>
                <w:kern w:val="0"/>
                <w:sz w:val="18"/>
                <w:szCs w:val="18"/>
              </w:rPr>
            </w:pPr>
            <w:r>
              <w:rPr>
                <w:rFonts w:hint="eastAsia" w:ascii="宋体" w:hAnsi="宋体" w:cs="宋体"/>
                <w:kern w:val="0"/>
                <w:sz w:val="18"/>
                <w:szCs w:val="18"/>
              </w:rPr>
              <w:t>②</w:t>
            </w:r>
            <w:r>
              <w:rPr>
                <w:rFonts w:ascii="仿宋_GB2312" w:hAnsi="仿宋_GB2312" w:cs="宋体"/>
                <w:kern w:val="0"/>
                <w:sz w:val="18"/>
                <w:szCs w:val="18"/>
              </w:rPr>
              <w:t>依据不合规扣2分</w:t>
            </w:r>
          </w:p>
          <w:p>
            <w:pPr>
              <w:widowControl/>
              <w:spacing w:line="240" w:lineRule="exact"/>
              <w:jc w:val="left"/>
              <w:rPr>
                <w:rFonts w:ascii="仿宋_GB2312" w:hAnsi="宋体" w:cs="宋体"/>
                <w:kern w:val="0"/>
                <w:sz w:val="18"/>
                <w:szCs w:val="18"/>
              </w:rPr>
            </w:pPr>
            <w:r>
              <w:rPr>
                <w:rFonts w:hint="eastAsia" w:ascii="宋体" w:hAnsi="宋体" w:cs="宋体"/>
                <w:kern w:val="0"/>
                <w:sz w:val="18"/>
                <w:szCs w:val="18"/>
              </w:rPr>
              <w:t>③</w:t>
            </w:r>
            <w:r>
              <w:rPr>
                <w:rFonts w:ascii="仿宋_GB2312" w:hAnsi="仿宋_GB2312" w:cs="宋体"/>
                <w:kern w:val="0"/>
                <w:sz w:val="18"/>
                <w:szCs w:val="18"/>
              </w:rPr>
              <w:t>截留、挤占、挪用扣3分</w:t>
            </w:r>
          </w:p>
          <w:p>
            <w:pPr>
              <w:widowControl/>
              <w:spacing w:line="240" w:lineRule="exact"/>
              <w:jc w:val="left"/>
              <w:rPr>
                <w:rFonts w:ascii="仿宋_GB2312" w:hAnsi="宋体" w:cs="宋体"/>
                <w:kern w:val="0"/>
                <w:sz w:val="18"/>
                <w:szCs w:val="18"/>
              </w:rPr>
            </w:pPr>
            <w:r>
              <w:rPr>
                <w:rFonts w:hint="eastAsia" w:ascii="宋体" w:hAnsi="宋体" w:cs="宋体"/>
                <w:kern w:val="0"/>
                <w:sz w:val="18"/>
                <w:szCs w:val="18"/>
              </w:rPr>
              <w:t>④</w:t>
            </w:r>
            <w:r>
              <w:rPr>
                <w:rFonts w:ascii="仿宋_GB2312" w:hAnsi="仿宋_GB2312" w:cs="宋体"/>
                <w:kern w:val="0"/>
                <w:sz w:val="18"/>
                <w:szCs w:val="18"/>
              </w:rPr>
              <w:t>超标准开支扣2分</w:t>
            </w:r>
          </w:p>
          <w:p>
            <w:pPr>
              <w:widowControl/>
              <w:spacing w:line="240" w:lineRule="exact"/>
              <w:jc w:val="left"/>
              <w:rPr>
                <w:rFonts w:ascii="仿宋_GB2312" w:hAnsi="宋体" w:cs="宋体"/>
                <w:kern w:val="0"/>
                <w:sz w:val="18"/>
                <w:szCs w:val="18"/>
              </w:rPr>
            </w:pPr>
            <w:r>
              <w:rPr>
                <w:rFonts w:hint="eastAsia" w:ascii="宋体" w:hAnsi="宋体" w:cs="宋体"/>
                <w:kern w:val="0"/>
                <w:sz w:val="18"/>
                <w:szCs w:val="18"/>
              </w:rPr>
              <w:t>⑤</w:t>
            </w:r>
            <w:r>
              <w:rPr>
                <w:rFonts w:ascii="仿宋_GB2312" w:hAnsi="仿宋_GB2312" w:cs="宋体"/>
                <w:kern w:val="0"/>
                <w:sz w:val="18"/>
                <w:szCs w:val="18"/>
              </w:rPr>
              <w:t>超预算扣2分</w:t>
            </w:r>
          </w:p>
        </w:tc>
        <w:tc>
          <w:tcPr>
            <w:tcW w:w="803"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hint="eastAsia" w:ascii="仿宋_GB2312" w:hAnsi="宋体" w:eastAsia="宋体" w:cs="宋体"/>
                <w:kern w:val="0"/>
                <w:sz w:val="24"/>
                <w:szCs w:val="24"/>
                <w:lang w:eastAsia="zh-CN"/>
              </w:rPr>
            </w:pPr>
            <w:r>
              <w:rPr>
                <w:rFonts w:hint="eastAsia" w:ascii="仿宋_GB2312" w:hAnsi="仿宋_GB2312" w:cs="宋体"/>
                <w:kern w:val="0"/>
                <w:sz w:val="24"/>
                <w:szCs w:val="24"/>
                <w:lang w:val="en-US" w:eastAsia="zh-CN"/>
              </w:rPr>
              <w:t>3</w:t>
            </w:r>
          </w:p>
        </w:tc>
      </w:tr>
      <w:tr>
        <w:tblPrEx>
          <w:tblCellMar>
            <w:top w:w="0" w:type="dxa"/>
            <w:left w:w="108" w:type="dxa"/>
            <w:bottom w:w="0" w:type="dxa"/>
            <w:right w:w="108" w:type="dxa"/>
          </w:tblCellMar>
        </w:tblPrEx>
        <w:trPr>
          <w:trHeight w:val="871" w:hRule="atLeast"/>
          <w:jc w:val="center"/>
        </w:trPr>
        <w:tc>
          <w:tcPr>
            <w:tcW w:w="702"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宋体" w:cs="宋体"/>
                <w:kern w:val="0"/>
                <w:sz w:val="18"/>
                <w:szCs w:val="18"/>
              </w:rPr>
            </w:pPr>
          </w:p>
        </w:tc>
        <w:tc>
          <w:tcPr>
            <w:tcW w:w="54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pPr>
          </w:p>
        </w:tc>
        <w:tc>
          <w:tcPr>
            <w:tcW w:w="703"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宋体" w:cs="宋体"/>
                <w:kern w:val="0"/>
                <w:sz w:val="18"/>
                <w:szCs w:val="18"/>
              </w:rPr>
            </w:pPr>
          </w:p>
        </w:tc>
        <w:tc>
          <w:tcPr>
            <w:tcW w:w="54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宋体" w:cs="宋体"/>
                <w:kern w:val="0"/>
                <w:sz w:val="18"/>
                <w:szCs w:val="18"/>
              </w:rPr>
            </w:pPr>
          </w:p>
        </w:tc>
        <w:tc>
          <w:tcPr>
            <w:tcW w:w="803"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ascii="仿宋_GB2312" w:hAnsi="宋体" w:cs="宋体"/>
                <w:kern w:val="0"/>
                <w:sz w:val="18"/>
                <w:szCs w:val="18"/>
              </w:rPr>
            </w:pPr>
            <w:r>
              <w:rPr>
                <w:rFonts w:ascii="仿宋_GB2312" w:hAnsi="仿宋_GB2312" w:cs="宋体"/>
                <w:kern w:val="0"/>
                <w:sz w:val="18"/>
                <w:szCs w:val="18"/>
              </w:rPr>
              <w:t>财务</w:t>
            </w:r>
          </w:p>
          <w:p>
            <w:pPr>
              <w:widowControl/>
              <w:spacing w:line="240" w:lineRule="exact"/>
              <w:jc w:val="center"/>
              <w:rPr>
                <w:rFonts w:ascii="仿宋_GB2312" w:hAnsi="宋体" w:cs="宋体"/>
                <w:kern w:val="0"/>
                <w:sz w:val="18"/>
                <w:szCs w:val="18"/>
              </w:rPr>
            </w:pPr>
            <w:r>
              <w:rPr>
                <w:rFonts w:ascii="仿宋_GB2312" w:hAnsi="仿宋_GB2312" w:cs="宋体"/>
                <w:kern w:val="0"/>
                <w:sz w:val="18"/>
                <w:szCs w:val="18"/>
              </w:rPr>
              <w:t>管理</w:t>
            </w:r>
          </w:p>
        </w:tc>
        <w:tc>
          <w:tcPr>
            <w:tcW w:w="55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hint="eastAsia" w:ascii="仿宋_GB2312" w:hAnsi="宋体" w:eastAsia="宋体" w:cs="宋体"/>
                <w:kern w:val="0"/>
                <w:sz w:val="18"/>
                <w:szCs w:val="18"/>
                <w:lang w:eastAsia="zh-CN"/>
              </w:rPr>
            </w:pPr>
            <w:r>
              <w:rPr>
                <w:rFonts w:hint="eastAsia" w:ascii="仿宋_GB2312" w:hAnsi="仿宋_GB2312" w:cs="宋体"/>
                <w:kern w:val="0"/>
                <w:sz w:val="18"/>
                <w:szCs w:val="18"/>
                <w:lang w:val="en-US" w:eastAsia="zh-CN"/>
              </w:rPr>
              <w:t>2</w:t>
            </w:r>
          </w:p>
        </w:tc>
        <w:tc>
          <w:tcPr>
            <w:tcW w:w="2407"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rPr>
                <w:rFonts w:ascii="仿宋_GB2312" w:hAnsi="宋体" w:cs="宋体"/>
                <w:kern w:val="0"/>
                <w:sz w:val="18"/>
                <w:szCs w:val="18"/>
              </w:rPr>
            </w:pPr>
            <w:r>
              <w:rPr>
                <w:rFonts w:ascii="仿宋_GB2312" w:hAnsi="仿宋_GB2312" w:cs="宋体"/>
                <w:kern w:val="0"/>
                <w:sz w:val="18"/>
                <w:szCs w:val="18"/>
              </w:rPr>
              <w:t>资金管理、费用支出等制度健全；制度执行严格；会计核算规范</w:t>
            </w:r>
          </w:p>
        </w:tc>
        <w:tc>
          <w:tcPr>
            <w:tcW w:w="2772"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rPr>
                <w:rFonts w:ascii="仿宋_GB2312" w:hAnsi="宋体" w:cs="宋体"/>
                <w:kern w:val="0"/>
                <w:sz w:val="18"/>
                <w:szCs w:val="18"/>
              </w:rPr>
            </w:pPr>
            <w:r>
              <w:rPr>
                <w:rFonts w:hint="eastAsia" w:ascii="宋体" w:hAnsi="宋体" w:cs="宋体"/>
                <w:kern w:val="0"/>
                <w:sz w:val="18"/>
                <w:szCs w:val="18"/>
              </w:rPr>
              <w:t>①</w:t>
            </w:r>
            <w:r>
              <w:rPr>
                <w:rFonts w:ascii="仿宋_GB2312" w:hAnsi="仿宋_GB2312" w:cs="宋体"/>
                <w:kern w:val="0"/>
                <w:sz w:val="18"/>
                <w:szCs w:val="18"/>
              </w:rPr>
              <w:t>财务制度健全（</w:t>
            </w:r>
            <w:r>
              <w:rPr>
                <w:rFonts w:hint="eastAsia" w:ascii="仿宋_GB2312" w:hAnsi="仿宋_GB2312" w:cs="宋体"/>
                <w:kern w:val="0"/>
                <w:sz w:val="18"/>
                <w:szCs w:val="18"/>
                <w:lang w:val="en-US" w:eastAsia="zh-CN"/>
              </w:rPr>
              <w:t>0.5</w:t>
            </w:r>
            <w:r>
              <w:rPr>
                <w:rFonts w:ascii="仿宋_GB2312" w:hAnsi="仿宋_GB2312" w:cs="宋体"/>
                <w:kern w:val="0"/>
                <w:sz w:val="18"/>
                <w:szCs w:val="18"/>
              </w:rPr>
              <w:t>分）</w:t>
            </w:r>
          </w:p>
          <w:p>
            <w:pPr>
              <w:widowControl/>
              <w:spacing w:line="240" w:lineRule="exact"/>
              <w:jc w:val="left"/>
              <w:rPr>
                <w:rFonts w:ascii="仿宋_GB2312" w:hAnsi="宋体" w:cs="宋体"/>
                <w:kern w:val="0"/>
                <w:sz w:val="18"/>
                <w:szCs w:val="18"/>
              </w:rPr>
            </w:pPr>
            <w:r>
              <w:rPr>
                <w:rFonts w:hint="eastAsia" w:ascii="宋体" w:hAnsi="宋体" w:cs="宋体"/>
                <w:kern w:val="0"/>
                <w:sz w:val="18"/>
                <w:szCs w:val="18"/>
              </w:rPr>
              <w:t>②</w:t>
            </w:r>
            <w:r>
              <w:rPr>
                <w:rFonts w:ascii="仿宋_GB2312" w:hAnsi="仿宋_GB2312" w:cs="宋体"/>
                <w:kern w:val="0"/>
                <w:sz w:val="18"/>
                <w:szCs w:val="18"/>
              </w:rPr>
              <w:t>严格执行制度（</w:t>
            </w:r>
            <w:r>
              <w:rPr>
                <w:rFonts w:hint="eastAsia" w:ascii="仿宋_GB2312" w:hAnsi="仿宋_GB2312" w:cs="宋体"/>
                <w:kern w:val="0"/>
                <w:sz w:val="18"/>
                <w:szCs w:val="18"/>
                <w:lang w:val="en-US" w:eastAsia="zh-CN"/>
              </w:rPr>
              <w:t>0.5</w:t>
            </w:r>
            <w:r>
              <w:rPr>
                <w:rFonts w:ascii="仿宋_GB2312" w:hAnsi="仿宋_GB2312" w:cs="宋体"/>
                <w:kern w:val="0"/>
                <w:sz w:val="18"/>
                <w:szCs w:val="18"/>
              </w:rPr>
              <w:t>分）</w:t>
            </w:r>
          </w:p>
          <w:p>
            <w:pPr>
              <w:widowControl/>
              <w:spacing w:line="240" w:lineRule="exact"/>
              <w:jc w:val="left"/>
              <w:rPr>
                <w:rFonts w:ascii="仿宋_GB2312" w:hAnsi="宋体" w:cs="宋体"/>
                <w:kern w:val="0"/>
                <w:sz w:val="18"/>
                <w:szCs w:val="18"/>
              </w:rPr>
            </w:pPr>
            <w:r>
              <w:rPr>
                <w:rFonts w:hint="eastAsia" w:ascii="宋体" w:hAnsi="宋体" w:cs="宋体"/>
                <w:kern w:val="0"/>
                <w:sz w:val="18"/>
                <w:szCs w:val="18"/>
              </w:rPr>
              <w:t>③</w:t>
            </w:r>
            <w:r>
              <w:rPr>
                <w:rFonts w:ascii="仿宋_GB2312" w:hAnsi="仿宋_GB2312" w:cs="宋体"/>
                <w:kern w:val="0"/>
                <w:sz w:val="18"/>
                <w:szCs w:val="18"/>
              </w:rPr>
              <w:t>会计核算规范（1分）</w:t>
            </w:r>
          </w:p>
          <w:p>
            <w:pPr>
              <w:widowControl/>
              <w:spacing w:line="240" w:lineRule="exact"/>
              <w:jc w:val="left"/>
              <w:rPr>
                <w:rFonts w:ascii="仿宋_GB2312" w:hAnsi="宋体" w:cs="宋体"/>
                <w:kern w:val="0"/>
                <w:sz w:val="18"/>
                <w:szCs w:val="18"/>
              </w:rPr>
            </w:pPr>
          </w:p>
        </w:tc>
        <w:tc>
          <w:tcPr>
            <w:tcW w:w="803"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hint="eastAsia" w:ascii="仿宋_GB2312" w:hAnsi="宋体" w:eastAsia="宋体" w:cs="宋体"/>
                <w:kern w:val="0"/>
                <w:sz w:val="24"/>
                <w:szCs w:val="24"/>
                <w:lang w:eastAsia="zh-CN"/>
              </w:rPr>
            </w:pPr>
            <w:r>
              <w:rPr>
                <w:rFonts w:hint="eastAsia" w:ascii="仿宋_GB2312" w:hAnsi="仿宋_GB2312" w:cs="宋体"/>
                <w:kern w:val="0"/>
                <w:sz w:val="24"/>
                <w:szCs w:val="24"/>
                <w:lang w:val="en-US" w:eastAsia="zh-CN"/>
              </w:rPr>
              <w:t>2</w:t>
            </w:r>
          </w:p>
        </w:tc>
      </w:tr>
      <w:tr>
        <w:tblPrEx>
          <w:tblCellMar>
            <w:top w:w="0" w:type="dxa"/>
            <w:left w:w="108" w:type="dxa"/>
            <w:bottom w:w="0" w:type="dxa"/>
            <w:right w:w="108" w:type="dxa"/>
          </w:tblCellMar>
        </w:tblPrEx>
        <w:trPr>
          <w:trHeight w:val="1134" w:hRule="atLeast"/>
          <w:jc w:val="center"/>
        </w:trPr>
        <w:tc>
          <w:tcPr>
            <w:tcW w:w="702"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ascii="仿宋_GB2312" w:hAnsi="宋体" w:cs="宋体"/>
                <w:kern w:val="0"/>
                <w:sz w:val="18"/>
                <w:szCs w:val="18"/>
              </w:rPr>
            </w:pPr>
            <w:r>
              <w:rPr>
                <w:rFonts w:ascii="仿宋_GB2312" w:hAnsi="仿宋_GB2312" w:cs="宋体"/>
                <w:kern w:val="0"/>
                <w:sz w:val="18"/>
                <w:szCs w:val="18"/>
              </w:rPr>
              <w:t>项目绩效</w:t>
            </w:r>
          </w:p>
        </w:tc>
        <w:tc>
          <w:tcPr>
            <w:tcW w:w="540"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hint="default" w:ascii="仿宋_GB2312" w:hAnsi="宋体" w:eastAsia="宋体" w:cs="宋体"/>
                <w:kern w:val="0"/>
                <w:sz w:val="18"/>
                <w:szCs w:val="18"/>
                <w:lang w:val="en-US" w:eastAsia="zh-CN"/>
              </w:rPr>
            </w:pPr>
            <w:r>
              <w:rPr>
                <w:rFonts w:hint="eastAsia" w:ascii="仿宋_GB2312" w:hAnsi="仿宋_GB2312" w:cs="宋体"/>
                <w:kern w:val="0"/>
                <w:sz w:val="18"/>
                <w:szCs w:val="18"/>
                <w:lang w:val="en-US" w:eastAsia="zh-CN"/>
              </w:rPr>
              <w:t>90</w:t>
            </w:r>
          </w:p>
        </w:tc>
        <w:tc>
          <w:tcPr>
            <w:tcW w:w="703"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ascii="仿宋_GB2312" w:hAnsi="宋体" w:cs="宋体"/>
                <w:kern w:val="0"/>
                <w:sz w:val="18"/>
                <w:szCs w:val="18"/>
              </w:rPr>
            </w:pPr>
            <w:r>
              <w:rPr>
                <w:rFonts w:ascii="仿宋_GB2312" w:hAnsi="仿宋_GB2312" w:cs="宋体"/>
                <w:kern w:val="0"/>
                <w:sz w:val="18"/>
                <w:szCs w:val="18"/>
              </w:rPr>
              <w:t>项目产出</w:t>
            </w:r>
          </w:p>
        </w:tc>
        <w:tc>
          <w:tcPr>
            <w:tcW w:w="540"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hint="default" w:ascii="仿宋_GB2312" w:hAnsi="宋体" w:eastAsia="宋体" w:cs="宋体"/>
                <w:kern w:val="0"/>
                <w:sz w:val="18"/>
                <w:szCs w:val="18"/>
                <w:lang w:val="en-US" w:eastAsia="zh-CN"/>
              </w:rPr>
            </w:pPr>
            <w:r>
              <w:rPr>
                <w:rFonts w:hint="eastAsia" w:ascii="仿宋_GB2312" w:hAnsi="仿宋_GB2312" w:cs="宋体"/>
                <w:kern w:val="0"/>
                <w:sz w:val="18"/>
                <w:szCs w:val="18"/>
                <w:lang w:val="en-US" w:eastAsia="zh-CN"/>
              </w:rPr>
              <w:t>50</w:t>
            </w:r>
          </w:p>
        </w:tc>
        <w:tc>
          <w:tcPr>
            <w:tcW w:w="803"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ascii="仿宋_GB2312" w:hAnsi="宋体" w:cs="宋体"/>
                <w:kern w:val="0"/>
                <w:sz w:val="18"/>
                <w:szCs w:val="18"/>
              </w:rPr>
            </w:pPr>
            <w:r>
              <w:rPr>
                <w:rFonts w:ascii="仿宋_GB2312" w:hAnsi="仿宋_GB2312" w:cs="宋体"/>
                <w:kern w:val="0"/>
                <w:sz w:val="18"/>
                <w:szCs w:val="18"/>
              </w:rPr>
              <w:t>产出</w:t>
            </w:r>
          </w:p>
          <w:p>
            <w:pPr>
              <w:widowControl/>
              <w:spacing w:line="240" w:lineRule="exact"/>
              <w:jc w:val="center"/>
              <w:rPr>
                <w:rFonts w:ascii="仿宋_GB2312" w:hAnsi="宋体" w:cs="宋体"/>
                <w:kern w:val="0"/>
                <w:sz w:val="18"/>
                <w:szCs w:val="18"/>
              </w:rPr>
            </w:pPr>
            <w:r>
              <w:rPr>
                <w:rFonts w:ascii="仿宋_GB2312" w:hAnsi="仿宋_GB2312" w:cs="宋体"/>
                <w:kern w:val="0"/>
                <w:sz w:val="18"/>
                <w:szCs w:val="18"/>
              </w:rPr>
              <w:t>数量</w:t>
            </w:r>
          </w:p>
        </w:tc>
        <w:tc>
          <w:tcPr>
            <w:tcW w:w="55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hint="default" w:ascii="仿宋_GB2312" w:hAnsi="宋体" w:eastAsia="宋体" w:cs="宋体"/>
                <w:kern w:val="0"/>
                <w:sz w:val="18"/>
                <w:szCs w:val="18"/>
                <w:lang w:val="en-US" w:eastAsia="zh-CN"/>
              </w:rPr>
            </w:pPr>
            <w:r>
              <w:rPr>
                <w:rFonts w:hint="eastAsia" w:ascii="仿宋_GB2312" w:hAnsi="仿宋_GB2312" w:cs="宋体"/>
                <w:kern w:val="0"/>
                <w:sz w:val="18"/>
                <w:szCs w:val="18"/>
                <w:lang w:val="en-US" w:eastAsia="zh-CN"/>
              </w:rPr>
              <w:t>10</w:t>
            </w:r>
          </w:p>
        </w:tc>
        <w:tc>
          <w:tcPr>
            <w:tcW w:w="2407"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rPr>
                <w:rFonts w:ascii="仿宋_GB2312" w:hAnsi="宋体" w:cs="宋体"/>
                <w:kern w:val="0"/>
                <w:sz w:val="18"/>
                <w:szCs w:val="18"/>
              </w:rPr>
            </w:pPr>
            <w:r>
              <w:rPr>
                <w:rFonts w:ascii="仿宋_GB2312" w:hAnsi="仿宋_GB2312" w:cs="宋体"/>
                <w:kern w:val="0"/>
                <w:sz w:val="18"/>
                <w:szCs w:val="18"/>
              </w:rPr>
              <w:t>目标完成率=目标完成数/预定目标数×100%</w:t>
            </w:r>
          </w:p>
        </w:tc>
        <w:tc>
          <w:tcPr>
            <w:tcW w:w="2772"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rPr>
                <w:rFonts w:ascii="仿宋_GB2312" w:hAnsi="宋体" w:cs="宋体"/>
                <w:kern w:val="0"/>
                <w:sz w:val="18"/>
                <w:szCs w:val="18"/>
              </w:rPr>
            </w:pPr>
            <w:r>
              <w:rPr>
                <w:rFonts w:ascii="仿宋_GB2312" w:hAnsi="仿宋_GB2312" w:cs="宋体"/>
                <w:kern w:val="0"/>
                <w:sz w:val="18"/>
                <w:szCs w:val="18"/>
              </w:rPr>
              <w:t>完成绩效目标100%得</w:t>
            </w:r>
            <w:r>
              <w:rPr>
                <w:rFonts w:hint="eastAsia" w:ascii="仿宋_GB2312" w:hAnsi="仿宋_GB2312" w:cs="宋体"/>
                <w:kern w:val="0"/>
                <w:sz w:val="18"/>
                <w:szCs w:val="18"/>
                <w:lang w:val="en-US" w:eastAsia="zh-CN"/>
              </w:rPr>
              <w:t>10</w:t>
            </w:r>
            <w:r>
              <w:rPr>
                <w:rFonts w:ascii="仿宋_GB2312" w:hAnsi="仿宋_GB2312" w:cs="宋体"/>
                <w:kern w:val="0"/>
                <w:sz w:val="18"/>
                <w:szCs w:val="18"/>
              </w:rPr>
              <w:t>分，未完成100%的同比例扣减。</w:t>
            </w:r>
          </w:p>
        </w:tc>
        <w:tc>
          <w:tcPr>
            <w:tcW w:w="803"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exact"/>
              <w:jc w:val="center"/>
              <w:rPr>
                <w:rFonts w:hint="default" w:ascii="仿宋_GB2312" w:hAnsi="宋体" w:eastAsia="宋体" w:cs="宋体"/>
                <w:kern w:val="0"/>
                <w:sz w:val="24"/>
                <w:szCs w:val="24"/>
                <w:lang w:val="en-US" w:eastAsia="zh-CN"/>
              </w:rPr>
            </w:pPr>
            <w:r>
              <w:rPr>
                <w:rFonts w:hint="eastAsia" w:ascii="仿宋_GB2312" w:hAnsi="仿宋_GB2312" w:cs="宋体"/>
                <w:kern w:val="0"/>
                <w:sz w:val="24"/>
                <w:szCs w:val="24"/>
                <w:lang w:val="en-US" w:eastAsia="zh-CN"/>
              </w:rPr>
              <w:t>10</w:t>
            </w:r>
          </w:p>
        </w:tc>
      </w:tr>
      <w:tr>
        <w:tblPrEx>
          <w:tblCellMar>
            <w:top w:w="0" w:type="dxa"/>
            <w:left w:w="108" w:type="dxa"/>
            <w:bottom w:w="0" w:type="dxa"/>
            <w:right w:w="108" w:type="dxa"/>
          </w:tblCellMar>
        </w:tblPrEx>
        <w:trPr>
          <w:trHeight w:val="1134" w:hRule="atLeast"/>
          <w:jc w:val="center"/>
        </w:trPr>
        <w:tc>
          <w:tcPr>
            <w:tcW w:w="702"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宋体" w:cs="宋体"/>
                <w:kern w:val="0"/>
                <w:sz w:val="18"/>
                <w:szCs w:val="18"/>
              </w:rPr>
            </w:pPr>
          </w:p>
        </w:tc>
        <w:tc>
          <w:tcPr>
            <w:tcW w:w="540" w:type="dxa"/>
            <w:vMerge w:val="continue"/>
            <w:tcBorders>
              <w:top w:val="single" w:color="000000" w:sz="4" w:space="0"/>
              <w:left w:val="nil"/>
              <w:bottom w:val="single" w:color="000000" w:sz="4" w:space="0"/>
              <w:right w:val="single" w:color="000000" w:sz="4" w:space="0"/>
            </w:tcBorders>
            <w:vAlign w:val="center"/>
          </w:tcPr>
          <w:p>
            <w:pPr>
              <w:widowControl/>
              <w:jc w:val="left"/>
              <w:rPr>
                <w:rFonts w:ascii="仿宋_GB2312" w:hAnsi="宋体" w:cs="宋体"/>
                <w:kern w:val="0"/>
                <w:sz w:val="18"/>
                <w:szCs w:val="18"/>
              </w:rPr>
            </w:pPr>
          </w:p>
        </w:tc>
        <w:tc>
          <w:tcPr>
            <w:tcW w:w="703" w:type="dxa"/>
            <w:vMerge w:val="continue"/>
            <w:tcBorders>
              <w:top w:val="single" w:color="000000" w:sz="4" w:space="0"/>
              <w:left w:val="nil"/>
              <w:bottom w:val="single" w:color="000000" w:sz="4" w:space="0"/>
              <w:right w:val="single" w:color="000000" w:sz="4" w:space="0"/>
            </w:tcBorders>
            <w:vAlign w:val="center"/>
          </w:tcPr>
          <w:p>
            <w:pPr>
              <w:widowControl/>
              <w:jc w:val="left"/>
              <w:rPr>
                <w:rFonts w:ascii="仿宋_GB2312" w:hAnsi="宋体" w:cs="宋体"/>
                <w:kern w:val="0"/>
                <w:sz w:val="18"/>
                <w:szCs w:val="18"/>
              </w:rPr>
            </w:pPr>
          </w:p>
        </w:tc>
        <w:tc>
          <w:tcPr>
            <w:tcW w:w="540" w:type="dxa"/>
            <w:vMerge w:val="continue"/>
            <w:tcBorders>
              <w:top w:val="single" w:color="000000" w:sz="4" w:space="0"/>
              <w:left w:val="nil"/>
              <w:bottom w:val="single" w:color="000000" w:sz="4" w:space="0"/>
              <w:right w:val="single" w:color="000000" w:sz="4" w:space="0"/>
            </w:tcBorders>
            <w:vAlign w:val="center"/>
          </w:tcPr>
          <w:p>
            <w:pPr>
              <w:widowControl/>
              <w:jc w:val="left"/>
              <w:rPr>
                <w:rFonts w:ascii="仿宋_GB2312" w:hAnsi="宋体" w:cs="宋体"/>
                <w:kern w:val="0"/>
                <w:sz w:val="18"/>
                <w:szCs w:val="18"/>
              </w:rPr>
            </w:pPr>
          </w:p>
        </w:tc>
        <w:tc>
          <w:tcPr>
            <w:tcW w:w="803" w:type="dxa"/>
            <w:tcBorders>
              <w:top w:val="single" w:color="000000" w:sz="4" w:space="0"/>
              <w:left w:val="nil"/>
              <w:bottom w:val="single" w:color="000000" w:sz="4" w:space="0"/>
              <w:right w:val="single" w:color="000000" w:sz="4" w:space="0"/>
            </w:tcBorders>
            <w:vAlign w:val="center"/>
          </w:tcPr>
          <w:p>
            <w:pPr>
              <w:widowControl/>
              <w:spacing w:line="240" w:lineRule="exact"/>
              <w:jc w:val="center"/>
              <w:rPr>
                <w:rFonts w:ascii="仿宋_GB2312" w:hAnsi="宋体" w:cs="宋体"/>
                <w:kern w:val="0"/>
                <w:sz w:val="18"/>
                <w:szCs w:val="18"/>
              </w:rPr>
            </w:pPr>
            <w:r>
              <w:rPr>
                <w:rFonts w:ascii="仿宋_GB2312" w:hAnsi="仿宋_GB2312" w:cs="宋体"/>
                <w:kern w:val="0"/>
                <w:sz w:val="18"/>
                <w:szCs w:val="18"/>
              </w:rPr>
              <w:t>产出</w:t>
            </w:r>
          </w:p>
          <w:p>
            <w:pPr>
              <w:widowControl/>
              <w:spacing w:line="240" w:lineRule="exact"/>
              <w:jc w:val="center"/>
              <w:rPr>
                <w:rFonts w:ascii="仿宋_GB2312" w:hAnsi="宋体" w:cs="宋体"/>
                <w:kern w:val="0"/>
                <w:sz w:val="18"/>
                <w:szCs w:val="18"/>
              </w:rPr>
            </w:pPr>
            <w:r>
              <w:rPr>
                <w:rFonts w:ascii="仿宋_GB2312" w:hAnsi="仿宋_GB2312" w:cs="宋体"/>
                <w:kern w:val="0"/>
                <w:sz w:val="18"/>
                <w:szCs w:val="18"/>
              </w:rPr>
              <w:t>质量</w:t>
            </w:r>
          </w:p>
        </w:tc>
        <w:tc>
          <w:tcPr>
            <w:tcW w:w="550" w:type="dxa"/>
            <w:tcBorders>
              <w:top w:val="single" w:color="000000" w:sz="4" w:space="0"/>
              <w:left w:val="nil"/>
              <w:bottom w:val="single" w:color="000000" w:sz="4" w:space="0"/>
              <w:right w:val="single" w:color="000000" w:sz="4" w:space="0"/>
            </w:tcBorders>
            <w:vAlign w:val="center"/>
          </w:tcPr>
          <w:p>
            <w:pPr>
              <w:widowControl/>
              <w:spacing w:line="240" w:lineRule="exact"/>
              <w:jc w:val="center"/>
              <w:rPr>
                <w:rFonts w:hint="default" w:ascii="仿宋_GB2312" w:hAnsi="宋体" w:eastAsia="宋体" w:cs="宋体"/>
                <w:kern w:val="0"/>
                <w:sz w:val="18"/>
                <w:szCs w:val="18"/>
                <w:lang w:val="en-US" w:eastAsia="zh-CN"/>
              </w:rPr>
            </w:pPr>
            <w:r>
              <w:rPr>
                <w:rFonts w:hint="eastAsia" w:ascii="仿宋_GB2312" w:hAnsi="仿宋_GB2312" w:cs="宋体"/>
                <w:kern w:val="0"/>
                <w:sz w:val="18"/>
                <w:szCs w:val="18"/>
                <w:lang w:val="en-US" w:eastAsia="zh-CN"/>
              </w:rPr>
              <w:t>10</w:t>
            </w:r>
          </w:p>
        </w:tc>
        <w:tc>
          <w:tcPr>
            <w:tcW w:w="2407" w:type="dxa"/>
            <w:tcBorders>
              <w:top w:val="single" w:color="000000" w:sz="4" w:space="0"/>
              <w:left w:val="nil"/>
              <w:bottom w:val="single" w:color="000000" w:sz="4" w:space="0"/>
              <w:right w:val="single" w:color="000000" w:sz="4" w:space="0"/>
            </w:tcBorders>
            <w:vAlign w:val="center"/>
          </w:tcPr>
          <w:p>
            <w:pPr>
              <w:widowControl/>
              <w:spacing w:line="240" w:lineRule="exact"/>
              <w:jc w:val="left"/>
              <w:rPr>
                <w:rFonts w:ascii="仿宋_GB2312" w:hAnsi="宋体" w:cs="宋体"/>
                <w:kern w:val="0"/>
                <w:sz w:val="18"/>
                <w:szCs w:val="18"/>
              </w:rPr>
            </w:pPr>
            <w:r>
              <w:rPr>
                <w:rFonts w:ascii="仿宋_GB2312" w:hAnsi="仿宋_GB2312" w:cs="宋体"/>
                <w:kern w:val="0"/>
                <w:sz w:val="18"/>
                <w:szCs w:val="18"/>
              </w:rPr>
              <w:t>目标完成质量=实际达到的效果/预定目标×100%</w:t>
            </w:r>
          </w:p>
        </w:tc>
        <w:tc>
          <w:tcPr>
            <w:tcW w:w="2772" w:type="dxa"/>
            <w:tcBorders>
              <w:top w:val="single" w:color="000000" w:sz="4" w:space="0"/>
              <w:left w:val="nil"/>
              <w:bottom w:val="single" w:color="000000" w:sz="4" w:space="0"/>
              <w:right w:val="single" w:color="000000" w:sz="4" w:space="0"/>
            </w:tcBorders>
            <w:vAlign w:val="center"/>
          </w:tcPr>
          <w:p>
            <w:pPr>
              <w:widowControl/>
              <w:spacing w:line="240" w:lineRule="exact"/>
              <w:jc w:val="left"/>
              <w:rPr>
                <w:rFonts w:ascii="仿宋_GB2312" w:hAnsi="宋体" w:cs="宋体"/>
                <w:kern w:val="0"/>
                <w:sz w:val="18"/>
                <w:szCs w:val="18"/>
              </w:rPr>
            </w:pPr>
            <w:r>
              <w:rPr>
                <w:rFonts w:ascii="仿宋_GB2312" w:hAnsi="仿宋_GB2312" w:cs="宋体"/>
                <w:kern w:val="0"/>
                <w:sz w:val="18"/>
                <w:szCs w:val="18"/>
              </w:rPr>
              <w:t>项目产出质量达到绩效目标100%得</w:t>
            </w:r>
            <w:r>
              <w:rPr>
                <w:rFonts w:hint="eastAsia" w:ascii="仿宋_GB2312" w:hAnsi="仿宋_GB2312" w:cs="宋体"/>
                <w:kern w:val="0"/>
                <w:sz w:val="18"/>
                <w:szCs w:val="18"/>
                <w:lang w:val="en-US" w:eastAsia="zh-CN"/>
              </w:rPr>
              <w:t>10</w:t>
            </w:r>
            <w:r>
              <w:rPr>
                <w:rFonts w:ascii="仿宋_GB2312" w:hAnsi="仿宋_GB2312" w:cs="宋体"/>
                <w:kern w:val="0"/>
                <w:sz w:val="18"/>
                <w:szCs w:val="18"/>
              </w:rPr>
              <w:t>分，未完成100%的同比例扣减。</w:t>
            </w:r>
          </w:p>
        </w:tc>
        <w:tc>
          <w:tcPr>
            <w:tcW w:w="803" w:type="dxa"/>
            <w:tcBorders>
              <w:top w:val="single" w:color="000000" w:sz="4" w:space="0"/>
              <w:left w:val="nil"/>
              <w:bottom w:val="single" w:color="auto" w:sz="4" w:space="0"/>
              <w:right w:val="single" w:color="auto" w:sz="4" w:space="0"/>
            </w:tcBorders>
            <w:shd w:val="clear" w:color="auto" w:fill="FFFFFF"/>
            <w:vAlign w:val="center"/>
          </w:tcPr>
          <w:p>
            <w:pPr>
              <w:widowControl/>
              <w:spacing w:line="240" w:lineRule="exact"/>
              <w:jc w:val="center"/>
              <w:rPr>
                <w:rFonts w:hint="default" w:ascii="仿宋_GB2312" w:hAnsi="宋体" w:eastAsia="宋体" w:cs="宋体"/>
                <w:kern w:val="0"/>
                <w:sz w:val="24"/>
                <w:szCs w:val="24"/>
                <w:lang w:val="en-US" w:eastAsia="zh-CN"/>
              </w:rPr>
            </w:pPr>
            <w:r>
              <w:rPr>
                <w:rFonts w:hint="eastAsia" w:ascii="仿宋_GB2312" w:hAnsi="仿宋_GB2312" w:cs="宋体"/>
                <w:kern w:val="0"/>
                <w:sz w:val="24"/>
                <w:szCs w:val="24"/>
                <w:lang w:val="en-US" w:eastAsia="zh-CN"/>
              </w:rPr>
              <w:t>10</w:t>
            </w:r>
          </w:p>
        </w:tc>
      </w:tr>
      <w:tr>
        <w:tblPrEx>
          <w:tblCellMar>
            <w:top w:w="0" w:type="dxa"/>
            <w:left w:w="108" w:type="dxa"/>
            <w:bottom w:w="0" w:type="dxa"/>
            <w:right w:w="108" w:type="dxa"/>
          </w:tblCellMar>
        </w:tblPrEx>
        <w:trPr>
          <w:trHeight w:val="1134" w:hRule="atLeast"/>
          <w:jc w:val="center"/>
        </w:trPr>
        <w:tc>
          <w:tcPr>
            <w:tcW w:w="702" w:type="dxa"/>
            <w:vMerge w:val="continue"/>
            <w:tcBorders>
              <w:top w:val="nil"/>
              <w:left w:val="single" w:color="000000" w:sz="4" w:space="0"/>
              <w:bottom w:val="single" w:color="000000" w:sz="4" w:space="0"/>
              <w:right w:val="single" w:color="000000" w:sz="4" w:space="0"/>
            </w:tcBorders>
            <w:vAlign w:val="center"/>
          </w:tcPr>
          <w:p>
            <w:pPr>
              <w:widowControl/>
              <w:jc w:val="left"/>
              <w:rPr>
                <w:rFonts w:ascii="仿宋_GB2312" w:hAnsi="宋体" w:cs="宋体"/>
                <w:kern w:val="0"/>
                <w:sz w:val="18"/>
                <w:szCs w:val="18"/>
              </w:rPr>
            </w:pPr>
          </w:p>
        </w:tc>
        <w:tc>
          <w:tcPr>
            <w:tcW w:w="540" w:type="dxa"/>
            <w:vMerge w:val="continue"/>
            <w:tcBorders>
              <w:top w:val="nil"/>
              <w:left w:val="nil"/>
              <w:bottom w:val="single" w:color="000000" w:sz="4" w:space="0"/>
              <w:right w:val="single" w:color="000000" w:sz="4" w:space="0"/>
            </w:tcBorders>
            <w:vAlign w:val="center"/>
          </w:tcPr>
          <w:p>
            <w:pPr>
              <w:widowControl/>
              <w:jc w:val="left"/>
              <w:rPr>
                <w:rFonts w:ascii="仿宋_GB2312" w:hAnsi="宋体" w:cs="宋体"/>
                <w:kern w:val="0"/>
                <w:sz w:val="18"/>
                <w:szCs w:val="18"/>
              </w:rPr>
            </w:pPr>
          </w:p>
        </w:tc>
        <w:tc>
          <w:tcPr>
            <w:tcW w:w="703" w:type="dxa"/>
            <w:vMerge w:val="continue"/>
            <w:tcBorders>
              <w:top w:val="nil"/>
              <w:left w:val="nil"/>
              <w:bottom w:val="single" w:color="000000" w:sz="4" w:space="0"/>
              <w:right w:val="single" w:color="000000" w:sz="4" w:space="0"/>
            </w:tcBorders>
            <w:vAlign w:val="center"/>
          </w:tcPr>
          <w:p>
            <w:pPr>
              <w:widowControl/>
              <w:jc w:val="left"/>
              <w:rPr>
                <w:rFonts w:ascii="仿宋_GB2312" w:hAnsi="宋体" w:cs="宋体"/>
                <w:kern w:val="0"/>
                <w:sz w:val="18"/>
                <w:szCs w:val="18"/>
              </w:rPr>
            </w:pPr>
          </w:p>
        </w:tc>
        <w:tc>
          <w:tcPr>
            <w:tcW w:w="540" w:type="dxa"/>
            <w:vMerge w:val="continue"/>
            <w:tcBorders>
              <w:top w:val="nil"/>
              <w:left w:val="nil"/>
              <w:bottom w:val="single" w:color="000000" w:sz="4" w:space="0"/>
              <w:right w:val="single" w:color="000000" w:sz="4" w:space="0"/>
            </w:tcBorders>
            <w:vAlign w:val="center"/>
          </w:tcPr>
          <w:p>
            <w:pPr>
              <w:widowControl/>
              <w:jc w:val="left"/>
              <w:rPr>
                <w:rFonts w:ascii="仿宋_GB2312" w:hAnsi="宋体" w:cs="宋体"/>
                <w:kern w:val="0"/>
                <w:sz w:val="18"/>
                <w:szCs w:val="18"/>
              </w:rPr>
            </w:pPr>
          </w:p>
        </w:tc>
        <w:tc>
          <w:tcPr>
            <w:tcW w:w="803" w:type="dxa"/>
            <w:tcBorders>
              <w:top w:val="nil"/>
              <w:left w:val="nil"/>
              <w:bottom w:val="single" w:color="000000" w:sz="4" w:space="0"/>
              <w:right w:val="single" w:color="000000" w:sz="4" w:space="0"/>
            </w:tcBorders>
            <w:vAlign w:val="center"/>
          </w:tcPr>
          <w:p>
            <w:pPr>
              <w:widowControl/>
              <w:spacing w:line="240" w:lineRule="exact"/>
              <w:jc w:val="center"/>
              <w:rPr>
                <w:rFonts w:ascii="仿宋_GB2312" w:hAnsi="宋体" w:cs="宋体"/>
                <w:kern w:val="0"/>
                <w:sz w:val="18"/>
                <w:szCs w:val="18"/>
              </w:rPr>
            </w:pPr>
            <w:r>
              <w:rPr>
                <w:rFonts w:ascii="仿宋_GB2312" w:hAnsi="仿宋_GB2312" w:cs="宋体"/>
                <w:kern w:val="0"/>
                <w:sz w:val="18"/>
                <w:szCs w:val="18"/>
              </w:rPr>
              <w:t>产出</w:t>
            </w:r>
          </w:p>
          <w:p>
            <w:pPr>
              <w:widowControl/>
              <w:spacing w:line="240" w:lineRule="exact"/>
              <w:jc w:val="center"/>
              <w:rPr>
                <w:rFonts w:ascii="仿宋_GB2312" w:hAnsi="宋体" w:cs="宋体"/>
                <w:kern w:val="0"/>
                <w:sz w:val="18"/>
                <w:szCs w:val="18"/>
              </w:rPr>
            </w:pPr>
            <w:r>
              <w:rPr>
                <w:rFonts w:ascii="仿宋_GB2312" w:hAnsi="仿宋_GB2312" w:cs="宋体"/>
                <w:kern w:val="0"/>
                <w:sz w:val="18"/>
                <w:szCs w:val="18"/>
              </w:rPr>
              <w:t>时效</w:t>
            </w:r>
          </w:p>
        </w:tc>
        <w:tc>
          <w:tcPr>
            <w:tcW w:w="550" w:type="dxa"/>
            <w:tcBorders>
              <w:top w:val="nil"/>
              <w:left w:val="nil"/>
              <w:bottom w:val="single" w:color="000000" w:sz="4" w:space="0"/>
              <w:right w:val="single" w:color="000000" w:sz="4" w:space="0"/>
            </w:tcBorders>
            <w:vAlign w:val="center"/>
          </w:tcPr>
          <w:p>
            <w:pPr>
              <w:widowControl/>
              <w:spacing w:line="240" w:lineRule="exact"/>
              <w:jc w:val="center"/>
              <w:rPr>
                <w:rFonts w:hint="default" w:ascii="仿宋_GB2312" w:hAnsi="宋体" w:eastAsia="宋体" w:cs="宋体"/>
                <w:kern w:val="0"/>
                <w:sz w:val="18"/>
                <w:szCs w:val="18"/>
                <w:lang w:val="en-US" w:eastAsia="zh-CN"/>
              </w:rPr>
            </w:pPr>
            <w:r>
              <w:rPr>
                <w:rFonts w:hint="eastAsia" w:ascii="仿宋_GB2312" w:hAnsi="仿宋_GB2312" w:cs="宋体"/>
                <w:kern w:val="0"/>
                <w:sz w:val="18"/>
                <w:szCs w:val="18"/>
                <w:lang w:val="en-US" w:eastAsia="zh-CN"/>
              </w:rPr>
              <w:t>10</w:t>
            </w:r>
          </w:p>
        </w:tc>
        <w:tc>
          <w:tcPr>
            <w:tcW w:w="2407" w:type="dxa"/>
            <w:tcBorders>
              <w:top w:val="nil"/>
              <w:left w:val="nil"/>
              <w:bottom w:val="single" w:color="000000" w:sz="4" w:space="0"/>
              <w:right w:val="single" w:color="000000" w:sz="4" w:space="0"/>
            </w:tcBorders>
            <w:vAlign w:val="center"/>
          </w:tcPr>
          <w:p>
            <w:pPr>
              <w:widowControl/>
              <w:spacing w:line="240" w:lineRule="exact"/>
              <w:jc w:val="left"/>
              <w:rPr>
                <w:rFonts w:ascii="仿宋_GB2312" w:hAnsi="宋体" w:cs="宋体"/>
                <w:kern w:val="0"/>
                <w:sz w:val="18"/>
                <w:szCs w:val="18"/>
              </w:rPr>
            </w:pPr>
            <w:r>
              <w:rPr>
                <w:rFonts w:ascii="仿宋_GB2312" w:hAnsi="仿宋_GB2312" w:cs="宋体"/>
                <w:kern w:val="0"/>
                <w:sz w:val="18"/>
                <w:szCs w:val="18"/>
              </w:rPr>
              <w:t>项目资金使用的预定目标是否如期完成，未完成的理由是否充分</w:t>
            </w:r>
          </w:p>
        </w:tc>
        <w:tc>
          <w:tcPr>
            <w:tcW w:w="2772" w:type="dxa"/>
            <w:tcBorders>
              <w:top w:val="nil"/>
              <w:left w:val="nil"/>
              <w:bottom w:val="single" w:color="000000" w:sz="4" w:space="0"/>
              <w:right w:val="single" w:color="000000" w:sz="4" w:space="0"/>
            </w:tcBorders>
            <w:vAlign w:val="center"/>
          </w:tcPr>
          <w:p>
            <w:pPr>
              <w:widowControl/>
              <w:spacing w:line="240" w:lineRule="exact"/>
              <w:jc w:val="left"/>
              <w:rPr>
                <w:rFonts w:ascii="仿宋_GB2312" w:hAnsi="宋体" w:cs="宋体"/>
                <w:kern w:val="0"/>
                <w:sz w:val="18"/>
                <w:szCs w:val="18"/>
              </w:rPr>
            </w:pPr>
            <w:r>
              <w:rPr>
                <w:rFonts w:ascii="仿宋_GB2312" w:hAnsi="仿宋_GB2312" w:cs="宋体"/>
                <w:kern w:val="0"/>
                <w:sz w:val="18"/>
                <w:szCs w:val="18"/>
              </w:rPr>
              <w:t>项目产出时效达到绩效目标得</w:t>
            </w:r>
            <w:r>
              <w:rPr>
                <w:rFonts w:hint="eastAsia" w:ascii="仿宋_GB2312" w:hAnsi="仿宋_GB2312" w:cs="宋体"/>
                <w:kern w:val="0"/>
                <w:sz w:val="18"/>
                <w:szCs w:val="18"/>
                <w:lang w:val="en-US" w:eastAsia="zh-CN"/>
              </w:rPr>
              <w:t>10</w:t>
            </w:r>
            <w:r>
              <w:rPr>
                <w:rFonts w:ascii="仿宋_GB2312" w:hAnsi="仿宋_GB2312" w:cs="宋体"/>
                <w:kern w:val="0"/>
                <w:sz w:val="18"/>
                <w:szCs w:val="18"/>
              </w:rPr>
              <w:t>分，未如期完成且无充分理由的扣</w:t>
            </w:r>
            <w:r>
              <w:rPr>
                <w:rFonts w:hint="eastAsia" w:ascii="仿宋_GB2312" w:hAnsi="仿宋_GB2312" w:cs="宋体"/>
                <w:kern w:val="0"/>
                <w:sz w:val="18"/>
                <w:szCs w:val="18"/>
                <w:lang w:val="en-US" w:eastAsia="zh-CN"/>
              </w:rPr>
              <w:t>5</w:t>
            </w:r>
            <w:r>
              <w:rPr>
                <w:rFonts w:ascii="仿宋_GB2312" w:hAnsi="仿宋_GB2312" w:cs="宋体"/>
                <w:kern w:val="0"/>
                <w:sz w:val="18"/>
                <w:szCs w:val="18"/>
              </w:rPr>
              <w:t>分。</w:t>
            </w:r>
          </w:p>
        </w:tc>
        <w:tc>
          <w:tcPr>
            <w:tcW w:w="803"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hint="default" w:ascii="仿宋_GB2312" w:hAnsi="宋体" w:eastAsia="宋体" w:cs="宋体"/>
                <w:kern w:val="0"/>
                <w:sz w:val="24"/>
                <w:szCs w:val="24"/>
                <w:lang w:val="en-US" w:eastAsia="zh-CN"/>
              </w:rPr>
            </w:pPr>
            <w:r>
              <w:rPr>
                <w:rFonts w:hint="eastAsia" w:ascii="仿宋_GB2312" w:hAnsi="仿宋_GB2312" w:cs="宋体"/>
                <w:kern w:val="0"/>
                <w:sz w:val="24"/>
                <w:szCs w:val="24"/>
                <w:lang w:val="en-US" w:eastAsia="zh-CN"/>
              </w:rPr>
              <w:t>10</w:t>
            </w:r>
          </w:p>
        </w:tc>
      </w:tr>
      <w:tr>
        <w:tblPrEx>
          <w:tblCellMar>
            <w:top w:w="0" w:type="dxa"/>
            <w:left w:w="108" w:type="dxa"/>
            <w:bottom w:w="0" w:type="dxa"/>
            <w:right w:w="108" w:type="dxa"/>
          </w:tblCellMar>
        </w:tblPrEx>
        <w:trPr>
          <w:trHeight w:val="1134" w:hRule="atLeast"/>
          <w:jc w:val="center"/>
        </w:trPr>
        <w:tc>
          <w:tcPr>
            <w:tcW w:w="702" w:type="dxa"/>
            <w:vMerge w:val="continue"/>
            <w:tcBorders>
              <w:top w:val="nil"/>
              <w:left w:val="single" w:color="000000" w:sz="4" w:space="0"/>
              <w:bottom w:val="single" w:color="000000" w:sz="4" w:space="0"/>
              <w:right w:val="single" w:color="000000" w:sz="4" w:space="0"/>
            </w:tcBorders>
            <w:vAlign w:val="center"/>
          </w:tcPr>
          <w:p>
            <w:pPr>
              <w:widowControl/>
              <w:jc w:val="left"/>
              <w:rPr>
                <w:rFonts w:ascii="仿宋_GB2312" w:hAnsi="宋体" w:cs="宋体"/>
                <w:kern w:val="0"/>
                <w:sz w:val="18"/>
                <w:szCs w:val="18"/>
              </w:rPr>
            </w:pPr>
          </w:p>
        </w:tc>
        <w:tc>
          <w:tcPr>
            <w:tcW w:w="540" w:type="dxa"/>
            <w:vMerge w:val="continue"/>
            <w:tcBorders>
              <w:top w:val="nil"/>
              <w:left w:val="nil"/>
              <w:bottom w:val="single" w:color="000000" w:sz="4" w:space="0"/>
              <w:right w:val="single" w:color="000000" w:sz="4" w:space="0"/>
            </w:tcBorders>
            <w:vAlign w:val="center"/>
          </w:tcPr>
          <w:p>
            <w:pPr>
              <w:widowControl/>
              <w:jc w:val="left"/>
              <w:rPr>
                <w:rFonts w:ascii="仿宋_GB2312" w:hAnsi="宋体" w:cs="宋体"/>
                <w:kern w:val="0"/>
                <w:sz w:val="18"/>
                <w:szCs w:val="18"/>
              </w:rPr>
            </w:pPr>
          </w:p>
        </w:tc>
        <w:tc>
          <w:tcPr>
            <w:tcW w:w="703" w:type="dxa"/>
            <w:vMerge w:val="continue"/>
            <w:tcBorders>
              <w:top w:val="nil"/>
              <w:left w:val="nil"/>
              <w:bottom w:val="single" w:color="000000" w:sz="4" w:space="0"/>
              <w:right w:val="single" w:color="000000" w:sz="4" w:space="0"/>
            </w:tcBorders>
            <w:vAlign w:val="center"/>
          </w:tcPr>
          <w:p>
            <w:pPr>
              <w:widowControl/>
              <w:jc w:val="left"/>
              <w:rPr>
                <w:rFonts w:ascii="仿宋_GB2312" w:hAnsi="宋体" w:cs="宋体"/>
                <w:kern w:val="0"/>
                <w:sz w:val="18"/>
                <w:szCs w:val="18"/>
              </w:rPr>
            </w:pPr>
          </w:p>
        </w:tc>
        <w:tc>
          <w:tcPr>
            <w:tcW w:w="540" w:type="dxa"/>
            <w:vMerge w:val="continue"/>
            <w:tcBorders>
              <w:top w:val="nil"/>
              <w:left w:val="nil"/>
              <w:bottom w:val="single" w:color="000000" w:sz="4" w:space="0"/>
              <w:right w:val="single" w:color="000000" w:sz="4" w:space="0"/>
            </w:tcBorders>
            <w:vAlign w:val="center"/>
          </w:tcPr>
          <w:p>
            <w:pPr>
              <w:widowControl/>
              <w:jc w:val="left"/>
              <w:rPr>
                <w:rFonts w:ascii="仿宋_GB2312" w:hAnsi="宋体" w:cs="宋体"/>
                <w:kern w:val="0"/>
                <w:sz w:val="18"/>
                <w:szCs w:val="18"/>
              </w:rPr>
            </w:pPr>
          </w:p>
        </w:tc>
        <w:tc>
          <w:tcPr>
            <w:tcW w:w="803" w:type="dxa"/>
            <w:tcBorders>
              <w:top w:val="nil"/>
              <w:left w:val="nil"/>
              <w:bottom w:val="single" w:color="000000" w:sz="4" w:space="0"/>
              <w:right w:val="single" w:color="000000" w:sz="4" w:space="0"/>
            </w:tcBorders>
            <w:vAlign w:val="center"/>
          </w:tcPr>
          <w:p>
            <w:pPr>
              <w:widowControl/>
              <w:spacing w:line="240" w:lineRule="exact"/>
              <w:jc w:val="center"/>
              <w:rPr>
                <w:rFonts w:ascii="仿宋_GB2312" w:hAnsi="宋体" w:cs="宋体"/>
                <w:kern w:val="0"/>
                <w:sz w:val="18"/>
                <w:szCs w:val="18"/>
              </w:rPr>
            </w:pPr>
            <w:r>
              <w:rPr>
                <w:rFonts w:ascii="仿宋_GB2312" w:hAnsi="仿宋_GB2312" w:cs="宋体"/>
                <w:kern w:val="0"/>
                <w:sz w:val="18"/>
                <w:szCs w:val="18"/>
              </w:rPr>
              <w:t>产出</w:t>
            </w:r>
          </w:p>
          <w:p>
            <w:pPr>
              <w:widowControl/>
              <w:spacing w:line="240" w:lineRule="exact"/>
              <w:jc w:val="center"/>
              <w:rPr>
                <w:rFonts w:ascii="仿宋_GB2312" w:hAnsi="宋体" w:cs="宋体"/>
                <w:kern w:val="0"/>
                <w:sz w:val="18"/>
                <w:szCs w:val="18"/>
              </w:rPr>
            </w:pPr>
            <w:r>
              <w:rPr>
                <w:rFonts w:ascii="仿宋_GB2312" w:hAnsi="仿宋_GB2312" w:cs="宋体"/>
                <w:kern w:val="0"/>
                <w:sz w:val="18"/>
                <w:szCs w:val="18"/>
              </w:rPr>
              <w:t>成本</w:t>
            </w:r>
          </w:p>
        </w:tc>
        <w:tc>
          <w:tcPr>
            <w:tcW w:w="550" w:type="dxa"/>
            <w:tcBorders>
              <w:top w:val="nil"/>
              <w:left w:val="nil"/>
              <w:bottom w:val="single" w:color="000000" w:sz="4" w:space="0"/>
              <w:right w:val="single" w:color="000000" w:sz="4" w:space="0"/>
            </w:tcBorders>
            <w:vAlign w:val="center"/>
          </w:tcPr>
          <w:p>
            <w:pPr>
              <w:widowControl/>
              <w:spacing w:line="240" w:lineRule="exact"/>
              <w:jc w:val="center"/>
              <w:rPr>
                <w:rFonts w:hint="default" w:ascii="仿宋_GB2312" w:hAnsi="宋体" w:eastAsia="宋体" w:cs="宋体"/>
                <w:kern w:val="0"/>
                <w:sz w:val="18"/>
                <w:szCs w:val="18"/>
                <w:lang w:val="en-US" w:eastAsia="zh-CN"/>
              </w:rPr>
            </w:pPr>
            <w:r>
              <w:rPr>
                <w:rFonts w:hint="eastAsia" w:ascii="仿宋_GB2312" w:hAnsi="仿宋_GB2312" w:cs="宋体"/>
                <w:kern w:val="0"/>
                <w:sz w:val="18"/>
                <w:szCs w:val="18"/>
                <w:lang w:val="en-US" w:eastAsia="zh-CN"/>
              </w:rPr>
              <w:t>20</w:t>
            </w:r>
          </w:p>
        </w:tc>
        <w:tc>
          <w:tcPr>
            <w:tcW w:w="2407" w:type="dxa"/>
            <w:tcBorders>
              <w:top w:val="nil"/>
              <w:left w:val="nil"/>
              <w:bottom w:val="single" w:color="000000" w:sz="4" w:space="0"/>
              <w:right w:val="single" w:color="000000" w:sz="4" w:space="0"/>
            </w:tcBorders>
            <w:vAlign w:val="center"/>
          </w:tcPr>
          <w:p>
            <w:pPr>
              <w:widowControl/>
              <w:spacing w:line="240" w:lineRule="exact"/>
              <w:jc w:val="left"/>
              <w:rPr>
                <w:rFonts w:ascii="仿宋_GB2312" w:hAnsi="宋体" w:cs="宋体"/>
                <w:kern w:val="0"/>
                <w:sz w:val="18"/>
                <w:szCs w:val="18"/>
              </w:rPr>
            </w:pPr>
            <w:r>
              <w:rPr>
                <w:rFonts w:ascii="仿宋_GB2312" w:hAnsi="仿宋_GB2312" w:cs="宋体"/>
                <w:kern w:val="0"/>
                <w:sz w:val="18"/>
                <w:szCs w:val="18"/>
              </w:rPr>
              <w:t>项目产出成本是否按绩效目标控制</w:t>
            </w:r>
          </w:p>
        </w:tc>
        <w:tc>
          <w:tcPr>
            <w:tcW w:w="2772" w:type="dxa"/>
            <w:tcBorders>
              <w:top w:val="nil"/>
              <w:left w:val="nil"/>
              <w:bottom w:val="single" w:color="000000" w:sz="4" w:space="0"/>
              <w:right w:val="single" w:color="000000" w:sz="4" w:space="0"/>
            </w:tcBorders>
            <w:vAlign w:val="center"/>
          </w:tcPr>
          <w:p>
            <w:pPr>
              <w:widowControl/>
              <w:spacing w:line="240" w:lineRule="exact"/>
              <w:jc w:val="left"/>
              <w:rPr>
                <w:rFonts w:ascii="仿宋_GB2312" w:hAnsi="宋体" w:cs="宋体"/>
                <w:kern w:val="0"/>
                <w:sz w:val="18"/>
                <w:szCs w:val="18"/>
              </w:rPr>
            </w:pPr>
            <w:r>
              <w:rPr>
                <w:rFonts w:ascii="仿宋_GB2312" w:hAnsi="仿宋_GB2312" w:cs="宋体"/>
                <w:kern w:val="0"/>
                <w:sz w:val="18"/>
                <w:szCs w:val="18"/>
              </w:rPr>
              <w:t>项目产出成本按绩效目标控制得</w:t>
            </w:r>
            <w:r>
              <w:rPr>
                <w:rFonts w:hint="eastAsia" w:ascii="仿宋_GB2312" w:hAnsi="仿宋_GB2312" w:cs="宋体"/>
                <w:kern w:val="0"/>
                <w:sz w:val="18"/>
                <w:szCs w:val="18"/>
                <w:lang w:val="en-US" w:eastAsia="zh-CN"/>
              </w:rPr>
              <w:t>20</w:t>
            </w:r>
            <w:r>
              <w:rPr>
                <w:rFonts w:ascii="仿宋_GB2312" w:hAnsi="仿宋_GB2312" w:cs="宋体"/>
                <w:kern w:val="0"/>
                <w:sz w:val="18"/>
                <w:szCs w:val="18"/>
              </w:rPr>
              <w:t>分，未完成的，按超支比例扣减。</w:t>
            </w:r>
          </w:p>
        </w:tc>
        <w:tc>
          <w:tcPr>
            <w:tcW w:w="803"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hint="default" w:ascii="仿宋_GB2312" w:hAnsi="宋体" w:eastAsia="宋体" w:cs="宋体"/>
                <w:kern w:val="0"/>
                <w:sz w:val="24"/>
                <w:szCs w:val="24"/>
                <w:lang w:val="en-US" w:eastAsia="zh-CN"/>
              </w:rPr>
            </w:pPr>
            <w:r>
              <w:rPr>
                <w:rFonts w:hint="eastAsia" w:ascii="仿宋_GB2312" w:hAnsi="仿宋_GB2312" w:cs="宋体"/>
                <w:kern w:val="0"/>
                <w:sz w:val="24"/>
                <w:szCs w:val="24"/>
                <w:lang w:val="en-US" w:eastAsia="zh-CN"/>
              </w:rPr>
              <w:t>20</w:t>
            </w:r>
          </w:p>
        </w:tc>
      </w:tr>
      <w:tr>
        <w:tblPrEx>
          <w:tblCellMar>
            <w:top w:w="0" w:type="dxa"/>
            <w:left w:w="108" w:type="dxa"/>
            <w:bottom w:w="0" w:type="dxa"/>
            <w:right w:w="108" w:type="dxa"/>
          </w:tblCellMar>
        </w:tblPrEx>
        <w:trPr>
          <w:trHeight w:val="1134" w:hRule="atLeast"/>
          <w:jc w:val="center"/>
        </w:trPr>
        <w:tc>
          <w:tcPr>
            <w:tcW w:w="702" w:type="dxa"/>
            <w:vMerge w:val="continue"/>
            <w:tcBorders>
              <w:top w:val="nil"/>
              <w:left w:val="single" w:color="000000" w:sz="4" w:space="0"/>
              <w:bottom w:val="single" w:color="000000" w:sz="4" w:space="0"/>
              <w:right w:val="single" w:color="000000" w:sz="4" w:space="0"/>
            </w:tcBorders>
            <w:vAlign w:val="center"/>
          </w:tcPr>
          <w:p>
            <w:pPr>
              <w:widowControl/>
              <w:jc w:val="left"/>
              <w:rPr>
                <w:rFonts w:ascii="仿宋_GB2312" w:hAnsi="宋体" w:cs="宋体"/>
                <w:kern w:val="0"/>
                <w:sz w:val="18"/>
                <w:szCs w:val="18"/>
              </w:rPr>
            </w:pPr>
          </w:p>
        </w:tc>
        <w:tc>
          <w:tcPr>
            <w:tcW w:w="540" w:type="dxa"/>
            <w:vMerge w:val="continue"/>
            <w:tcBorders>
              <w:top w:val="nil"/>
              <w:left w:val="nil"/>
              <w:bottom w:val="single" w:color="000000" w:sz="4" w:space="0"/>
              <w:right w:val="single" w:color="000000" w:sz="4" w:space="0"/>
            </w:tcBorders>
            <w:vAlign w:val="center"/>
          </w:tcPr>
          <w:p>
            <w:pPr>
              <w:widowControl/>
              <w:jc w:val="left"/>
              <w:rPr>
                <w:rFonts w:ascii="仿宋_GB2312" w:hAnsi="宋体" w:cs="宋体"/>
                <w:kern w:val="0"/>
                <w:sz w:val="18"/>
                <w:szCs w:val="18"/>
              </w:rPr>
            </w:pPr>
          </w:p>
        </w:tc>
        <w:tc>
          <w:tcPr>
            <w:tcW w:w="703" w:type="dxa"/>
            <w:vMerge w:val="restart"/>
            <w:tcBorders>
              <w:top w:val="nil"/>
              <w:left w:val="nil"/>
              <w:bottom w:val="single" w:color="000000" w:sz="4" w:space="0"/>
              <w:right w:val="single" w:color="000000" w:sz="4" w:space="0"/>
            </w:tcBorders>
            <w:vAlign w:val="center"/>
          </w:tcPr>
          <w:p>
            <w:pPr>
              <w:widowControl/>
              <w:spacing w:line="240" w:lineRule="exact"/>
              <w:jc w:val="center"/>
              <w:rPr>
                <w:rFonts w:ascii="仿宋_GB2312" w:hAnsi="宋体" w:cs="宋体"/>
                <w:kern w:val="0"/>
                <w:sz w:val="18"/>
                <w:szCs w:val="18"/>
              </w:rPr>
            </w:pPr>
            <w:r>
              <w:rPr>
                <w:rFonts w:ascii="仿宋_GB2312" w:hAnsi="仿宋_GB2312" w:cs="宋体"/>
                <w:kern w:val="0"/>
                <w:sz w:val="18"/>
                <w:szCs w:val="18"/>
              </w:rPr>
              <w:t>项目效果</w:t>
            </w:r>
          </w:p>
        </w:tc>
        <w:tc>
          <w:tcPr>
            <w:tcW w:w="540" w:type="dxa"/>
            <w:vMerge w:val="restart"/>
            <w:tcBorders>
              <w:top w:val="nil"/>
              <w:left w:val="nil"/>
              <w:bottom w:val="single" w:color="000000" w:sz="4" w:space="0"/>
              <w:right w:val="single" w:color="000000" w:sz="4" w:space="0"/>
            </w:tcBorders>
            <w:vAlign w:val="center"/>
          </w:tcPr>
          <w:p>
            <w:pPr>
              <w:widowControl/>
              <w:spacing w:line="240" w:lineRule="exact"/>
              <w:jc w:val="center"/>
              <w:rPr>
                <w:rFonts w:ascii="仿宋_GB2312" w:hAnsi="宋体" w:cs="宋体"/>
                <w:kern w:val="0"/>
                <w:sz w:val="18"/>
                <w:szCs w:val="18"/>
              </w:rPr>
            </w:pPr>
            <w:r>
              <w:rPr>
                <w:rFonts w:ascii="仿宋_GB2312" w:hAnsi="仿宋_GB2312" w:cs="宋体"/>
                <w:kern w:val="0"/>
                <w:sz w:val="18"/>
                <w:szCs w:val="18"/>
              </w:rPr>
              <w:t>40</w:t>
            </w:r>
          </w:p>
        </w:tc>
        <w:tc>
          <w:tcPr>
            <w:tcW w:w="803" w:type="dxa"/>
            <w:tcBorders>
              <w:top w:val="nil"/>
              <w:left w:val="nil"/>
              <w:bottom w:val="single" w:color="000000" w:sz="4" w:space="0"/>
              <w:right w:val="single" w:color="000000" w:sz="4" w:space="0"/>
            </w:tcBorders>
            <w:vAlign w:val="center"/>
          </w:tcPr>
          <w:p>
            <w:pPr>
              <w:widowControl/>
              <w:spacing w:line="240" w:lineRule="exact"/>
              <w:jc w:val="center"/>
              <w:rPr>
                <w:rFonts w:ascii="仿宋_GB2312" w:hAnsi="宋体" w:cs="宋体"/>
                <w:kern w:val="0"/>
                <w:sz w:val="18"/>
                <w:szCs w:val="18"/>
              </w:rPr>
            </w:pPr>
            <w:r>
              <w:rPr>
                <w:rFonts w:ascii="仿宋_GB2312" w:hAnsi="仿宋_GB2312" w:cs="宋体"/>
                <w:kern w:val="0"/>
                <w:sz w:val="18"/>
                <w:szCs w:val="18"/>
              </w:rPr>
              <w:t>社会</w:t>
            </w:r>
          </w:p>
          <w:p>
            <w:pPr>
              <w:widowControl/>
              <w:spacing w:line="240" w:lineRule="exact"/>
              <w:jc w:val="center"/>
              <w:rPr>
                <w:rFonts w:ascii="仿宋_GB2312" w:hAnsi="宋体" w:cs="宋体"/>
                <w:kern w:val="0"/>
                <w:sz w:val="18"/>
                <w:szCs w:val="18"/>
              </w:rPr>
            </w:pPr>
            <w:r>
              <w:rPr>
                <w:rFonts w:ascii="仿宋_GB2312" w:hAnsi="仿宋_GB2312" w:cs="宋体"/>
                <w:kern w:val="0"/>
                <w:sz w:val="18"/>
                <w:szCs w:val="18"/>
              </w:rPr>
              <w:t>效益</w:t>
            </w:r>
          </w:p>
        </w:tc>
        <w:tc>
          <w:tcPr>
            <w:tcW w:w="550" w:type="dxa"/>
            <w:tcBorders>
              <w:top w:val="nil"/>
              <w:left w:val="nil"/>
              <w:bottom w:val="single" w:color="000000" w:sz="4" w:space="0"/>
              <w:right w:val="single" w:color="000000" w:sz="4" w:space="0"/>
            </w:tcBorders>
            <w:vAlign w:val="center"/>
          </w:tcPr>
          <w:p>
            <w:pPr>
              <w:widowControl/>
              <w:spacing w:line="240" w:lineRule="exact"/>
              <w:jc w:val="center"/>
              <w:rPr>
                <w:rFonts w:hint="default" w:ascii="仿宋_GB2312" w:hAnsi="宋体" w:eastAsia="宋体" w:cs="宋体"/>
                <w:kern w:val="0"/>
                <w:sz w:val="18"/>
                <w:szCs w:val="18"/>
                <w:lang w:val="en-US" w:eastAsia="zh-CN"/>
              </w:rPr>
            </w:pPr>
            <w:r>
              <w:rPr>
                <w:rFonts w:hint="eastAsia" w:ascii="仿宋_GB2312" w:hAnsi="仿宋_GB2312" w:cs="宋体"/>
                <w:kern w:val="0"/>
                <w:sz w:val="18"/>
                <w:szCs w:val="18"/>
                <w:lang w:val="en-US" w:eastAsia="zh-CN"/>
              </w:rPr>
              <w:t>15</w:t>
            </w:r>
          </w:p>
        </w:tc>
        <w:tc>
          <w:tcPr>
            <w:tcW w:w="2407" w:type="dxa"/>
            <w:tcBorders>
              <w:top w:val="nil"/>
              <w:left w:val="nil"/>
              <w:bottom w:val="single" w:color="000000" w:sz="4" w:space="0"/>
              <w:right w:val="single" w:color="000000" w:sz="4" w:space="0"/>
            </w:tcBorders>
            <w:vAlign w:val="center"/>
          </w:tcPr>
          <w:p>
            <w:pPr>
              <w:widowControl/>
              <w:spacing w:line="240" w:lineRule="exact"/>
              <w:jc w:val="left"/>
              <w:rPr>
                <w:rFonts w:ascii="仿宋_GB2312" w:hAnsi="宋体" w:cs="宋体"/>
                <w:kern w:val="0"/>
                <w:sz w:val="18"/>
                <w:szCs w:val="18"/>
              </w:rPr>
            </w:pPr>
            <w:r>
              <w:rPr>
                <w:rFonts w:ascii="仿宋_GB2312" w:hAnsi="仿宋_GB2312" w:cs="宋体"/>
                <w:kern w:val="0"/>
                <w:sz w:val="18"/>
                <w:szCs w:val="18"/>
              </w:rPr>
              <w:t>项目实施对</w:t>
            </w:r>
            <w:r>
              <w:rPr>
                <w:rFonts w:hint="eastAsia" w:ascii="仿宋_GB2312" w:hAnsi="仿宋_GB2312" w:cs="宋体"/>
                <w:kern w:val="0"/>
                <w:sz w:val="18"/>
                <w:szCs w:val="18"/>
                <w:lang w:eastAsia="zh-CN"/>
              </w:rPr>
              <w:t>社会</w:t>
            </w:r>
            <w:r>
              <w:rPr>
                <w:rFonts w:ascii="仿宋_GB2312" w:hAnsi="仿宋_GB2312" w:cs="宋体"/>
                <w:kern w:val="0"/>
                <w:sz w:val="18"/>
                <w:szCs w:val="18"/>
              </w:rPr>
              <w:t>发展所带来的直接或间接影响情况。</w:t>
            </w:r>
          </w:p>
        </w:tc>
        <w:tc>
          <w:tcPr>
            <w:tcW w:w="2772" w:type="dxa"/>
            <w:tcBorders>
              <w:top w:val="nil"/>
              <w:left w:val="nil"/>
              <w:bottom w:val="single" w:color="000000" w:sz="4" w:space="0"/>
              <w:right w:val="single" w:color="000000" w:sz="4" w:space="0"/>
            </w:tcBorders>
            <w:vAlign w:val="center"/>
          </w:tcPr>
          <w:p>
            <w:pPr>
              <w:widowControl/>
              <w:spacing w:line="240" w:lineRule="exact"/>
              <w:jc w:val="left"/>
              <w:rPr>
                <w:rFonts w:ascii="仿宋_GB2312" w:hAnsi="宋体" w:cs="宋体"/>
                <w:kern w:val="0"/>
                <w:sz w:val="18"/>
                <w:szCs w:val="18"/>
              </w:rPr>
            </w:pPr>
            <w:r>
              <w:rPr>
                <w:rFonts w:ascii="仿宋_GB2312" w:hAnsi="仿宋_GB2312" w:cs="宋体"/>
                <w:kern w:val="0"/>
                <w:sz w:val="18"/>
                <w:szCs w:val="18"/>
              </w:rPr>
              <w:t>完成绩效目标设定的</w:t>
            </w:r>
            <w:r>
              <w:rPr>
                <w:rFonts w:hint="eastAsia" w:ascii="仿宋_GB2312" w:hAnsi="仿宋_GB2312" w:cs="宋体"/>
                <w:kern w:val="0"/>
                <w:sz w:val="18"/>
                <w:szCs w:val="18"/>
                <w:lang w:eastAsia="zh-CN"/>
              </w:rPr>
              <w:t>社会</w:t>
            </w:r>
            <w:r>
              <w:rPr>
                <w:rFonts w:ascii="仿宋_GB2312" w:hAnsi="仿宋_GB2312" w:cs="宋体"/>
                <w:kern w:val="0"/>
                <w:sz w:val="18"/>
                <w:szCs w:val="18"/>
              </w:rPr>
              <w:t>效益得</w:t>
            </w:r>
            <w:r>
              <w:rPr>
                <w:rFonts w:hint="eastAsia" w:ascii="仿宋_GB2312" w:hAnsi="仿宋_GB2312" w:cs="宋体"/>
                <w:kern w:val="0"/>
                <w:sz w:val="18"/>
                <w:szCs w:val="18"/>
                <w:lang w:val="en-US" w:eastAsia="zh-CN"/>
              </w:rPr>
              <w:t>15</w:t>
            </w:r>
            <w:r>
              <w:rPr>
                <w:rFonts w:ascii="仿宋_GB2312" w:hAnsi="仿宋_GB2312" w:cs="宋体"/>
                <w:kern w:val="0"/>
                <w:sz w:val="18"/>
                <w:szCs w:val="18"/>
              </w:rPr>
              <w:t>分，未完成的，按完成情况酌情扣分。</w:t>
            </w:r>
          </w:p>
        </w:tc>
        <w:tc>
          <w:tcPr>
            <w:tcW w:w="803"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hint="default" w:ascii="仿宋_GB2312" w:hAnsi="宋体" w:eastAsia="宋体" w:cs="宋体"/>
                <w:kern w:val="0"/>
                <w:sz w:val="24"/>
                <w:szCs w:val="24"/>
                <w:lang w:val="en-US" w:eastAsia="zh-CN"/>
              </w:rPr>
            </w:pPr>
            <w:r>
              <w:rPr>
                <w:rFonts w:hint="eastAsia" w:ascii="仿宋_GB2312" w:hAnsi="仿宋_GB2312" w:cs="宋体"/>
                <w:kern w:val="0"/>
                <w:sz w:val="24"/>
                <w:szCs w:val="24"/>
                <w:lang w:val="en-US" w:eastAsia="zh-CN"/>
              </w:rPr>
              <w:t>15</w:t>
            </w:r>
          </w:p>
        </w:tc>
      </w:tr>
      <w:tr>
        <w:tblPrEx>
          <w:tblCellMar>
            <w:top w:w="0" w:type="dxa"/>
            <w:left w:w="108" w:type="dxa"/>
            <w:bottom w:w="0" w:type="dxa"/>
            <w:right w:w="108" w:type="dxa"/>
          </w:tblCellMar>
        </w:tblPrEx>
        <w:trPr>
          <w:trHeight w:val="1134" w:hRule="atLeast"/>
          <w:jc w:val="center"/>
        </w:trPr>
        <w:tc>
          <w:tcPr>
            <w:tcW w:w="702" w:type="dxa"/>
            <w:vMerge w:val="continue"/>
            <w:tcBorders>
              <w:top w:val="nil"/>
              <w:left w:val="single" w:color="000000" w:sz="4" w:space="0"/>
              <w:bottom w:val="single" w:color="000000" w:sz="4" w:space="0"/>
              <w:right w:val="single" w:color="000000" w:sz="4" w:space="0"/>
            </w:tcBorders>
            <w:vAlign w:val="center"/>
          </w:tcPr>
          <w:p>
            <w:pPr>
              <w:widowControl/>
              <w:jc w:val="left"/>
              <w:rPr>
                <w:rFonts w:ascii="仿宋_GB2312" w:hAnsi="宋体" w:cs="宋体"/>
                <w:kern w:val="0"/>
                <w:sz w:val="18"/>
                <w:szCs w:val="18"/>
              </w:rPr>
            </w:pPr>
          </w:p>
        </w:tc>
        <w:tc>
          <w:tcPr>
            <w:tcW w:w="540" w:type="dxa"/>
            <w:vMerge w:val="continue"/>
            <w:tcBorders>
              <w:top w:val="nil"/>
              <w:left w:val="nil"/>
              <w:bottom w:val="single" w:color="000000" w:sz="4" w:space="0"/>
              <w:right w:val="single" w:color="000000" w:sz="4" w:space="0"/>
            </w:tcBorders>
            <w:vAlign w:val="center"/>
          </w:tcPr>
          <w:p>
            <w:pPr>
              <w:widowControl/>
              <w:jc w:val="left"/>
              <w:rPr>
                <w:rFonts w:ascii="仿宋_GB2312" w:hAnsi="宋体" w:cs="宋体"/>
                <w:kern w:val="0"/>
                <w:sz w:val="18"/>
                <w:szCs w:val="18"/>
              </w:rPr>
            </w:pPr>
          </w:p>
        </w:tc>
        <w:tc>
          <w:tcPr>
            <w:tcW w:w="703" w:type="dxa"/>
            <w:vMerge w:val="continue"/>
            <w:tcBorders>
              <w:top w:val="nil"/>
              <w:left w:val="nil"/>
              <w:bottom w:val="single" w:color="000000" w:sz="4" w:space="0"/>
              <w:right w:val="single" w:color="000000" w:sz="4" w:space="0"/>
            </w:tcBorders>
            <w:vAlign w:val="center"/>
          </w:tcPr>
          <w:p>
            <w:pPr>
              <w:widowControl/>
              <w:jc w:val="left"/>
              <w:rPr>
                <w:rFonts w:ascii="仿宋_GB2312" w:hAnsi="宋体" w:cs="宋体"/>
                <w:kern w:val="0"/>
                <w:sz w:val="18"/>
                <w:szCs w:val="18"/>
              </w:rPr>
            </w:pPr>
          </w:p>
        </w:tc>
        <w:tc>
          <w:tcPr>
            <w:tcW w:w="540" w:type="dxa"/>
            <w:vMerge w:val="continue"/>
            <w:tcBorders>
              <w:top w:val="nil"/>
              <w:left w:val="nil"/>
              <w:bottom w:val="single" w:color="000000" w:sz="4" w:space="0"/>
              <w:right w:val="single" w:color="000000" w:sz="4" w:space="0"/>
            </w:tcBorders>
            <w:vAlign w:val="center"/>
          </w:tcPr>
          <w:p>
            <w:pPr>
              <w:widowControl/>
              <w:jc w:val="left"/>
              <w:rPr>
                <w:rFonts w:ascii="仿宋_GB2312" w:hAnsi="宋体" w:cs="宋体"/>
                <w:kern w:val="0"/>
                <w:sz w:val="18"/>
                <w:szCs w:val="18"/>
              </w:rPr>
            </w:pPr>
          </w:p>
        </w:tc>
        <w:tc>
          <w:tcPr>
            <w:tcW w:w="803" w:type="dxa"/>
            <w:tcBorders>
              <w:top w:val="nil"/>
              <w:left w:val="nil"/>
              <w:bottom w:val="single" w:color="000000" w:sz="4" w:space="0"/>
              <w:right w:val="single" w:color="000000" w:sz="4" w:space="0"/>
            </w:tcBorders>
            <w:vAlign w:val="center"/>
          </w:tcPr>
          <w:p>
            <w:pPr>
              <w:widowControl/>
              <w:spacing w:line="240" w:lineRule="exact"/>
              <w:jc w:val="center"/>
              <w:rPr>
                <w:rFonts w:ascii="仿宋_GB2312" w:hAnsi="宋体" w:cs="宋体"/>
                <w:kern w:val="0"/>
                <w:sz w:val="18"/>
                <w:szCs w:val="18"/>
              </w:rPr>
            </w:pPr>
            <w:r>
              <w:rPr>
                <w:rFonts w:ascii="仿宋_GB2312" w:hAnsi="仿宋_GB2312" w:cs="宋体"/>
                <w:kern w:val="0"/>
                <w:sz w:val="18"/>
                <w:szCs w:val="18"/>
              </w:rPr>
              <w:t>可持续</w:t>
            </w:r>
          </w:p>
          <w:p>
            <w:pPr>
              <w:widowControl/>
              <w:spacing w:line="240" w:lineRule="exact"/>
              <w:jc w:val="center"/>
              <w:rPr>
                <w:rFonts w:ascii="仿宋_GB2312" w:hAnsi="宋体" w:cs="宋体"/>
                <w:kern w:val="0"/>
                <w:sz w:val="18"/>
                <w:szCs w:val="18"/>
              </w:rPr>
            </w:pPr>
            <w:r>
              <w:rPr>
                <w:rFonts w:ascii="仿宋_GB2312" w:hAnsi="仿宋_GB2312" w:cs="宋体"/>
                <w:kern w:val="0"/>
                <w:sz w:val="18"/>
                <w:szCs w:val="18"/>
              </w:rPr>
              <w:t>影响</w:t>
            </w:r>
          </w:p>
        </w:tc>
        <w:tc>
          <w:tcPr>
            <w:tcW w:w="550" w:type="dxa"/>
            <w:tcBorders>
              <w:top w:val="nil"/>
              <w:left w:val="nil"/>
              <w:bottom w:val="single" w:color="000000" w:sz="4" w:space="0"/>
              <w:right w:val="single" w:color="000000" w:sz="4" w:space="0"/>
            </w:tcBorders>
            <w:vAlign w:val="center"/>
          </w:tcPr>
          <w:p>
            <w:pPr>
              <w:widowControl/>
              <w:spacing w:line="240" w:lineRule="exact"/>
              <w:jc w:val="center"/>
              <w:rPr>
                <w:rFonts w:hint="default" w:ascii="仿宋_GB2312" w:hAnsi="宋体" w:eastAsia="宋体" w:cs="宋体"/>
                <w:kern w:val="0"/>
                <w:sz w:val="18"/>
                <w:szCs w:val="18"/>
                <w:lang w:val="en-US" w:eastAsia="zh-CN"/>
              </w:rPr>
            </w:pPr>
            <w:r>
              <w:rPr>
                <w:rFonts w:hint="eastAsia" w:ascii="仿宋_GB2312" w:hAnsi="仿宋_GB2312" w:cs="宋体"/>
                <w:kern w:val="0"/>
                <w:sz w:val="18"/>
                <w:szCs w:val="18"/>
                <w:lang w:val="en-US" w:eastAsia="zh-CN"/>
              </w:rPr>
              <w:t>15</w:t>
            </w:r>
          </w:p>
        </w:tc>
        <w:tc>
          <w:tcPr>
            <w:tcW w:w="2407" w:type="dxa"/>
            <w:tcBorders>
              <w:top w:val="nil"/>
              <w:left w:val="nil"/>
              <w:bottom w:val="single" w:color="000000" w:sz="4" w:space="0"/>
              <w:right w:val="single" w:color="000000" w:sz="4" w:space="0"/>
            </w:tcBorders>
            <w:vAlign w:val="center"/>
          </w:tcPr>
          <w:p>
            <w:pPr>
              <w:widowControl/>
              <w:spacing w:line="240" w:lineRule="exact"/>
              <w:jc w:val="left"/>
              <w:rPr>
                <w:rFonts w:ascii="仿宋_GB2312" w:hAnsi="宋体" w:cs="宋体"/>
                <w:kern w:val="0"/>
                <w:sz w:val="18"/>
                <w:szCs w:val="18"/>
              </w:rPr>
            </w:pPr>
            <w:r>
              <w:rPr>
                <w:rFonts w:ascii="仿宋_GB2312" w:hAnsi="仿宋_GB2312" w:cs="宋体"/>
                <w:kern w:val="0"/>
                <w:sz w:val="18"/>
                <w:szCs w:val="18"/>
              </w:rPr>
              <w:t>项目后续运行及成效发挥的可持续影响情况。</w:t>
            </w:r>
          </w:p>
        </w:tc>
        <w:tc>
          <w:tcPr>
            <w:tcW w:w="2772" w:type="dxa"/>
            <w:tcBorders>
              <w:top w:val="nil"/>
              <w:left w:val="nil"/>
              <w:bottom w:val="single" w:color="000000" w:sz="4" w:space="0"/>
              <w:right w:val="single" w:color="000000" w:sz="4" w:space="0"/>
            </w:tcBorders>
            <w:vAlign w:val="center"/>
          </w:tcPr>
          <w:p>
            <w:pPr>
              <w:widowControl/>
              <w:spacing w:line="240" w:lineRule="exact"/>
              <w:jc w:val="left"/>
              <w:rPr>
                <w:rFonts w:ascii="仿宋_GB2312" w:hAnsi="宋体" w:cs="宋体"/>
                <w:kern w:val="0"/>
                <w:sz w:val="18"/>
                <w:szCs w:val="18"/>
              </w:rPr>
            </w:pPr>
            <w:r>
              <w:rPr>
                <w:rFonts w:ascii="仿宋_GB2312" w:hAnsi="仿宋_GB2312" w:cs="宋体"/>
                <w:kern w:val="0"/>
                <w:sz w:val="18"/>
                <w:szCs w:val="18"/>
              </w:rPr>
              <w:t>完成绩效设定目标的得</w:t>
            </w:r>
            <w:r>
              <w:rPr>
                <w:rFonts w:hint="eastAsia" w:ascii="仿宋_GB2312" w:hAnsi="仿宋_GB2312" w:cs="宋体"/>
                <w:kern w:val="0"/>
                <w:sz w:val="18"/>
                <w:szCs w:val="18"/>
                <w:lang w:val="en-US" w:eastAsia="zh-CN"/>
              </w:rPr>
              <w:t>15</w:t>
            </w:r>
            <w:r>
              <w:rPr>
                <w:rFonts w:ascii="仿宋_GB2312" w:hAnsi="仿宋_GB2312" w:cs="宋体"/>
                <w:kern w:val="0"/>
                <w:sz w:val="18"/>
                <w:szCs w:val="18"/>
              </w:rPr>
              <w:t>分，未完成的，按完成情况酌情扣分。</w:t>
            </w:r>
          </w:p>
        </w:tc>
        <w:tc>
          <w:tcPr>
            <w:tcW w:w="803"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hint="default" w:ascii="仿宋_GB2312" w:hAnsi="宋体" w:eastAsia="宋体" w:cs="宋体"/>
                <w:kern w:val="0"/>
                <w:sz w:val="24"/>
                <w:szCs w:val="24"/>
                <w:lang w:val="en-US" w:eastAsia="zh-CN"/>
              </w:rPr>
            </w:pPr>
            <w:r>
              <w:rPr>
                <w:rFonts w:hint="eastAsia" w:ascii="仿宋_GB2312" w:hAnsi="仿宋_GB2312" w:cs="宋体"/>
                <w:kern w:val="0"/>
                <w:sz w:val="24"/>
                <w:szCs w:val="24"/>
                <w:lang w:val="en-US" w:eastAsia="zh-CN"/>
              </w:rPr>
              <w:t>15</w:t>
            </w:r>
          </w:p>
        </w:tc>
      </w:tr>
      <w:tr>
        <w:tblPrEx>
          <w:tblCellMar>
            <w:top w:w="0" w:type="dxa"/>
            <w:left w:w="108" w:type="dxa"/>
            <w:bottom w:w="0" w:type="dxa"/>
            <w:right w:w="108" w:type="dxa"/>
          </w:tblCellMar>
        </w:tblPrEx>
        <w:trPr>
          <w:trHeight w:val="1134" w:hRule="atLeast"/>
          <w:jc w:val="center"/>
        </w:trPr>
        <w:tc>
          <w:tcPr>
            <w:tcW w:w="702" w:type="dxa"/>
            <w:vMerge w:val="continue"/>
            <w:tcBorders>
              <w:top w:val="nil"/>
              <w:left w:val="single" w:color="000000" w:sz="4" w:space="0"/>
              <w:bottom w:val="single" w:color="000000" w:sz="4" w:space="0"/>
              <w:right w:val="single" w:color="000000" w:sz="4" w:space="0"/>
            </w:tcBorders>
            <w:vAlign w:val="center"/>
          </w:tcPr>
          <w:p>
            <w:pPr>
              <w:widowControl/>
              <w:jc w:val="left"/>
              <w:rPr>
                <w:rFonts w:ascii="仿宋_GB2312" w:hAnsi="宋体" w:cs="宋体"/>
                <w:kern w:val="0"/>
                <w:sz w:val="18"/>
                <w:szCs w:val="18"/>
              </w:rPr>
            </w:pPr>
          </w:p>
        </w:tc>
        <w:tc>
          <w:tcPr>
            <w:tcW w:w="540" w:type="dxa"/>
            <w:vMerge w:val="continue"/>
            <w:tcBorders>
              <w:top w:val="nil"/>
              <w:left w:val="nil"/>
              <w:bottom w:val="single" w:color="000000" w:sz="4" w:space="0"/>
              <w:right w:val="single" w:color="000000" w:sz="4" w:space="0"/>
            </w:tcBorders>
            <w:vAlign w:val="center"/>
          </w:tcPr>
          <w:p>
            <w:pPr>
              <w:widowControl/>
              <w:jc w:val="left"/>
              <w:rPr>
                <w:rFonts w:ascii="仿宋_GB2312" w:hAnsi="宋体" w:cs="宋体"/>
                <w:kern w:val="0"/>
                <w:sz w:val="18"/>
                <w:szCs w:val="18"/>
              </w:rPr>
            </w:pPr>
          </w:p>
        </w:tc>
        <w:tc>
          <w:tcPr>
            <w:tcW w:w="703" w:type="dxa"/>
            <w:vMerge w:val="continue"/>
            <w:tcBorders>
              <w:top w:val="nil"/>
              <w:left w:val="nil"/>
              <w:bottom w:val="single" w:color="000000" w:sz="4" w:space="0"/>
              <w:right w:val="single" w:color="000000" w:sz="4" w:space="0"/>
            </w:tcBorders>
            <w:vAlign w:val="center"/>
          </w:tcPr>
          <w:p>
            <w:pPr>
              <w:widowControl/>
              <w:jc w:val="left"/>
              <w:rPr>
                <w:rFonts w:ascii="仿宋_GB2312" w:hAnsi="宋体" w:cs="宋体"/>
                <w:kern w:val="0"/>
                <w:sz w:val="18"/>
                <w:szCs w:val="18"/>
              </w:rPr>
            </w:pPr>
          </w:p>
        </w:tc>
        <w:tc>
          <w:tcPr>
            <w:tcW w:w="540" w:type="dxa"/>
            <w:vMerge w:val="continue"/>
            <w:tcBorders>
              <w:top w:val="nil"/>
              <w:left w:val="nil"/>
              <w:bottom w:val="single" w:color="000000" w:sz="4" w:space="0"/>
              <w:right w:val="single" w:color="000000" w:sz="4" w:space="0"/>
            </w:tcBorders>
            <w:vAlign w:val="center"/>
          </w:tcPr>
          <w:p>
            <w:pPr>
              <w:widowControl/>
              <w:jc w:val="left"/>
              <w:rPr>
                <w:rFonts w:ascii="仿宋_GB2312" w:hAnsi="宋体" w:cs="宋体"/>
                <w:kern w:val="0"/>
                <w:sz w:val="18"/>
                <w:szCs w:val="18"/>
              </w:rPr>
            </w:pPr>
          </w:p>
        </w:tc>
        <w:tc>
          <w:tcPr>
            <w:tcW w:w="803" w:type="dxa"/>
            <w:tcBorders>
              <w:top w:val="nil"/>
              <w:left w:val="nil"/>
              <w:bottom w:val="single" w:color="000000" w:sz="4" w:space="0"/>
              <w:right w:val="single" w:color="000000" w:sz="4" w:space="0"/>
            </w:tcBorders>
            <w:vAlign w:val="center"/>
          </w:tcPr>
          <w:p>
            <w:pPr>
              <w:widowControl/>
              <w:spacing w:line="240" w:lineRule="exact"/>
              <w:jc w:val="center"/>
              <w:rPr>
                <w:rFonts w:ascii="仿宋_GB2312" w:hAnsi="宋体" w:cs="宋体"/>
                <w:kern w:val="0"/>
                <w:sz w:val="18"/>
                <w:szCs w:val="18"/>
              </w:rPr>
            </w:pPr>
            <w:r>
              <w:rPr>
                <w:rFonts w:ascii="仿宋_GB2312" w:hAnsi="仿宋_GB2312" w:cs="宋体"/>
                <w:kern w:val="0"/>
                <w:sz w:val="18"/>
                <w:szCs w:val="18"/>
              </w:rPr>
              <w:t>服务</w:t>
            </w:r>
          </w:p>
          <w:p>
            <w:pPr>
              <w:widowControl/>
              <w:spacing w:line="240" w:lineRule="exact"/>
              <w:jc w:val="center"/>
              <w:rPr>
                <w:rFonts w:ascii="仿宋_GB2312" w:hAnsi="宋体" w:cs="宋体"/>
                <w:kern w:val="0"/>
                <w:sz w:val="18"/>
                <w:szCs w:val="18"/>
              </w:rPr>
            </w:pPr>
            <w:r>
              <w:rPr>
                <w:rFonts w:ascii="仿宋_GB2312" w:hAnsi="仿宋_GB2312" w:cs="宋体"/>
                <w:kern w:val="0"/>
                <w:sz w:val="18"/>
                <w:szCs w:val="18"/>
              </w:rPr>
              <w:t>对象</w:t>
            </w:r>
          </w:p>
          <w:p>
            <w:pPr>
              <w:widowControl/>
              <w:spacing w:line="240" w:lineRule="exact"/>
              <w:jc w:val="center"/>
              <w:rPr>
                <w:rFonts w:ascii="仿宋_GB2312" w:hAnsi="宋体" w:cs="宋体"/>
                <w:kern w:val="0"/>
                <w:sz w:val="18"/>
                <w:szCs w:val="18"/>
              </w:rPr>
            </w:pPr>
            <w:r>
              <w:rPr>
                <w:rFonts w:ascii="仿宋_GB2312" w:hAnsi="仿宋_GB2312" w:cs="宋体"/>
                <w:kern w:val="0"/>
                <w:sz w:val="18"/>
                <w:szCs w:val="18"/>
              </w:rPr>
              <w:t>满意度</w:t>
            </w:r>
          </w:p>
        </w:tc>
        <w:tc>
          <w:tcPr>
            <w:tcW w:w="550" w:type="dxa"/>
            <w:tcBorders>
              <w:top w:val="nil"/>
              <w:left w:val="nil"/>
              <w:bottom w:val="single" w:color="000000" w:sz="4" w:space="0"/>
              <w:right w:val="single" w:color="000000" w:sz="4" w:space="0"/>
            </w:tcBorders>
            <w:vAlign w:val="center"/>
          </w:tcPr>
          <w:p>
            <w:pPr>
              <w:widowControl/>
              <w:spacing w:line="240" w:lineRule="exact"/>
              <w:jc w:val="center"/>
              <w:rPr>
                <w:rFonts w:ascii="仿宋_GB2312" w:hAnsi="宋体" w:cs="宋体"/>
                <w:kern w:val="0"/>
                <w:sz w:val="18"/>
                <w:szCs w:val="18"/>
              </w:rPr>
            </w:pPr>
            <w:r>
              <w:rPr>
                <w:rFonts w:ascii="仿宋_GB2312" w:hAnsi="仿宋_GB2312" w:cs="宋体"/>
                <w:kern w:val="0"/>
                <w:sz w:val="18"/>
                <w:szCs w:val="18"/>
              </w:rPr>
              <w:t>10</w:t>
            </w:r>
          </w:p>
        </w:tc>
        <w:tc>
          <w:tcPr>
            <w:tcW w:w="2407" w:type="dxa"/>
            <w:tcBorders>
              <w:top w:val="nil"/>
              <w:left w:val="nil"/>
              <w:bottom w:val="single" w:color="000000" w:sz="4" w:space="0"/>
              <w:right w:val="single" w:color="000000" w:sz="4" w:space="0"/>
            </w:tcBorders>
            <w:vAlign w:val="center"/>
          </w:tcPr>
          <w:p>
            <w:pPr>
              <w:widowControl/>
              <w:spacing w:line="240" w:lineRule="exact"/>
              <w:jc w:val="left"/>
              <w:rPr>
                <w:rFonts w:ascii="仿宋_GB2312" w:hAnsi="宋体" w:cs="宋体"/>
                <w:kern w:val="0"/>
                <w:sz w:val="18"/>
                <w:szCs w:val="18"/>
              </w:rPr>
            </w:pPr>
            <w:r>
              <w:rPr>
                <w:rFonts w:ascii="仿宋_GB2312" w:hAnsi="仿宋_GB2312" w:cs="宋体"/>
                <w:kern w:val="0"/>
                <w:sz w:val="18"/>
                <w:szCs w:val="18"/>
              </w:rPr>
              <w:t>服务对象满意率=项目区被调查人数中表示满意的人数(户数)/ 被调查人数(户数)×100%</w:t>
            </w:r>
          </w:p>
        </w:tc>
        <w:tc>
          <w:tcPr>
            <w:tcW w:w="2772" w:type="dxa"/>
            <w:tcBorders>
              <w:top w:val="nil"/>
              <w:left w:val="nil"/>
              <w:bottom w:val="single" w:color="000000" w:sz="4" w:space="0"/>
              <w:right w:val="nil"/>
            </w:tcBorders>
            <w:vAlign w:val="center"/>
          </w:tcPr>
          <w:p>
            <w:pPr>
              <w:widowControl/>
              <w:spacing w:line="240" w:lineRule="exact"/>
              <w:jc w:val="left"/>
              <w:rPr>
                <w:rFonts w:ascii="仿宋_GB2312" w:hAnsi="宋体" w:cs="宋体"/>
                <w:kern w:val="0"/>
                <w:sz w:val="18"/>
                <w:szCs w:val="18"/>
              </w:rPr>
            </w:pPr>
            <w:r>
              <w:rPr>
                <w:rFonts w:ascii="仿宋_GB2312" w:hAnsi="仿宋_GB2312" w:cs="宋体"/>
                <w:kern w:val="0"/>
                <w:sz w:val="18"/>
                <w:szCs w:val="18"/>
              </w:rPr>
              <w:t>满意率达90%（含）以上的得</w:t>
            </w:r>
            <w:r>
              <w:rPr>
                <w:rFonts w:hint="eastAsia" w:ascii="仿宋_GB2312" w:hAnsi="仿宋_GB2312" w:cs="宋体"/>
                <w:kern w:val="0"/>
                <w:sz w:val="18"/>
                <w:szCs w:val="18"/>
                <w:lang w:val="en-US" w:eastAsia="zh-CN"/>
              </w:rPr>
              <w:t>10</w:t>
            </w:r>
            <w:r>
              <w:rPr>
                <w:rFonts w:ascii="仿宋_GB2312" w:hAnsi="仿宋_GB2312" w:cs="宋体"/>
                <w:kern w:val="0"/>
                <w:sz w:val="18"/>
                <w:szCs w:val="18"/>
              </w:rPr>
              <w:t>分，80%（含）-90%得</w:t>
            </w:r>
            <w:r>
              <w:rPr>
                <w:rFonts w:hint="eastAsia" w:ascii="仿宋_GB2312" w:hAnsi="仿宋_GB2312" w:cs="宋体"/>
                <w:kern w:val="0"/>
                <w:sz w:val="18"/>
                <w:szCs w:val="18"/>
                <w:lang w:val="en-US" w:eastAsia="zh-CN"/>
              </w:rPr>
              <w:t>8</w:t>
            </w:r>
            <w:r>
              <w:rPr>
                <w:rFonts w:ascii="仿宋_GB2312" w:hAnsi="仿宋_GB2312" w:cs="宋体"/>
                <w:kern w:val="0"/>
                <w:sz w:val="18"/>
                <w:szCs w:val="18"/>
              </w:rPr>
              <w:t>分，70%（含）-80%得</w:t>
            </w:r>
            <w:r>
              <w:rPr>
                <w:rFonts w:hint="eastAsia" w:ascii="仿宋_GB2312" w:hAnsi="仿宋_GB2312" w:cs="宋体"/>
                <w:kern w:val="0"/>
                <w:sz w:val="18"/>
                <w:szCs w:val="18"/>
                <w:lang w:val="en-US" w:eastAsia="zh-CN"/>
              </w:rPr>
              <w:t>6</w:t>
            </w:r>
            <w:r>
              <w:rPr>
                <w:rFonts w:ascii="仿宋_GB2312" w:hAnsi="仿宋_GB2312" w:cs="宋体"/>
                <w:kern w:val="0"/>
                <w:sz w:val="18"/>
                <w:szCs w:val="18"/>
              </w:rPr>
              <w:t>分，60%（含）-70%得</w:t>
            </w:r>
            <w:r>
              <w:rPr>
                <w:rFonts w:hint="eastAsia" w:ascii="仿宋_GB2312" w:hAnsi="仿宋_GB2312" w:cs="宋体"/>
                <w:kern w:val="0"/>
                <w:sz w:val="18"/>
                <w:szCs w:val="18"/>
                <w:lang w:val="en-US" w:eastAsia="zh-CN"/>
              </w:rPr>
              <w:t>4</w:t>
            </w:r>
            <w:r>
              <w:rPr>
                <w:rFonts w:ascii="仿宋_GB2312" w:hAnsi="仿宋_GB2312" w:cs="宋体"/>
                <w:kern w:val="0"/>
                <w:sz w:val="18"/>
                <w:szCs w:val="18"/>
              </w:rPr>
              <w:t>分，60%以下不得分。</w:t>
            </w:r>
          </w:p>
        </w:tc>
        <w:tc>
          <w:tcPr>
            <w:tcW w:w="803"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kern w:val="0"/>
                <w:sz w:val="24"/>
                <w:szCs w:val="24"/>
                <w:lang w:eastAsia="zh-CN"/>
              </w:rPr>
            </w:pPr>
            <w:r>
              <w:rPr>
                <w:rFonts w:hint="eastAsia" w:ascii="宋体" w:hAnsi="宋体"/>
                <w:kern w:val="0"/>
                <w:sz w:val="24"/>
                <w:szCs w:val="24"/>
                <w:lang w:val="en-US" w:eastAsia="zh-CN"/>
              </w:rPr>
              <w:t>8</w:t>
            </w:r>
          </w:p>
        </w:tc>
      </w:tr>
      <w:tr>
        <w:tblPrEx>
          <w:tblCellMar>
            <w:top w:w="0" w:type="dxa"/>
            <w:left w:w="108" w:type="dxa"/>
            <w:bottom w:w="0" w:type="dxa"/>
            <w:right w:w="108" w:type="dxa"/>
          </w:tblCellMar>
        </w:tblPrEx>
        <w:trPr>
          <w:trHeight w:val="860" w:hRule="atLeast"/>
          <w:jc w:val="center"/>
        </w:trPr>
        <w:tc>
          <w:tcPr>
            <w:tcW w:w="702" w:type="dxa"/>
            <w:tcBorders>
              <w:top w:val="nil"/>
              <w:left w:val="single" w:color="000000" w:sz="4" w:space="0"/>
              <w:bottom w:val="single" w:color="000000" w:sz="4" w:space="0"/>
              <w:right w:val="single" w:color="000000" w:sz="4" w:space="0"/>
            </w:tcBorders>
            <w:vAlign w:val="center"/>
          </w:tcPr>
          <w:p>
            <w:pPr>
              <w:widowControl/>
              <w:spacing w:line="240" w:lineRule="exact"/>
              <w:jc w:val="center"/>
              <w:rPr>
                <w:rFonts w:ascii="仿宋_GB2312" w:hAnsi="宋体" w:cs="宋体"/>
                <w:b/>
                <w:bCs/>
                <w:kern w:val="0"/>
                <w:sz w:val="18"/>
                <w:szCs w:val="18"/>
              </w:rPr>
            </w:pPr>
            <w:r>
              <w:rPr>
                <w:rFonts w:ascii="仿宋_GB2312" w:hAnsi="仿宋_GB2312" w:cs="宋体"/>
                <w:b/>
                <w:bCs/>
                <w:kern w:val="0"/>
                <w:sz w:val="18"/>
                <w:szCs w:val="18"/>
              </w:rPr>
              <w:t>总分</w:t>
            </w:r>
          </w:p>
        </w:tc>
        <w:tc>
          <w:tcPr>
            <w:tcW w:w="540" w:type="dxa"/>
            <w:tcBorders>
              <w:top w:val="nil"/>
              <w:left w:val="nil"/>
              <w:bottom w:val="single" w:color="000000" w:sz="4" w:space="0"/>
              <w:right w:val="single" w:color="000000" w:sz="4" w:space="0"/>
            </w:tcBorders>
            <w:vAlign w:val="center"/>
          </w:tcPr>
          <w:p>
            <w:pPr>
              <w:widowControl/>
              <w:spacing w:line="240" w:lineRule="exact"/>
              <w:jc w:val="center"/>
              <w:rPr>
                <w:rFonts w:ascii="仿宋_GB2312" w:hAnsi="宋体" w:cs="宋体"/>
                <w:b/>
                <w:bCs/>
                <w:kern w:val="0"/>
                <w:sz w:val="18"/>
                <w:szCs w:val="18"/>
              </w:rPr>
            </w:pPr>
            <w:r>
              <w:rPr>
                <w:rFonts w:ascii="仿宋_GB2312" w:hAnsi="仿宋_GB2312" w:cs="宋体"/>
                <w:b/>
                <w:bCs/>
                <w:kern w:val="0"/>
                <w:sz w:val="18"/>
                <w:szCs w:val="18"/>
              </w:rPr>
              <w:t>100</w:t>
            </w:r>
          </w:p>
        </w:tc>
        <w:tc>
          <w:tcPr>
            <w:tcW w:w="703" w:type="dxa"/>
            <w:tcBorders>
              <w:top w:val="nil"/>
              <w:left w:val="nil"/>
              <w:bottom w:val="single" w:color="000000" w:sz="4" w:space="0"/>
              <w:right w:val="single" w:color="000000" w:sz="4" w:space="0"/>
            </w:tcBorders>
            <w:vAlign w:val="center"/>
          </w:tcPr>
          <w:p>
            <w:pPr>
              <w:widowControl/>
              <w:spacing w:line="240" w:lineRule="exact"/>
              <w:jc w:val="center"/>
              <w:rPr>
                <w:rFonts w:ascii="仿宋_GB2312" w:hAnsi="宋体" w:cs="宋体"/>
                <w:b/>
                <w:bCs/>
                <w:kern w:val="0"/>
                <w:sz w:val="18"/>
                <w:szCs w:val="18"/>
              </w:rPr>
            </w:pPr>
          </w:p>
        </w:tc>
        <w:tc>
          <w:tcPr>
            <w:tcW w:w="540" w:type="dxa"/>
            <w:tcBorders>
              <w:top w:val="nil"/>
              <w:left w:val="nil"/>
              <w:bottom w:val="single" w:color="000000" w:sz="4" w:space="0"/>
              <w:right w:val="single" w:color="000000" w:sz="4" w:space="0"/>
            </w:tcBorders>
            <w:vAlign w:val="center"/>
          </w:tcPr>
          <w:p>
            <w:pPr>
              <w:widowControl/>
              <w:spacing w:line="240" w:lineRule="exact"/>
              <w:jc w:val="center"/>
              <w:rPr>
                <w:rFonts w:ascii="仿宋_GB2312" w:hAnsi="宋体" w:cs="宋体"/>
                <w:b/>
                <w:bCs/>
                <w:kern w:val="0"/>
                <w:sz w:val="18"/>
                <w:szCs w:val="18"/>
              </w:rPr>
            </w:pPr>
            <w:r>
              <w:rPr>
                <w:rFonts w:ascii="仿宋_GB2312" w:hAnsi="仿宋_GB2312" w:cs="宋体"/>
                <w:b/>
                <w:bCs/>
                <w:kern w:val="0"/>
                <w:sz w:val="18"/>
                <w:szCs w:val="18"/>
              </w:rPr>
              <w:t>100</w:t>
            </w:r>
          </w:p>
        </w:tc>
        <w:tc>
          <w:tcPr>
            <w:tcW w:w="803" w:type="dxa"/>
            <w:tcBorders>
              <w:top w:val="nil"/>
              <w:left w:val="nil"/>
              <w:bottom w:val="single" w:color="000000" w:sz="4" w:space="0"/>
              <w:right w:val="single" w:color="000000" w:sz="4" w:space="0"/>
            </w:tcBorders>
            <w:vAlign w:val="center"/>
          </w:tcPr>
          <w:p>
            <w:pPr>
              <w:widowControl/>
              <w:spacing w:line="240" w:lineRule="exact"/>
              <w:jc w:val="center"/>
              <w:rPr>
                <w:rFonts w:ascii="仿宋_GB2312" w:hAnsi="宋体" w:cs="宋体"/>
                <w:b/>
                <w:bCs/>
                <w:kern w:val="0"/>
                <w:sz w:val="18"/>
                <w:szCs w:val="18"/>
              </w:rPr>
            </w:pPr>
          </w:p>
        </w:tc>
        <w:tc>
          <w:tcPr>
            <w:tcW w:w="550" w:type="dxa"/>
            <w:tcBorders>
              <w:top w:val="nil"/>
              <w:left w:val="nil"/>
              <w:bottom w:val="single" w:color="000000" w:sz="4" w:space="0"/>
              <w:right w:val="single" w:color="000000" w:sz="4" w:space="0"/>
            </w:tcBorders>
            <w:vAlign w:val="center"/>
          </w:tcPr>
          <w:p>
            <w:pPr>
              <w:widowControl/>
              <w:spacing w:line="240" w:lineRule="exact"/>
              <w:jc w:val="center"/>
              <w:rPr>
                <w:rFonts w:ascii="仿宋_GB2312" w:hAnsi="宋体" w:cs="宋体"/>
                <w:b/>
                <w:bCs/>
                <w:kern w:val="0"/>
                <w:sz w:val="18"/>
                <w:szCs w:val="18"/>
              </w:rPr>
            </w:pPr>
            <w:r>
              <w:rPr>
                <w:rFonts w:ascii="仿宋_GB2312" w:hAnsi="仿宋_GB2312" w:cs="宋体"/>
                <w:b/>
                <w:bCs/>
                <w:kern w:val="0"/>
                <w:sz w:val="18"/>
                <w:szCs w:val="18"/>
              </w:rPr>
              <w:t>100</w:t>
            </w:r>
          </w:p>
        </w:tc>
        <w:tc>
          <w:tcPr>
            <w:tcW w:w="2407" w:type="dxa"/>
            <w:tcBorders>
              <w:top w:val="nil"/>
              <w:left w:val="nil"/>
              <w:bottom w:val="single" w:color="000000" w:sz="4" w:space="0"/>
              <w:right w:val="single" w:color="000000" w:sz="4" w:space="0"/>
            </w:tcBorders>
            <w:vAlign w:val="center"/>
          </w:tcPr>
          <w:p>
            <w:pPr>
              <w:widowControl/>
              <w:spacing w:line="240" w:lineRule="exact"/>
              <w:jc w:val="center"/>
              <w:rPr>
                <w:rFonts w:ascii="仿宋_GB2312" w:hAnsi="宋体" w:cs="宋体"/>
                <w:b/>
                <w:bCs/>
                <w:kern w:val="0"/>
                <w:sz w:val="18"/>
                <w:szCs w:val="18"/>
              </w:rPr>
            </w:pPr>
          </w:p>
        </w:tc>
        <w:tc>
          <w:tcPr>
            <w:tcW w:w="2772" w:type="dxa"/>
            <w:tcBorders>
              <w:top w:val="nil"/>
              <w:left w:val="nil"/>
              <w:bottom w:val="single" w:color="000000" w:sz="4" w:space="0"/>
              <w:right w:val="nil"/>
            </w:tcBorders>
            <w:vAlign w:val="center"/>
          </w:tcPr>
          <w:p>
            <w:pPr>
              <w:widowControl/>
              <w:spacing w:line="240" w:lineRule="exact"/>
              <w:jc w:val="center"/>
              <w:rPr>
                <w:rFonts w:ascii="仿宋_GB2312" w:hAnsi="宋体" w:cs="宋体"/>
                <w:b/>
                <w:bCs/>
                <w:kern w:val="0"/>
                <w:sz w:val="18"/>
                <w:szCs w:val="18"/>
              </w:rPr>
            </w:pPr>
          </w:p>
        </w:tc>
        <w:tc>
          <w:tcPr>
            <w:tcW w:w="803"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b/>
                <w:bCs/>
                <w:kern w:val="0"/>
                <w:sz w:val="24"/>
                <w:szCs w:val="24"/>
              </w:rPr>
            </w:pPr>
            <w:r>
              <w:rPr>
                <w:rFonts w:hint="eastAsia" w:ascii="宋体" w:hAnsi="宋体"/>
                <w:b/>
                <w:bCs/>
                <w:kern w:val="0"/>
                <w:sz w:val="24"/>
                <w:szCs w:val="24"/>
              </w:rPr>
              <w:t>98</w:t>
            </w:r>
          </w:p>
        </w:tc>
      </w:tr>
    </w:tbl>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行楷">
    <w:panose1 w:val="02010800040101010101"/>
    <w:charset w:val="86"/>
    <w:family w:val="auto"/>
    <w:pitch w:val="default"/>
    <w:sig w:usb0="00000001" w:usb1="080F0000" w:usb2="00000000" w:usb3="00000000" w:csb0="00040000" w:csb1="00000000"/>
  </w:font>
  <w:font w:name="华文琥珀">
    <w:panose1 w:val="02010800040101010101"/>
    <w:charset w:val="86"/>
    <w:family w:val="auto"/>
    <w:pitch w:val="default"/>
    <w:sig w:usb0="00000001" w:usb1="080F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mNjMWQ1ZTRmZTI4NmQyNjFmNmI0N2JlY2E3NzZmOTQifQ=="/>
  </w:docVars>
  <w:rsids>
    <w:rsidRoot w:val="0013584A"/>
    <w:rsid w:val="000012AD"/>
    <w:rsid w:val="00001D06"/>
    <w:rsid w:val="00002323"/>
    <w:rsid w:val="00002C69"/>
    <w:rsid w:val="00004DCB"/>
    <w:rsid w:val="000059C3"/>
    <w:rsid w:val="00005A7F"/>
    <w:rsid w:val="00005D57"/>
    <w:rsid w:val="000062DC"/>
    <w:rsid w:val="00006F7D"/>
    <w:rsid w:val="00007670"/>
    <w:rsid w:val="000076C5"/>
    <w:rsid w:val="00011458"/>
    <w:rsid w:val="000123D6"/>
    <w:rsid w:val="00012D1A"/>
    <w:rsid w:val="00012E27"/>
    <w:rsid w:val="00013445"/>
    <w:rsid w:val="000143D0"/>
    <w:rsid w:val="00014569"/>
    <w:rsid w:val="00014A60"/>
    <w:rsid w:val="00014BB9"/>
    <w:rsid w:val="00016360"/>
    <w:rsid w:val="000164C7"/>
    <w:rsid w:val="00017426"/>
    <w:rsid w:val="00017F40"/>
    <w:rsid w:val="000213AE"/>
    <w:rsid w:val="00021F28"/>
    <w:rsid w:val="000220C8"/>
    <w:rsid w:val="0002240E"/>
    <w:rsid w:val="00024062"/>
    <w:rsid w:val="000246C4"/>
    <w:rsid w:val="00024DF2"/>
    <w:rsid w:val="000252C4"/>
    <w:rsid w:val="00025B44"/>
    <w:rsid w:val="00027692"/>
    <w:rsid w:val="00027A91"/>
    <w:rsid w:val="00030497"/>
    <w:rsid w:val="000306B8"/>
    <w:rsid w:val="00030B89"/>
    <w:rsid w:val="00030C2D"/>
    <w:rsid w:val="0003128A"/>
    <w:rsid w:val="000314B7"/>
    <w:rsid w:val="00032606"/>
    <w:rsid w:val="00032745"/>
    <w:rsid w:val="00034AEA"/>
    <w:rsid w:val="00035EEE"/>
    <w:rsid w:val="00036D45"/>
    <w:rsid w:val="00037343"/>
    <w:rsid w:val="00037ADF"/>
    <w:rsid w:val="0004096C"/>
    <w:rsid w:val="000423A1"/>
    <w:rsid w:val="000439F1"/>
    <w:rsid w:val="0004584C"/>
    <w:rsid w:val="00046076"/>
    <w:rsid w:val="00046B8D"/>
    <w:rsid w:val="00046D93"/>
    <w:rsid w:val="00050397"/>
    <w:rsid w:val="00051C59"/>
    <w:rsid w:val="000525D7"/>
    <w:rsid w:val="00055041"/>
    <w:rsid w:val="00055D0E"/>
    <w:rsid w:val="0005722A"/>
    <w:rsid w:val="00060CFD"/>
    <w:rsid w:val="00061C70"/>
    <w:rsid w:val="000630B9"/>
    <w:rsid w:val="00063667"/>
    <w:rsid w:val="00063C67"/>
    <w:rsid w:val="000650F7"/>
    <w:rsid w:val="00065A46"/>
    <w:rsid w:val="000678B7"/>
    <w:rsid w:val="00070A0D"/>
    <w:rsid w:val="0007533A"/>
    <w:rsid w:val="000758AB"/>
    <w:rsid w:val="00075954"/>
    <w:rsid w:val="000761B0"/>
    <w:rsid w:val="00076845"/>
    <w:rsid w:val="00080164"/>
    <w:rsid w:val="000810F6"/>
    <w:rsid w:val="000818D0"/>
    <w:rsid w:val="0008197D"/>
    <w:rsid w:val="00082450"/>
    <w:rsid w:val="000834E2"/>
    <w:rsid w:val="00086B6A"/>
    <w:rsid w:val="00086F3F"/>
    <w:rsid w:val="000876B6"/>
    <w:rsid w:val="000921B7"/>
    <w:rsid w:val="00093116"/>
    <w:rsid w:val="000937AE"/>
    <w:rsid w:val="000952FE"/>
    <w:rsid w:val="00095B8B"/>
    <w:rsid w:val="000965AB"/>
    <w:rsid w:val="00096794"/>
    <w:rsid w:val="00097165"/>
    <w:rsid w:val="00097597"/>
    <w:rsid w:val="00097B69"/>
    <w:rsid w:val="000A0DAD"/>
    <w:rsid w:val="000A22D2"/>
    <w:rsid w:val="000A28D9"/>
    <w:rsid w:val="000A2CF5"/>
    <w:rsid w:val="000A3270"/>
    <w:rsid w:val="000A3EE5"/>
    <w:rsid w:val="000A4482"/>
    <w:rsid w:val="000A6850"/>
    <w:rsid w:val="000A7AEC"/>
    <w:rsid w:val="000B011B"/>
    <w:rsid w:val="000B2C67"/>
    <w:rsid w:val="000B3C1B"/>
    <w:rsid w:val="000B49A2"/>
    <w:rsid w:val="000B51BF"/>
    <w:rsid w:val="000B6CAC"/>
    <w:rsid w:val="000C062E"/>
    <w:rsid w:val="000C1776"/>
    <w:rsid w:val="000C2585"/>
    <w:rsid w:val="000C339A"/>
    <w:rsid w:val="000C340D"/>
    <w:rsid w:val="000C3740"/>
    <w:rsid w:val="000C51E0"/>
    <w:rsid w:val="000C60FA"/>
    <w:rsid w:val="000C656D"/>
    <w:rsid w:val="000D0D09"/>
    <w:rsid w:val="000D2EF1"/>
    <w:rsid w:val="000D3221"/>
    <w:rsid w:val="000D3751"/>
    <w:rsid w:val="000D4A91"/>
    <w:rsid w:val="000D6DA7"/>
    <w:rsid w:val="000E2668"/>
    <w:rsid w:val="000E2859"/>
    <w:rsid w:val="000E3DE7"/>
    <w:rsid w:val="000E3E16"/>
    <w:rsid w:val="000E5216"/>
    <w:rsid w:val="000E557B"/>
    <w:rsid w:val="000F2EE3"/>
    <w:rsid w:val="000F349F"/>
    <w:rsid w:val="000F3E5C"/>
    <w:rsid w:val="001019A8"/>
    <w:rsid w:val="0010420E"/>
    <w:rsid w:val="001043C9"/>
    <w:rsid w:val="001049A3"/>
    <w:rsid w:val="0010518B"/>
    <w:rsid w:val="001053CD"/>
    <w:rsid w:val="00106EEA"/>
    <w:rsid w:val="0011026F"/>
    <w:rsid w:val="001107B9"/>
    <w:rsid w:val="001111CB"/>
    <w:rsid w:val="00114A52"/>
    <w:rsid w:val="0011524E"/>
    <w:rsid w:val="001156AA"/>
    <w:rsid w:val="00116D7C"/>
    <w:rsid w:val="00117948"/>
    <w:rsid w:val="001208A6"/>
    <w:rsid w:val="00122056"/>
    <w:rsid w:val="00122322"/>
    <w:rsid w:val="00123BF5"/>
    <w:rsid w:val="00126524"/>
    <w:rsid w:val="00126613"/>
    <w:rsid w:val="00127C3B"/>
    <w:rsid w:val="00127F2F"/>
    <w:rsid w:val="0013176F"/>
    <w:rsid w:val="0013309D"/>
    <w:rsid w:val="00133D2A"/>
    <w:rsid w:val="0013584A"/>
    <w:rsid w:val="00136272"/>
    <w:rsid w:val="0014109B"/>
    <w:rsid w:val="00141DE9"/>
    <w:rsid w:val="00142673"/>
    <w:rsid w:val="001430B7"/>
    <w:rsid w:val="00144CA4"/>
    <w:rsid w:val="00145E08"/>
    <w:rsid w:val="0014614F"/>
    <w:rsid w:val="00146EA7"/>
    <w:rsid w:val="00150A36"/>
    <w:rsid w:val="0015160C"/>
    <w:rsid w:val="00151BFF"/>
    <w:rsid w:val="00152A64"/>
    <w:rsid w:val="00153E2E"/>
    <w:rsid w:val="00156087"/>
    <w:rsid w:val="00156A64"/>
    <w:rsid w:val="00160524"/>
    <w:rsid w:val="00160B78"/>
    <w:rsid w:val="001618DC"/>
    <w:rsid w:val="001618EE"/>
    <w:rsid w:val="001625F6"/>
    <w:rsid w:val="00163CED"/>
    <w:rsid w:val="00164925"/>
    <w:rsid w:val="00167153"/>
    <w:rsid w:val="00167B02"/>
    <w:rsid w:val="00170846"/>
    <w:rsid w:val="00170E49"/>
    <w:rsid w:val="00175002"/>
    <w:rsid w:val="00175B53"/>
    <w:rsid w:val="00175F02"/>
    <w:rsid w:val="001763FC"/>
    <w:rsid w:val="001764A1"/>
    <w:rsid w:val="00176EF4"/>
    <w:rsid w:val="00177234"/>
    <w:rsid w:val="00177552"/>
    <w:rsid w:val="001778A9"/>
    <w:rsid w:val="00180815"/>
    <w:rsid w:val="00180E2E"/>
    <w:rsid w:val="0018436A"/>
    <w:rsid w:val="0018523A"/>
    <w:rsid w:val="00185D1D"/>
    <w:rsid w:val="00186B1A"/>
    <w:rsid w:val="00186C23"/>
    <w:rsid w:val="00191E2E"/>
    <w:rsid w:val="00194E91"/>
    <w:rsid w:val="00195663"/>
    <w:rsid w:val="00195721"/>
    <w:rsid w:val="0019635E"/>
    <w:rsid w:val="001963CC"/>
    <w:rsid w:val="00197040"/>
    <w:rsid w:val="001970A7"/>
    <w:rsid w:val="00197C2D"/>
    <w:rsid w:val="001A017E"/>
    <w:rsid w:val="001A092B"/>
    <w:rsid w:val="001A11E9"/>
    <w:rsid w:val="001A1640"/>
    <w:rsid w:val="001A3CDE"/>
    <w:rsid w:val="001A554A"/>
    <w:rsid w:val="001A6920"/>
    <w:rsid w:val="001A7E70"/>
    <w:rsid w:val="001B1831"/>
    <w:rsid w:val="001B1D34"/>
    <w:rsid w:val="001B1FD8"/>
    <w:rsid w:val="001B310B"/>
    <w:rsid w:val="001B61E1"/>
    <w:rsid w:val="001B672F"/>
    <w:rsid w:val="001B7A73"/>
    <w:rsid w:val="001C212E"/>
    <w:rsid w:val="001C3376"/>
    <w:rsid w:val="001C33DC"/>
    <w:rsid w:val="001C3610"/>
    <w:rsid w:val="001C460B"/>
    <w:rsid w:val="001C46DB"/>
    <w:rsid w:val="001C4A13"/>
    <w:rsid w:val="001C527A"/>
    <w:rsid w:val="001C5AAD"/>
    <w:rsid w:val="001C5AF5"/>
    <w:rsid w:val="001D0E63"/>
    <w:rsid w:val="001D36AA"/>
    <w:rsid w:val="001D3E96"/>
    <w:rsid w:val="001D4493"/>
    <w:rsid w:val="001D4E21"/>
    <w:rsid w:val="001E7AEB"/>
    <w:rsid w:val="001F14C7"/>
    <w:rsid w:val="001F1D85"/>
    <w:rsid w:val="001F516C"/>
    <w:rsid w:val="001F7ED9"/>
    <w:rsid w:val="00200B0F"/>
    <w:rsid w:val="00200FB6"/>
    <w:rsid w:val="00204CDD"/>
    <w:rsid w:val="00205CB4"/>
    <w:rsid w:val="002062DE"/>
    <w:rsid w:val="002074CF"/>
    <w:rsid w:val="00210475"/>
    <w:rsid w:val="002111F5"/>
    <w:rsid w:val="0021270E"/>
    <w:rsid w:val="002134A5"/>
    <w:rsid w:val="00217F92"/>
    <w:rsid w:val="002219D4"/>
    <w:rsid w:val="00221D7C"/>
    <w:rsid w:val="00222DFE"/>
    <w:rsid w:val="002230B3"/>
    <w:rsid w:val="002236E8"/>
    <w:rsid w:val="002237B0"/>
    <w:rsid w:val="00226080"/>
    <w:rsid w:val="00226456"/>
    <w:rsid w:val="002275AE"/>
    <w:rsid w:val="00230DF6"/>
    <w:rsid w:val="002319B8"/>
    <w:rsid w:val="00231CE2"/>
    <w:rsid w:val="00233348"/>
    <w:rsid w:val="0023471F"/>
    <w:rsid w:val="00234735"/>
    <w:rsid w:val="00235946"/>
    <w:rsid w:val="00237A39"/>
    <w:rsid w:val="002409E7"/>
    <w:rsid w:val="00241895"/>
    <w:rsid w:val="00241BDD"/>
    <w:rsid w:val="00243010"/>
    <w:rsid w:val="002435D2"/>
    <w:rsid w:val="0024368E"/>
    <w:rsid w:val="00243CAE"/>
    <w:rsid w:val="00243CB4"/>
    <w:rsid w:val="00251AC0"/>
    <w:rsid w:val="00252E1D"/>
    <w:rsid w:val="00252FAC"/>
    <w:rsid w:val="00256643"/>
    <w:rsid w:val="00257891"/>
    <w:rsid w:val="0026189B"/>
    <w:rsid w:val="002619BD"/>
    <w:rsid w:val="00261F34"/>
    <w:rsid w:val="00263126"/>
    <w:rsid w:val="002639FD"/>
    <w:rsid w:val="00263B5C"/>
    <w:rsid w:val="002645E0"/>
    <w:rsid w:val="002676A8"/>
    <w:rsid w:val="00271468"/>
    <w:rsid w:val="0027166B"/>
    <w:rsid w:val="00273C4E"/>
    <w:rsid w:val="00274FAD"/>
    <w:rsid w:val="002812DA"/>
    <w:rsid w:val="00281A65"/>
    <w:rsid w:val="00282234"/>
    <w:rsid w:val="00282770"/>
    <w:rsid w:val="002834C0"/>
    <w:rsid w:val="00284446"/>
    <w:rsid w:val="00284CF2"/>
    <w:rsid w:val="002855DB"/>
    <w:rsid w:val="002858F1"/>
    <w:rsid w:val="00287877"/>
    <w:rsid w:val="00287917"/>
    <w:rsid w:val="00287ABB"/>
    <w:rsid w:val="00287EAF"/>
    <w:rsid w:val="002911A8"/>
    <w:rsid w:val="00291C6C"/>
    <w:rsid w:val="00294612"/>
    <w:rsid w:val="0029619B"/>
    <w:rsid w:val="00296881"/>
    <w:rsid w:val="002977F0"/>
    <w:rsid w:val="002A0335"/>
    <w:rsid w:val="002A071B"/>
    <w:rsid w:val="002A0E8F"/>
    <w:rsid w:val="002A1594"/>
    <w:rsid w:val="002A5A57"/>
    <w:rsid w:val="002A605B"/>
    <w:rsid w:val="002A78BF"/>
    <w:rsid w:val="002B022B"/>
    <w:rsid w:val="002B026E"/>
    <w:rsid w:val="002B29F4"/>
    <w:rsid w:val="002B2E3C"/>
    <w:rsid w:val="002B355A"/>
    <w:rsid w:val="002B3AC2"/>
    <w:rsid w:val="002B3F8B"/>
    <w:rsid w:val="002B42A9"/>
    <w:rsid w:val="002B5CCE"/>
    <w:rsid w:val="002B7F30"/>
    <w:rsid w:val="002C0B9F"/>
    <w:rsid w:val="002C1CB2"/>
    <w:rsid w:val="002C318A"/>
    <w:rsid w:val="002C375F"/>
    <w:rsid w:val="002C4FAC"/>
    <w:rsid w:val="002C5FCD"/>
    <w:rsid w:val="002C6875"/>
    <w:rsid w:val="002C726C"/>
    <w:rsid w:val="002D120F"/>
    <w:rsid w:val="002D2589"/>
    <w:rsid w:val="002D38E3"/>
    <w:rsid w:val="002D4263"/>
    <w:rsid w:val="002D4F97"/>
    <w:rsid w:val="002D54A0"/>
    <w:rsid w:val="002D6608"/>
    <w:rsid w:val="002D770E"/>
    <w:rsid w:val="002E014B"/>
    <w:rsid w:val="002E036B"/>
    <w:rsid w:val="002E03AA"/>
    <w:rsid w:val="002E05A3"/>
    <w:rsid w:val="002E109D"/>
    <w:rsid w:val="002E17F0"/>
    <w:rsid w:val="002E3D6A"/>
    <w:rsid w:val="002E4341"/>
    <w:rsid w:val="002E7576"/>
    <w:rsid w:val="002F1199"/>
    <w:rsid w:val="002F22D4"/>
    <w:rsid w:val="002F26A2"/>
    <w:rsid w:val="002F2A23"/>
    <w:rsid w:val="002F3B20"/>
    <w:rsid w:val="002F3D94"/>
    <w:rsid w:val="002F42E6"/>
    <w:rsid w:val="002F6885"/>
    <w:rsid w:val="002F6890"/>
    <w:rsid w:val="002F6918"/>
    <w:rsid w:val="0030013A"/>
    <w:rsid w:val="0030098C"/>
    <w:rsid w:val="00300F16"/>
    <w:rsid w:val="00301224"/>
    <w:rsid w:val="0030191F"/>
    <w:rsid w:val="00302A54"/>
    <w:rsid w:val="00302FFD"/>
    <w:rsid w:val="0030438A"/>
    <w:rsid w:val="00304897"/>
    <w:rsid w:val="003062B6"/>
    <w:rsid w:val="00306491"/>
    <w:rsid w:val="00306910"/>
    <w:rsid w:val="00306F5E"/>
    <w:rsid w:val="0030796C"/>
    <w:rsid w:val="00310265"/>
    <w:rsid w:val="003109DB"/>
    <w:rsid w:val="00310C07"/>
    <w:rsid w:val="00311085"/>
    <w:rsid w:val="003125E5"/>
    <w:rsid w:val="00312907"/>
    <w:rsid w:val="00314BA3"/>
    <w:rsid w:val="003151B9"/>
    <w:rsid w:val="00315226"/>
    <w:rsid w:val="00317BF4"/>
    <w:rsid w:val="003203A5"/>
    <w:rsid w:val="00320ADF"/>
    <w:rsid w:val="003240E4"/>
    <w:rsid w:val="003258F2"/>
    <w:rsid w:val="00326D80"/>
    <w:rsid w:val="0032760C"/>
    <w:rsid w:val="00330D74"/>
    <w:rsid w:val="00331092"/>
    <w:rsid w:val="0033155C"/>
    <w:rsid w:val="003336DE"/>
    <w:rsid w:val="00333DFC"/>
    <w:rsid w:val="00334746"/>
    <w:rsid w:val="00334F51"/>
    <w:rsid w:val="00335DFE"/>
    <w:rsid w:val="00337192"/>
    <w:rsid w:val="0033748A"/>
    <w:rsid w:val="00340485"/>
    <w:rsid w:val="00341113"/>
    <w:rsid w:val="00341CDD"/>
    <w:rsid w:val="00341FC5"/>
    <w:rsid w:val="003437E8"/>
    <w:rsid w:val="0034386F"/>
    <w:rsid w:val="00343F7A"/>
    <w:rsid w:val="003441AF"/>
    <w:rsid w:val="003470CD"/>
    <w:rsid w:val="00352023"/>
    <w:rsid w:val="00352649"/>
    <w:rsid w:val="00353334"/>
    <w:rsid w:val="00354E2D"/>
    <w:rsid w:val="00356737"/>
    <w:rsid w:val="00357D7E"/>
    <w:rsid w:val="00360611"/>
    <w:rsid w:val="003613CA"/>
    <w:rsid w:val="00361F2C"/>
    <w:rsid w:val="00362796"/>
    <w:rsid w:val="00362EC1"/>
    <w:rsid w:val="003636C1"/>
    <w:rsid w:val="00363A96"/>
    <w:rsid w:val="00364E55"/>
    <w:rsid w:val="0036658E"/>
    <w:rsid w:val="00370588"/>
    <w:rsid w:val="00370709"/>
    <w:rsid w:val="00370C47"/>
    <w:rsid w:val="00371777"/>
    <w:rsid w:val="00372A97"/>
    <w:rsid w:val="0037588F"/>
    <w:rsid w:val="00375A8F"/>
    <w:rsid w:val="00375F01"/>
    <w:rsid w:val="00376E1A"/>
    <w:rsid w:val="00376EDF"/>
    <w:rsid w:val="003775FE"/>
    <w:rsid w:val="0038191F"/>
    <w:rsid w:val="00383C34"/>
    <w:rsid w:val="00384469"/>
    <w:rsid w:val="0038519D"/>
    <w:rsid w:val="00385CAB"/>
    <w:rsid w:val="003879A6"/>
    <w:rsid w:val="00390D55"/>
    <w:rsid w:val="00391E93"/>
    <w:rsid w:val="00392BE0"/>
    <w:rsid w:val="00392F63"/>
    <w:rsid w:val="00393231"/>
    <w:rsid w:val="00395C09"/>
    <w:rsid w:val="00396E5D"/>
    <w:rsid w:val="00397348"/>
    <w:rsid w:val="00397C40"/>
    <w:rsid w:val="003A035A"/>
    <w:rsid w:val="003A1A78"/>
    <w:rsid w:val="003A4A0D"/>
    <w:rsid w:val="003A4BFE"/>
    <w:rsid w:val="003A6F9B"/>
    <w:rsid w:val="003A7997"/>
    <w:rsid w:val="003B0705"/>
    <w:rsid w:val="003B0A43"/>
    <w:rsid w:val="003B0E7F"/>
    <w:rsid w:val="003B12D1"/>
    <w:rsid w:val="003B3609"/>
    <w:rsid w:val="003B379A"/>
    <w:rsid w:val="003B5E30"/>
    <w:rsid w:val="003B60FE"/>
    <w:rsid w:val="003B7073"/>
    <w:rsid w:val="003C0356"/>
    <w:rsid w:val="003C12FB"/>
    <w:rsid w:val="003C1879"/>
    <w:rsid w:val="003C27E9"/>
    <w:rsid w:val="003C387A"/>
    <w:rsid w:val="003C43E6"/>
    <w:rsid w:val="003C52A6"/>
    <w:rsid w:val="003C554D"/>
    <w:rsid w:val="003C7343"/>
    <w:rsid w:val="003C7B63"/>
    <w:rsid w:val="003C7C04"/>
    <w:rsid w:val="003D04D8"/>
    <w:rsid w:val="003D15B4"/>
    <w:rsid w:val="003D217F"/>
    <w:rsid w:val="003D416F"/>
    <w:rsid w:val="003D4311"/>
    <w:rsid w:val="003D4650"/>
    <w:rsid w:val="003D6233"/>
    <w:rsid w:val="003D6874"/>
    <w:rsid w:val="003D6CD8"/>
    <w:rsid w:val="003D7826"/>
    <w:rsid w:val="003E01D0"/>
    <w:rsid w:val="003E2723"/>
    <w:rsid w:val="003E5290"/>
    <w:rsid w:val="003E5602"/>
    <w:rsid w:val="003E6565"/>
    <w:rsid w:val="003E77E2"/>
    <w:rsid w:val="003E77EB"/>
    <w:rsid w:val="003F05D1"/>
    <w:rsid w:val="003F188A"/>
    <w:rsid w:val="003F18BA"/>
    <w:rsid w:val="003F1BFE"/>
    <w:rsid w:val="003F214F"/>
    <w:rsid w:val="003F53B5"/>
    <w:rsid w:val="003F5A4E"/>
    <w:rsid w:val="003F69D5"/>
    <w:rsid w:val="003F6DC4"/>
    <w:rsid w:val="00400BE5"/>
    <w:rsid w:val="00400F02"/>
    <w:rsid w:val="004011EC"/>
    <w:rsid w:val="00401793"/>
    <w:rsid w:val="004019D0"/>
    <w:rsid w:val="004027D3"/>
    <w:rsid w:val="00403D7A"/>
    <w:rsid w:val="0040516B"/>
    <w:rsid w:val="00407727"/>
    <w:rsid w:val="00407CAA"/>
    <w:rsid w:val="00410DF8"/>
    <w:rsid w:val="0041134D"/>
    <w:rsid w:val="0041206A"/>
    <w:rsid w:val="00414571"/>
    <w:rsid w:val="00420D50"/>
    <w:rsid w:val="00423DD9"/>
    <w:rsid w:val="004272C0"/>
    <w:rsid w:val="00427D24"/>
    <w:rsid w:val="00430171"/>
    <w:rsid w:val="0043447F"/>
    <w:rsid w:val="00435B71"/>
    <w:rsid w:val="00436394"/>
    <w:rsid w:val="00440E04"/>
    <w:rsid w:val="00441549"/>
    <w:rsid w:val="0044427B"/>
    <w:rsid w:val="00444C0C"/>
    <w:rsid w:val="0044563B"/>
    <w:rsid w:val="00451966"/>
    <w:rsid w:val="004519B3"/>
    <w:rsid w:val="00451EE8"/>
    <w:rsid w:val="00454AEB"/>
    <w:rsid w:val="00456993"/>
    <w:rsid w:val="004571E0"/>
    <w:rsid w:val="004647A6"/>
    <w:rsid w:val="00467685"/>
    <w:rsid w:val="0047073E"/>
    <w:rsid w:val="004709EB"/>
    <w:rsid w:val="004715D5"/>
    <w:rsid w:val="00472A86"/>
    <w:rsid w:val="00473B73"/>
    <w:rsid w:val="00474438"/>
    <w:rsid w:val="00474E1C"/>
    <w:rsid w:val="0047518D"/>
    <w:rsid w:val="0047577F"/>
    <w:rsid w:val="00476A51"/>
    <w:rsid w:val="0047777D"/>
    <w:rsid w:val="004777A4"/>
    <w:rsid w:val="00477B98"/>
    <w:rsid w:val="00480B0E"/>
    <w:rsid w:val="00480F36"/>
    <w:rsid w:val="00480FC8"/>
    <w:rsid w:val="004837FB"/>
    <w:rsid w:val="00483869"/>
    <w:rsid w:val="00484430"/>
    <w:rsid w:val="004844A1"/>
    <w:rsid w:val="004903EC"/>
    <w:rsid w:val="004907DA"/>
    <w:rsid w:val="004910C5"/>
    <w:rsid w:val="00491BF4"/>
    <w:rsid w:val="00492A0C"/>
    <w:rsid w:val="004956E9"/>
    <w:rsid w:val="00497488"/>
    <w:rsid w:val="0049748D"/>
    <w:rsid w:val="00497EB3"/>
    <w:rsid w:val="004A0BF2"/>
    <w:rsid w:val="004A0C02"/>
    <w:rsid w:val="004A0E7D"/>
    <w:rsid w:val="004A13AB"/>
    <w:rsid w:val="004A1999"/>
    <w:rsid w:val="004A1A0D"/>
    <w:rsid w:val="004A3B26"/>
    <w:rsid w:val="004A4A9B"/>
    <w:rsid w:val="004A52C9"/>
    <w:rsid w:val="004A5531"/>
    <w:rsid w:val="004A5F5B"/>
    <w:rsid w:val="004A648C"/>
    <w:rsid w:val="004B12D2"/>
    <w:rsid w:val="004B3264"/>
    <w:rsid w:val="004B740E"/>
    <w:rsid w:val="004C17E2"/>
    <w:rsid w:val="004C1C68"/>
    <w:rsid w:val="004C394C"/>
    <w:rsid w:val="004C40F1"/>
    <w:rsid w:val="004C5885"/>
    <w:rsid w:val="004C5D9F"/>
    <w:rsid w:val="004C600F"/>
    <w:rsid w:val="004C6383"/>
    <w:rsid w:val="004C7F02"/>
    <w:rsid w:val="004D0A53"/>
    <w:rsid w:val="004D208A"/>
    <w:rsid w:val="004D431E"/>
    <w:rsid w:val="004D4A0E"/>
    <w:rsid w:val="004D4F79"/>
    <w:rsid w:val="004D5F9C"/>
    <w:rsid w:val="004D7D0F"/>
    <w:rsid w:val="004E051D"/>
    <w:rsid w:val="004E0C66"/>
    <w:rsid w:val="004E0D06"/>
    <w:rsid w:val="004E1060"/>
    <w:rsid w:val="004E2089"/>
    <w:rsid w:val="004E2A09"/>
    <w:rsid w:val="004E3D38"/>
    <w:rsid w:val="004E59BE"/>
    <w:rsid w:val="004E626E"/>
    <w:rsid w:val="004E670E"/>
    <w:rsid w:val="004F03FB"/>
    <w:rsid w:val="004F0647"/>
    <w:rsid w:val="004F15A7"/>
    <w:rsid w:val="004F19E3"/>
    <w:rsid w:val="004F2311"/>
    <w:rsid w:val="004F5892"/>
    <w:rsid w:val="004F5E12"/>
    <w:rsid w:val="004F64E0"/>
    <w:rsid w:val="005005F0"/>
    <w:rsid w:val="00500C1A"/>
    <w:rsid w:val="005039A0"/>
    <w:rsid w:val="005043CF"/>
    <w:rsid w:val="00504752"/>
    <w:rsid w:val="00505D68"/>
    <w:rsid w:val="005073A1"/>
    <w:rsid w:val="005075B1"/>
    <w:rsid w:val="00507698"/>
    <w:rsid w:val="00507864"/>
    <w:rsid w:val="0051085F"/>
    <w:rsid w:val="00513FB1"/>
    <w:rsid w:val="00514F00"/>
    <w:rsid w:val="00515C2C"/>
    <w:rsid w:val="00516579"/>
    <w:rsid w:val="00517E2E"/>
    <w:rsid w:val="005204AC"/>
    <w:rsid w:val="00521664"/>
    <w:rsid w:val="00522505"/>
    <w:rsid w:val="00524AE7"/>
    <w:rsid w:val="0052527C"/>
    <w:rsid w:val="005277B5"/>
    <w:rsid w:val="00527EF7"/>
    <w:rsid w:val="00531361"/>
    <w:rsid w:val="00531758"/>
    <w:rsid w:val="00531F6B"/>
    <w:rsid w:val="00532A32"/>
    <w:rsid w:val="005348D6"/>
    <w:rsid w:val="00535129"/>
    <w:rsid w:val="00536154"/>
    <w:rsid w:val="0053627F"/>
    <w:rsid w:val="00540DEC"/>
    <w:rsid w:val="00541619"/>
    <w:rsid w:val="00541F27"/>
    <w:rsid w:val="0054267D"/>
    <w:rsid w:val="005427CF"/>
    <w:rsid w:val="005431C1"/>
    <w:rsid w:val="005460C4"/>
    <w:rsid w:val="005473AC"/>
    <w:rsid w:val="0055012D"/>
    <w:rsid w:val="00551EAB"/>
    <w:rsid w:val="00551EBE"/>
    <w:rsid w:val="00554FDE"/>
    <w:rsid w:val="005550EE"/>
    <w:rsid w:val="00555624"/>
    <w:rsid w:val="00555CF1"/>
    <w:rsid w:val="00555FF4"/>
    <w:rsid w:val="00555FF8"/>
    <w:rsid w:val="00560DD8"/>
    <w:rsid w:val="005637C6"/>
    <w:rsid w:val="00563F1A"/>
    <w:rsid w:val="00565D7B"/>
    <w:rsid w:val="00567291"/>
    <w:rsid w:val="005674AE"/>
    <w:rsid w:val="00570FD8"/>
    <w:rsid w:val="005727D2"/>
    <w:rsid w:val="005727F3"/>
    <w:rsid w:val="00573244"/>
    <w:rsid w:val="005751E6"/>
    <w:rsid w:val="00576E53"/>
    <w:rsid w:val="00577755"/>
    <w:rsid w:val="00577B6E"/>
    <w:rsid w:val="0058035F"/>
    <w:rsid w:val="0058113C"/>
    <w:rsid w:val="00581421"/>
    <w:rsid w:val="0058156B"/>
    <w:rsid w:val="00581625"/>
    <w:rsid w:val="0058166B"/>
    <w:rsid w:val="00582CC0"/>
    <w:rsid w:val="00583687"/>
    <w:rsid w:val="00583930"/>
    <w:rsid w:val="005857F1"/>
    <w:rsid w:val="00585DB7"/>
    <w:rsid w:val="00586234"/>
    <w:rsid w:val="0058712F"/>
    <w:rsid w:val="0058730F"/>
    <w:rsid w:val="005902E5"/>
    <w:rsid w:val="00591214"/>
    <w:rsid w:val="005918B4"/>
    <w:rsid w:val="0059255A"/>
    <w:rsid w:val="0059368F"/>
    <w:rsid w:val="00593706"/>
    <w:rsid w:val="00593737"/>
    <w:rsid w:val="005938D0"/>
    <w:rsid w:val="00594969"/>
    <w:rsid w:val="00596EB6"/>
    <w:rsid w:val="0059764B"/>
    <w:rsid w:val="005A137E"/>
    <w:rsid w:val="005B00E4"/>
    <w:rsid w:val="005B035A"/>
    <w:rsid w:val="005B05D7"/>
    <w:rsid w:val="005B0AAA"/>
    <w:rsid w:val="005B0B50"/>
    <w:rsid w:val="005B17C7"/>
    <w:rsid w:val="005B295E"/>
    <w:rsid w:val="005B43D2"/>
    <w:rsid w:val="005B4884"/>
    <w:rsid w:val="005B66E5"/>
    <w:rsid w:val="005B66F4"/>
    <w:rsid w:val="005B6CA4"/>
    <w:rsid w:val="005B6CAA"/>
    <w:rsid w:val="005C016F"/>
    <w:rsid w:val="005C040E"/>
    <w:rsid w:val="005C0CD5"/>
    <w:rsid w:val="005C4684"/>
    <w:rsid w:val="005C498B"/>
    <w:rsid w:val="005C55B8"/>
    <w:rsid w:val="005C5964"/>
    <w:rsid w:val="005C5C72"/>
    <w:rsid w:val="005C64A2"/>
    <w:rsid w:val="005C7D10"/>
    <w:rsid w:val="005D1898"/>
    <w:rsid w:val="005D1B6F"/>
    <w:rsid w:val="005D4453"/>
    <w:rsid w:val="005D5448"/>
    <w:rsid w:val="005D5776"/>
    <w:rsid w:val="005D62DE"/>
    <w:rsid w:val="005E26F9"/>
    <w:rsid w:val="005E301B"/>
    <w:rsid w:val="005E33B4"/>
    <w:rsid w:val="005E38D3"/>
    <w:rsid w:val="005E3A06"/>
    <w:rsid w:val="005E4C41"/>
    <w:rsid w:val="005E6AFA"/>
    <w:rsid w:val="005E799D"/>
    <w:rsid w:val="005E7D39"/>
    <w:rsid w:val="005F0548"/>
    <w:rsid w:val="005F202A"/>
    <w:rsid w:val="005F26BA"/>
    <w:rsid w:val="005F602B"/>
    <w:rsid w:val="005F6B94"/>
    <w:rsid w:val="005F6F42"/>
    <w:rsid w:val="006000C8"/>
    <w:rsid w:val="00601445"/>
    <w:rsid w:val="006026D7"/>
    <w:rsid w:val="00603005"/>
    <w:rsid w:val="006035B0"/>
    <w:rsid w:val="006037DB"/>
    <w:rsid w:val="00603F14"/>
    <w:rsid w:val="00604CEA"/>
    <w:rsid w:val="00605146"/>
    <w:rsid w:val="00606623"/>
    <w:rsid w:val="00606D4C"/>
    <w:rsid w:val="00607A9C"/>
    <w:rsid w:val="00612589"/>
    <w:rsid w:val="00612D68"/>
    <w:rsid w:val="00614193"/>
    <w:rsid w:val="00615F02"/>
    <w:rsid w:val="00616362"/>
    <w:rsid w:val="006218B0"/>
    <w:rsid w:val="00622785"/>
    <w:rsid w:val="00622AE3"/>
    <w:rsid w:val="00623248"/>
    <w:rsid w:val="00623EA4"/>
    <w:rsid w:val="006247B7"/>
    <w:rsid w:val="006251AC"/>
    <w:rsid w:val="00630482"/>
    <w:rsid w:val="00630FAD"/>
    <w:rsid w:val="006315EC"/>
    <w:rsid w:val="00631F6D"/>
    <w:rsid w:val="00632173"/>
    <w:rsid w:val="00632E6F"/>
    <w:rsid w:val="00633979"/>
    <w:rsid w:val="00634099"/>
    <w:rsid w:val="00634404"/>
    <w:rsid w:val="0063460F"/>
    <w:rsid w:val="006350E9"/>
    <w:rsid w:val="00635882"/>
    <w:rsid w:val="0063595D"/>
    <w:rsid w:val="0064122D"/>
    <w:rsid w:val="00641931"/>
    <w:rsid w:val="0064194D"/>
    <w:rsid w:val="006425C3"/>
    <w:rsid w:val="00643438"/>
    <w:rsid w:val="0064398A"/>
    <w:rsid w:val="00643C39"/>
    <w:rsid w:val="00644B34"/>
    <w:rsid w:val="00646763"/>
    <w:rsid w:val="006526E4"/>
    <w:rsid w:val="00652CB5"/>
    <w:rsid w:val="00654C78"/>
    <w:rsid w:val="006556B7"/>
    <w:rsid w:val="0065693E"/>
    <w:rsid w:val="006576E9"/>
    <w:rsid w:val="00657CFD"/>
    <w:rsid w:val="0066145B"/>
    <w:rsid w:val="0066457A"/>
    <w:rsid w:val="00664A3D"/>
    <w:rsid w:val="00665843"/>
    <w:rsid w:val="0066762B"/>
    <w:rsid w:val="00672AD0"/>
    <w:rsid w:val="006741E9"/>
    <w:rsid w:val="00674272"/>
    <w:rsid w:val="0067590A"/>
    <w:rsid w:val="00676069"/>
    <w:rsid w:val="00676389"/>
    <w:rsid w:val="006770DC"/>
    <w:rsid w:val="006808F9"/>
    <w:rsid w:val="0068129A"/>
    <w:rsid w:val="00681399"/>
    <w:rsid w:val="00681B46"/>
    <w:rsid w:val="00687484"/>
    <w:rsid w:val="00687EC4"/>
    <w:rsid w:val="0069154C"/>
    <w:rsid w:val="006927FB"/>
    <w:rsid w:val="00692C1A"/>
    <w:rsid w:val="00693403"/>
    <w:rsid w:val="00695515"/>
    <w:rsid w:val="00695E75"/>
    <w:rsid w:val="00696DB1"/>
    <w:rsid w:val="006A0C52"/>
    <w:rsid w:val="006A10F0"/>
    <w:rsid w:val="006A1623"/>
    <w:rsid w:val="006A1E7F"/>
    <w:rsid w:val="006A36A3"/>
    <w:rsid w:val="006A3B2A"/>
    <w:rsid w:val="006A5484"/>
    <w:rsid w:val="006A6964"/>
    <w:rsid w:val="006B1B8F"/>
    <w:rsid w:val="006B250D"/>
    <w:rsid w:val="006B2987"/>
    <w:rsid w:val="006B33C4"/>
    <w:rsid w:val="006B63C3"/>
    <w:rsid w:val="006B783F"/>
    <w:rsid w:val="006C0F30"/>
    <w:rsid w:val="006C116D"/>
    <w:rsid w:val="006C182E"/>
    <w:rsid w:val="006C1FD9"/>
    <w:rsid w:val="006C249C"/>
    <w:rsid w:val="006C4108"/>
    <w:rsid w:val="006C425D"/>
    <w:rsid w:val="006C5676"/>
    <w:rsid w:val="006C5F43"/>
    <w:rsid w:val="006C65E6"/>
    <w:rsid w:val="006D124C"/>
    <w:rsid w:val="006D17D4"/>
    <w:rsid w:val="006D1D4A"/>
    <w:rsid w:val="006D6A7D"/>
    <w:rsid w:val="006D713F"/>
    <w:rsid w:val="006E23E9"/>
    <w:rsid w:val="006E2C16"/>
    <w:rsid w:val="006E2C23"/>
    <w:rsid w:val="006E3FAB"/>
    <w:rsid w:val="006E52E0"/>
    <w:rsid w:val="006E6AD3"/>
    <w:rsid w:val="006F0E6E"/>
    <w:rsid w:val="006F1EA1"/>
    <w:rsid w:val="006F36CF"/>
    <w:rsid w:val="006F402E"/>
    <w:rsid w:val="006F4CB6"/>
    <w:rsid w:val="006F4D0A"/>
    <w:rsid w:val="006F5402"/>
    <w:rsid w:val="006F5A51"/>
    <w:rsid w:val="006F5C15"/>
    <w:rsid w:val="006F5C96"/>
    <w:rsid w:val="006F5D4F"/>
    <w:rsid w:val="006F7146"/>
    <w:rsid w:val="007011F2"/>
    <w:rsid w:val="007020F1"/>
    <w:rsid w:val="007027BF"/>
    <w:rsid w:val="00702F2D"/>
    <w:rsid w:val="007048CF"/>
    <w:rsid w:val="00704EE9"/>
    <w:rsid w:val="00705338"/>
    <w:rsid w:val="00705535"/>
    <w:rsid w:val="0070616B"/>
    <w:rsid w:val="00706555"/>
    <w:rsid w:val="00706868"/>
    <w:rsid w:val="00706E73"/>
    <w:rsid w:val="0070736E"/>
    <w:rsid w:val="0071167A"/>
    <w:rsid w:val="00711C11"/>
    <w:rsid w:val="00712142"/>
    <w:rsid w:val="00714408"/>
    <w:rsid w:val="00714CB3"/>
    <w:rsid w:val="0071514F"/>
    <w:rsid w:val="0071549C"/>
    <w:rsid w:val="0071696E"/>
    <w:rsid w:val="007170A0"/>
    <w:rsid w:val="007179DC"/>
    <w:rsid w:val="00717FA0"/>
    <w:rsid w:val="00720CEC"/>
    <w:rsid w:val="00722F66"/>
    <w:rsid w:val="00725433"/>
    <w:rsid w:val="00725A4A"/>
    <w:rsid w:val="00725BAB"/>
    <w:rsid w:val="00727710"/>
    <w:rsid w:val="00731C9F"/>
    <w:rsid w:val="00731EA3"/>
    <w:rsid w:val="00732409"/>
    <w:rsid w:val="007329A0"/>
    <w:rsid w:val="0073410E"/>
    <w:rsid w:val="00734787"/>
    <w:rsid w:val="00737BC4"/>
    <w:rsid w:val="00737EF8"/>
    <w:rsid w:val="00740A6E"/>
    <w:rsid w:val="00740ACD"/>
    <w:rsid w:val="00742092"/>
    <w:rsid w:val="0074334C"/>
    <w:rsid w:val="00743D4B"/>
    <w:rsid w:val="00744299"/>
    <w:rsid w:val="00745A43"/>
    <w:rsid w:val="00747FAC"/>
    <w:rsid w:val="00751744"/>
    <w:rsid w:val="00752356"/>
    <w:rsid w:val="0075264A"/>
    <w:rsid w:val="00754BE2"/>
    <w:rsid w:val="007559FC"/>
    <w:rsid w:val="0075663D"/>
    <w:rsid w:val="00756989"/>
    <w:rsid w:val="00757EF1"/>
    <w:rsid w:val="0076056B"/>
    <w:rsid w:val="007616D9"/>
    <w:rsid w:val="007618C4"/>
    <w:rsid w:val="007620EC"/>
    <w:rsid w:val="00763408"/>
    <w:rsid w:val="007639EB"/>
    <w:rsid w:val="00770804"/>
    <w:rsid w:val="007718C9"/>
    <w:rsid w:val="00775021"/>
    <w:rsid w:val="00777FEA"/>
    <w:rsid w:val="00780D08"/>
    <w:rsid w:val="00782A2E"/>
    <w:rsid w:val="00785877"/>
    <w:rsid w:val="0078648A"/>
    <w:rsid w:val="00787922"/>
    <w:rsid w:val="00790F82"/>
    <w:rsid w:val="00792BDC"/>
    <w:rsid w:val="00792E69"/>
    <w:rsid w:val="00794401"/>
    <w:rsid w:val="0079502A"/>
    <w:rsid w:val="0079653A"/>
    <w:rsid w:val="00796A48"/>
    <w:rsid w:val="00797AE4"/>
    <w:rsid w:val="007A1460"/>
    <w:rsid w:val="007A19B4"/>
    <w:rsid w:val="007A23E5"/>
    <w:rsid w:val="007A2D90"/>
    <w:rsid w:val="007A434D"/>
    <w:rsid w:val="007A558D"/>
    <w:rsid w:val="007A5BEC"/>
    <w:rsid w:val="007A5E84"/>
    <w:rsid w:val="007A6C69"/>
    <w:rsid w:val="007A719A"/>
    <w:rsid w:val="007B32C8"/>
    <w:rsid w:val="007B4EAB"/>
    <w:rsid w:val="007B549A"/>
    <w:rsid w:val="007B54D1"/>
    <w:rsid w:val="007B5B83"/>
    <w:rsid w:val="007B791A"/>
    <w:rsid w:val="007B7C40"/>
    <w:rsid w:val="007C045B"/>
    <w:rsid w:val="007C066E"/>
    <w:rsid w:val="007C1633"/>
    <w:rsid w:val="007C233D"/>
    <w:rsid w:val="007C3C24"/>
    <w:rsid w:val="007C3C7B"/>
    <w:rsid w:val="007C4BBC"/>
    <w:rsid w:val="007C4D74"/>
    <w:rsid w:val="007C66C3"/>
    <w:rsid w:val="007C6F54"/>
    <w:rsid w:val="007C73F3"/>
    <w:rsid w:val="007C7445"/>
    <w:rsid w:val="007D11E5"/>
    <w:rsid w:val="007D3EA0"/>
    <w:rsid w:val="007D4786"/>
    <w:rsid w:val="007D4B06"/>
    <w:rsid w:val="007D682A"/>
    <w:rsid w:val="007D7469"/>
    <w:rsid w:val="007E036D"/>
    <w:rsid w:val="007E171F"/>
    <w:rsid w:val="007E1C2E"/>
    <w:rsid w:val="007E1E17"/>
    <w:rsid w:val="007E2ADF"/>
    <w:rsid w:val="007E464A"/>
    <w:rsid w:val="007E464E"/>
    <w:rsid w:val="007E5578"/>
    <w:rsid w:val="007E7190"/>
    <w:rsid w:val="007F1C10"/>
    <w:rsid w:val="007F251B"/>
    <w:rsid w:val="007F3F6E"/>
    <w:rsid w:val="007F477E"/>
    <w:rsid w:val="007F4B68"/>
    <w:rsid w:val="007F5B02"/>
    <w:rsid w:val="007F7667"/>
    <w:rsid w:val="00800FD1"/>
    <w:rsid w:val="008012DF"/>
    <w:rsid w:val="008020C6"/>
    <w:rsid w:val="00803A26"/>
    <w:rsid w:val="00803A63"/>
    <w:rsid w:val="00803D6C"/>
    <w:rsid w:val="008040CC"/>
    <w:rsid w:val="0080454D"/>
    <w:rsid w:val="00805030"/>
    <w:rsid w:val="0081350B"/>
    <w:rsid w:val="008138C9"/>
    <w:rsid w:val="00814195"/>
    <w:rsid w:val="008146D4"/>
    <w:rsid w:val="0081574D"/>
    <w:rsid w:val="0081636B"/>
    <w:rsid w:val="0081701D"/>
    <w:rsid w:val="00817292"/>
    <w:rsid w:val="00817A38"/>
    <w:rsid w:val="00820B02"/>
    <w:rsid w:val="00821ADF"/>
    <w:rsid w:val="0082278D"/>
    <w:rsid w:val="00823F21"/>
    <w:rsid w:val="00825642"/>
    <w:rsid w:val="0082566D"/>
    <w:rsid w:val="00826BBB"/>
    <w:rsid w:val="00826C82"/>
    <w:rsid w:val="008313ED"/>
    <w:rsid w:val="008316D0"/>
    <w:rsid w:val="00832B1A"/>
    <w:rsid w:val="00832ED7"/>
    <w:rsid w:val="0083389D"/>
    <w:rsid w:val="00835180"/>
    <w:rsid w:val="00835209"/>
    <w:rsid w:val="00843842"/>
    <w:rsid w:val="0084408F"/>
    <w:rsid w:val="008444D4"/>
    <w:rsid w:val="0084480E"/>
    <w:rsid w:val="00847132"/>
    <w:rsid w:val="0084794E"/>
    <w:rsid w:val="00851A0E"/>
    <w:rsid w:val="00853CCB"/>
    <w:rsid w:val="00854475"/>
    <w:rsid w:val="008552C4"/>
    <w:rsid w:val="0085621A"/>
    <w:rsid w:val="008577B3"/>
    <w:rsid w:val="00861822"/>
    <w:rsid w:val="008618E9"/>
    <w:rsid w:val="00862559"/>
    <w:rsid w:val="0086265D"/>
    <w:rsid w:val="00864927"/>
    <w:rsid w:val="008650DE"/>
    <w:rsid w:val="00866CDE"/>
    <w:rsid w:val="008672D6"/>
    <w:rsid w:val="00870534"/>
    <w:rsid w:val="00871EB4"/>
    <w:rsid w:val="00871F07"/>
    <w:rsid w:val="00872C11"/>
    <w:rsid w:val="00873E63"/>
    <w:rsid w:val="00875D7A"/>
    <w:rsid w:val="00876200"/>
    <w:rsid w:val="008766FD"/>
    <w:rsid w:val="008768A1"/>
    <w:rsid w:val="0087711A"/>
    <w:rsid w:val="0087735D"/>
    <w:rsid w:val="00877E13"/>
    <w:rsid w:val="00881674"/>
    <w:rsid w:val="008822BC"/>
    <w:rsid w:val="008830D8"/>
    <w:rsid w:val="00884D37"/>
    <w:rsid w:val="00885026"/>
    <w:rsid w:val="008869A5"/>
    <w:rsid w:val="00886B8F"/>
    <w:rsid w:val="00887334"/>
    <w:rsid w:val="00891099"/>
    <w:rsid w:val="0089131C"/>
    <w:rsid w:val="0089153B"/>
    <w:rsid w:val="00891900"/>
    <w:rsid w:val="008939EF"/>
    <w:rsid w:val="00896CD2"/>
    <w:rsid w:val="008A0391"/>
    <w:rsid w:val="008A1629"/>
    <w:rsid w:val="008A2765"/>
    <w:rsid w:val="008A2E7A"/>
    <w:rsid w:val="008A315E"/>
    <w:rsid w:val="008A692F"/>
    <w:rsid w:val="008A6E2F"/>
    <w:rsid w:val="008A6F9D"/>
    <w:rsid w:val="008B0DA4"/>
    <w:rsid w:val="008B29A3"/>
    <w:rsid w:val="008B2CFA"/>
    <w:rsid w:val="008B2D3E"/>
    <w:rsid w:val="008B3630"/>
    <w:rsid w:val="008B4CB7"/>
    <w:rsid w:val="008B6E2B"/>
    <w:rsid w:val="008B7A5E"/>
    <w:rsid w:val="008C0541"/>
    <w:rsid w:val="008C068E"/>
    <w:rsid w:val="008C15B2"/>
    <w:rsid w:val="008C160D"/>
    <w:rsid w:val="008C3D31"/>
    <w:rsid w:val="008C42AB"/>
    <w:rsid w:val="008C464C"/>
    <w:rsid w:val="008C54C3"/>
    <w:rsid w:val="008C5D5B"/>
    <w:rsid w:val="008C65DE"/>
    <w:rsid w:val="008C7758"/>
    <w:rsid w:val="008C77C7"/>
    <w:rsid w:val="008D046F"/>
    <w:rsid w:val="008D0E56"/>
    <w:rsid w:val="008D1737"/>
    <w:rsid w:val="008D1A59"/>
    <w:rsid w:val="008D440F"/>
    <w:rsid w:val="008D4797"/>
    <w:rsid w:val="008D49CC"/>
    <w:rsid w:val="008D5F49"/>
    <w:rsid w:val="008D647B"/>
    <w:rsid w:val="008D671F"/>
    <w:rsid w:val="008D6BE6"/>
    <w:rsid w:val="008E28D2"/>
    <w:rsid w:val="008E3E42"/>
    <w:rsid w:val="008E601C"/>
    <w:rsid w:val="008E71C6"/>
    <w:rsid w:val="008F02E6"/>
    <w:rsid w:val="008F1637"/>
    <w:rsid w:val="008F25DF"/>
    <w:rsid w:val="008F284F"/>
    <w:rsid w:val="008F462C"/>
    <w:rsid w:val="008F46EA"/>
    <w:rsid w:val="008F6456"/>
    <w:rsid w:val="008F7805"/>
    <w:rsid w:val="00902EF2"/>
    <w:rsid w:val="00905960"/>
    <w:rsid w:val="0090761D"/>
    <w:rsid w:val="0091135A"/>
    <w:rsid w:val="0091173D"/>
    <w:rsid w:val="0091226D"/>
    <w:rsid w:val="00917422"/>
    <w:rsid w:val="00917EED"/>
    <w:rsid w:val="009204F7"/>
    <w:rsid w:val="0092106D"/>
    <w:rsid w:val="0092137D"/>
    <w:rsid w:val="00921C9C"/>
    <w:rsid w:val="00923334"/>
    <w:rsid w:val="009257CA"/>
    <w:rsid w:val="00926E03"/>
    <w:rsid w:val="009278F9"/>
    <w:rsid w:val="00927A8C"/>
    <w:rsid w:val="009304E7"/>
    <w:rsid w:val="0093077B"/>
    <w:rsid w:val="00931AD7"/>
    <w:rsid w:val="009324AF"/>
    <w:rsid w:val="009334FA"/>
    <w:rsid w:val="00933A7D"/>
    <w:rsid w:val="00933E8B"/>
    <w:rsid w:val="00934D8F"/>
    <w:rsid w:val="00935B2A"/>
    <w:rsid w:val="00935D7A"/>
    <w:rsid w:val="00936CA0"/>
    <w:rsid w:val="00936EA0"/>
    <w:rsid w:val="0094299D"/>
    <w:rsid w:val="0094352F"/>
    <w:rsid w:val="0094424E"/>
    <w:rsid w:val="009456F6"/>
    <w:rsid w:val="009464AF"/>
    <w:rsid w:val="00946AF0"/>
    <w:rsid w:val="00946BDB"/>
    <w:rsid w:val="0094747C"/>
    <w:rsid w:val="009474F2"/>
    <w:rsid w:val="0095014A"/>
    <w:rsid w:val="00950B2F"/>
    <w:rsid w:val="00950F28"/>
    <w:rsid w:val="00952015"/>
    <w:rsid w:val="00953F7D"/>
    <w:rsid w:val="00954068"/>
    <w:rsid w:val="009543C3"/>
    <w:rsid w:val="00954661"/>
    <w:rsid w:val="00954AB9"/>
    <w:rsid w:val="0095534A"/>
    <w:rsid w:val="00955F24"/>
    <w:rsid w:val="00956253"/>
    <w:rsid w:val="00956BB7"/>
    <w:rsid w:val="00957BE6"/>
    <w:rsid w:val="00957D1A"/>
    <w:rsid w:val="009602D0"/>
    <w:rsid w:val="00960A19"/>
    <w:rsid w:val="00961A3A"/>
    <w:rsid w:val="009624E7"/>
    <w:rsid w:val="0096252D"/>
    <w:rsid w:val="00964525"/>
    <w:rsid w:val="009646F2"/>
    <w:rsid w:val="00964CB9"/>
    <w:rsid w:val="00965D47"/>
    <w:rsid w:val="00965F5D"/>
    <w:rsid w:val="009678DF"/>
    <w:rsid w:val="00970C2B"/>
    <w:rsid w:val="00971270"/>
    <w:rsid w:val="00971C3C"/>
    <w:rsid w:val="0097283B"/>
    <w:rsid w:val="00973D49"/>
    <w:rsid w:val="00973EA1"/>
    <w:rsid w:val="009745CC"/>
    <w:rsid w:val="0097641D"/>
    <w:rsid w:val="00977E3F"/>
    <w:rsid w:val="009808E9"/>
    <w:rsid w:val="00981CED"/>
    <w:rsid w:val="009838CD"/>
    <w:rsid w:val="00983C1F"/>
    <w:rsid w:val="00985E33"/>
    <w:rsid w:val="00986430"/>
    <w:rsid w:val="00986CA3"/>
    <w:rsid w:val="00986EC1"/>
    <w:rsid w:val="009876EE"/>
    <w:rsid w:val="009922F0"/>
    <w:rsid w:val="0099295F"/>
    <w:rsid w:val="00995B57"/>
    <w:rsid w:val="009975C3"/>
    <w:rsid w:val="00997D29"/>
    <w:rsid w:val="009A0110"/>
    <w:rsid w:val="009A2455"/>
    <w:rsid w:val="009A288B"/>
    <w:rsid w:val="009A2D1C"/>
    <w:rsid w:val="009A479A"/>
    <w:rsid w:val="009A4C9F"/>
    <w:rsid w:val="009A761A"/>
    <w:rsid w:val="009B00F5"/>
    <w:rsid w:val="009B2215"/>
    <w:rsid w:val="009B2905"/>
    <w:rsid w:val="009B4A1F"/>
    <w:rsid w:val="009B4BB8"/>
    <w:rsid w:val="009B70FC"/>
    <w:rsid w:val="009B746D"/>
    <w:rsid w:val="009B7D19"/>
    <w:rsid w:val="009C113D"/>
    <w:rsid w:val="009C2BC4"/>
    <w:rsid w:val="009C5460"/>
    <w:rsid w:val="009D25FA"/>
    <w:rsid w:val="009D3983"/>
    <w:rsid w:val="009D4123"/>
    <w:rsid w:val="009D455B"/>
    <w:rsid w:val="009D465B"/>
    <w:rsid w:val="009D50E5"/>
    <w:rsid w:val="009D5E0E"/>
    <w:rsid w:val="009D5E9B"/>
    <w:rsid w:val="009D615E"/>
    <w:rsid w:val="009D621A"/>
    <w:rsid w:val="009D6C2E"/>
    <w:rsid w:val="009D7045"/>
    <w:rsid w:val="009D77A1"/>
    <w:rsid w:val="009D7C26"/>
    <w:rsid w:val="009E0340"/>
    <w:rsid w:val="009E15A2"/>
    <w:rsid w:val="009E34A2"/>
    <w:rsid w:val="009E4D8C"/>
    <w:rsid w:val="009E5FB6"/>
    <w:rsid w:val="009E71F8"/>
    <w:rsid w:val="009E7E1A"/>
    <w:rsid w:val="009F09AB"/>
    <w:rsid w:val="009F2118"/>
    <w:rsid w:val="009F2569"/>
    <w:rsid w:val="009F2FFC"/>
    <w:rsid w:val="009F362A"/>
    <w:rsid w:val="009F4350"/>
    <w:rsid w:val="009F59DC"/>
    <w:rsid w:val="009F5DC9"/>
    <w:rsid w:val="009F67D3"/>
    <w:rsid w:val="009F76FF"/>
    <w:rsid w:val="00A0136D"/>
    <w:rsid w:val="00A0277D"/>
    <w:rsid w:val="00A02BA3"/>
    <w:rsid w:val="00A03A71"/>
    <w:rsid w:val="00A04319"/>
    <w:rsid w:val="00A0450A"/>
    <w:rsid w:val="00A05BA3"/>
    <w:rsid w:val="00A05E58"/>
    <w:rsid w:val="00A076D4"/>
    <w:rsid w:val="00A10D20"/>
    <w:rsid w:val="00A112D4"/>
    <w:rsid w:val="00A12781"/>
    <w:rsid w:val="00A13A8B"/>
    <w:rsid w:val="00A13B2D"/>
    <w:rsid w:val="00A14565"/>
    <w:rsid w:val="00A15D84"/>
    <w:rsid w:val="00A173BA"/>
    <w:rsid w:val="00A20707"/>
    <w:rsid w:val="00A2079C"/>
    <w:rsid w:val="00A20A51"/>
    <w:rsid w:val="00A20E9E"/>
    <w:rsid w:val="00A210C6"/>
    <w:rsid w:val="00A224AC"/>
    <w:rsid w:val="00A22659"/>
    <w:rsid w:val="00A22E60"/>
    <w:rsid w:val="00A232F4"/>
    <w:rsid w:val="00A23402"/>
    <w:rsid w:val="00A2342F"/>
    <w:rsid w:val="00A23728"/>
    <w:rsid w:val="00A24061"/>
    <w:rsid w:val="00A248BF"/>
    <w:rsid w:val="00A24AB5"/>
    <w:rsid w:val="00A25EF8"/>
    <w:rsid w:val="00A264FA"/>
    <w:rsid w:val="00A264FF"/>
    <w:rsid w:val="00A26505"/>
    <w:rsid w:val="00A26FF9"/>
    <w:rsid w:val="00A303E7"/>
    <w:rsid w:val="00A30B65"/>
    <w:rsid w:val="00A30BF6"/>
    <w:rsid w:val="00A320CC"/>
    <w:rsid w:val="00A33091"/>
    <w:rsid w:val="00A337EB"/>
    <w:rsid w:val="00A33A4F"/>
    <w:rsid w:val="00A33C4E"/>
    <w:rsid w:val="00A33C53"/>
    <w:rsid w:val="00A33DB2"/>
    <w:rsid w:val="00A34324"/>
    <w:rsid w:val="00A34511"/>
    <w:rsid w:val="00A3486B"/>
    <w:rsid w:val="00A37FF8"/>
    <w:rsid w:val="00A4000B"/>
    <w:rsid w:val="00A43D0E"/>
    <w:rsid w:val="00A44473"/>
    <w:rsid w:val="00A44913"/>
    <w:rsid w:val="00A44BBC"/>
    <w:rsid w:val="00A45BF9"/>
    <w:rsid w:val="00A47611"/>
    <w:rsid w:val="00A5004D"/>
    <w:rsid w:val="00A504E2"/>
    <w:rsid w:val="00A528FA"/>
    <w:rsid w:val="00A52FA3"/>
    <w:rsid w:val="00A534D2"/>
    <w:rsid w:val="00A54D68"/>
    <w:rsid w:val="00A578C9"/>
    <w:rsid w:val="00A6031E"/>
    <w:rsid w:val="00A619AD"/>
    <w:rsid w:val="00A61ADB"/>
    <w:rsid w:val="00A61DA2"/>
    <w:rsid w:val="00A62D17"/>
    <w:rsid w:val="00A63365"/>
    <w:rsid w:val="00A6439B"/>
    <w:rsid w:val="00A67C4C"/>
    <w:rsid w:val="00A71035"/>
    <w:rsid w:val="00A71829"/>
    <w:rsid w:val="00A71EAD"/>
    <w:rsid w:val="00A724EC"/>
    <w:rsid w:val="00A72E55"/>
    <w:rsid w:val="00A7399A"/>
    <w:rsid w:val="00A75262"/>
    <w:rsid w:val="00A755CB"/>
    <w:rsid w:val="00A77BE4"/>
    <w:rsid w:val="00A86280"/>
    <w:rsid w:val="00A86F1A"/>
    <w:rsid w:val="00A87FBE"/>
    <w:rsid w:val="00A90C20"/>
    <w:rsid w:val="00A9148A"/>
    <w:rsid w:val="00A914F0"/>
    <w:rsid w:val="00A91AC4"/>
    <w:rsid w:val="00A94E19"/>
    <w:rsid w:val="00A959D3"/>
    <w:rsid w:val="00A95B0D"/>
    <w:rsid w:val="00A960D8"/>
    <w:rsid w:val="00A96B35"/>
    <w:rsid w:val="00A96DF9"/>
    <w:rsid w:val="00A96EB2"/>
    <w:rsid w:val="00AA16AC"/>
    <w:rsid w:val="00AA2C0D"/>
    <w:rsid w:val="00AA3B12"/>
    <w:rsid w:val="00AA514C"/>
    <w:rsid w:val="00AA5997"/>
    <w:rsid w:val="00AA7489"/>
    <w:rsid w:val="00AB05B4"/>
    <w:rsid w:val="00AB0EB8"/>
    <w:rsid w:val="00AB1095"/>
    <w:rsid w:val="00AB1461"/>
    <w:rsid w:val="00AB17EC"/>
    <w:rsid w:val="00AB49F7"/>
    <w:rsid w:val="00AC07C0"/>
    <w:rsid w:val="00AC0B9C"/>
    <w:rsid w:val="00AC0E4C"/>
    <w:rsid w:val="00AC1C08"/>
    <w:rsid w:val="00AC29D1"/>
    <w:rsid w:val="00AC2D91"/>
    <w:rsid w:val="00AC368F"/>
    <w:rsid w:val="00AC3A8A"/>
    <w:rsid w:val="00AC53FD"/>
    <w:rsid w:val="00AC5C73"/>
    <w:rsid w:val="00AD041B"/>
    <w:rsid w:val="00AD0D3C"/>
    <w:rsid w:val="00AD1041"/>
    <w:rsid w:val="00AD2243"/>
    <w:rsid w:val="00AD3C27"/>
    <w:rsid w:val="00AD5EA0"/>
    <w:rsid w:val="00AE002A"/>
    <w:rsid w:val="00AE088C"/>
    <w:rsid w:val="00AE114A"/>
    <w:rsid w:val="00AE1998"/>
    <w:rsid w:val="00AE2B2A"/>
    <w:rsid w:val="00AE31A5"/>
    <w:rsid w:val="00AE6581"/>
    <w:rsid w:val="00AE6B5D"/>
    <w:rsid w:val="00AF0315"/>
    <w:rsid w:val="00AF042C"/>
    <w:rsid w:val="00AF0B04"/>
    <w:rsid w:val="00AF0C24"/>
    <w:rsid w:val="00AF1D95"/>
    <w:rsid w:val="00AF3F43"/>
    <w:rsid w:val="00AF5C94"/>
    <w:rsid w:val="00B0098D"/>
    <w:rsid w:val="00B026D7"/>
    <w:rsid w:val="00B039D1"/>
    <w:rsid w:val="00B0521D"/>
    <w:rsid w:val="00B055F3"/>
    <w:rsid w:val="00B0749A"/>
    <w:rsid w:val="00B1100F"/>
    <w:rsid w:val="00B11E3C"/>
    <w:rsid w:val="00B11F2F"/>
    <w:rsid w:val="00B12C36"/>
    <w:rsid w:val="00B13FE1"/>
    <w:rsid w:val="00B14CBF"/>
    <w:rsid w:val="00B17C32"/>
    <w:rsid w:val="00B17EE6"/>
    <w:rsid w:val="00B20294"/>
    <w:rsid w:val="00B24084"/>
    <w:rsid w:val="00B2500C"/>
    <w:rsid w:val="00B251D7"/>
    <w:rsid w:val="00B26CB5"/>
    <w:rsid w:val="00B30333"/>
    <w:rsid w:val="00B32DB0"/>
    <w:rsid w:val="00B3508E"/>
    <w:rsid w:val="00B37D97"/>
    <w:rsid w:val="00B40B13"/>
    <w:rsid w:val="00B42165"/>
    <w:rsid w:val="00B43356"/>
    <w:rsid w:val="00B44100"/>
    <w:rsid w:val="00B4436A"/>
    <w:rsid w:val="00B446E4"/>
    <w:rsid w:val="00B501D3"/>
    <w:rsid w:val="00B50FA4"/>
    <w:rsid w:val="00B52087"/>
    <w:rsid w:val="00B524CD"/>
    <w:rsid w:val="00B53F37"/>
    <w:rsid w:val="00B55019"/>
    <w:rsid w:val="00B568EB"/>
    <w:rsid w:val="00B610E5"/>
    <w:rsid w:val="00B634D3"/>
    <w:rsid w:val="00B64963"/>
    <w:rsid w:val="00B66F12"/>
    <w:rsid w:val="00B67EE9"/>
    <w:rsid w:val="00B70208"/>
    <w:rsid w:val="00B71145"/>
    <w:rsid w:val="00B71CB8"/>
    <w:rsid w:val="00B7228E"/>
    <w:rsid w:val="00B72989"/>
    <w:rsid w:val="00B73072"/>
    <w:rsid w:val="00B7798F"/>
    <w:rsid w:val="00B812D4"/>
    <w:rsid w:val="00B81B00"/>
    <w:rsid w:val="00B83320"/>
    <w:rsid w:val="00B840B4"/>
    <w:rsid w:val="00B84769"/>
    <w:rsid w:val="00B8488E"/>
    <w:rsid w:val="00B8522E"/>
    <w:rsid w:val="00B86FF1"/>
    <w:rsid w:val="00B87FEC"/>
    <w:rsid w:val="00B90B79"/>
    <w:rsid w:val="00B91C9B"/>
    <w:rsid w:val="00B91FAE"/>
    <w:rsid w:val="00B9294E"/>
    <w:rsid w:val="00B92FF0"/>
    <w:rsid w:val="00B93A19"/>
    <w:rsid w:val="00B95AD6"/>
    <w:rsid w:val="00B95D24"/>
    <w:rsid w:val="00B96D4D"/>
    <w:rsid w:val="00B96D66"/>
    <w:rsid w:val="00BA0B1A"/>
    <w:rsid w:val="00BA29A8"/>
    <w:rsid w:val="00BA3B98"/>
    <w:rsid w:val="00BA6343"/>
    <w:rsid w:val="00BA6FC4"/>
    <w:rsid w:val="00BB1632"/>
    <w:rsid w:val="00BB2CE5"/>
    <w:rsid w:val="00BB303B"/>
    <w:rsid w:val="00BB4499"/>
    <w:rsid w:val="00BB543C"/>
    <w:rsid w:val="00BB5C01"/>
    <w:rsid w:val="00BB5F90"/>
    <w:rsid w:val="00BB747B"/>
    <w:rsid w:val="00BB7FE3"/>
    <w:rsid w:val="00BC01A4"/>
    <w:rsid w:val="00BC1AA6"/>
    <w:rsid w:val="00BC2DD0"/>
    <w:rsid w:val="00BC405A"/>
    <w:rsid w:val="00BC5CC3"/>
    <w:rsid w:val="00BC67B4"/>
    <w:rsid w:val="00BC67CB"/>
    <w:rsid w:val="00BC68F6"/>
    <w:rsid w:val="00BD0BEA"/>
    <w:rsid w:val="00BD0C02"/>
    <w:rsid w:val="00BD4D6B"/>
    <w:rsid w:val="00BD7610"/>
    <w:rsid w:val="00BE0A43"/>
    <w:rsid w:val="00BE1A64"/>
    <w:rsid w:val="00BE4EF7"/>
    <w:rsid w:val="00BE54EB"/>
    <w:rsid w:val="00BE5824"/>
    <w:rsid w:val="00BE755F"/>
    <w:rsid w:val="00BE76EF"/>
    <w:rsid w:val="00BF0771"/>
    <w:rsid w:val="00BF0A52"/>
    <w:rsid w:val="00BF1BB8"/>
    <w:rsid w:val="00BF4873"/>
    <w:rsid w:val="00BF4AE0"/>
    <w:rsid w:val="00BF5F53"/>
    <w:rsid w:val="00BF7305"/>
    <w:rsid w:val="00C01AE4"/>
    <w:rsid w:val="00C038E8"/>
    <w:rsid w:val="00C03976"/>
    <w:rsid w:val="00C03CAC"/>
    <w:rsid w:val="00C03D75"/>
    <w:rsid w:val="00C04828"/>
    <w:rsid w:val="00C05641"/>
    <w:rsid w:val="00C05DB8"/>
    <w:rsid w:val="00C077D8"/>
    <w:rsid w:val="00C1042A"/>
    <w:rsid w:val="00C10871"/>
    <w:rsid w:val="00C10BB4"/>
    <w:rsid w:val="00C110A2"/>
    <w:rsid w:val="00C11B0F"/>
    <w:rsid w:val="00C11BFD"/>
    <w:rsid w:val="00C13253"/>
    <w:rsid w:val="00C138B1"/>
    <w:rsid w:val="00C163BE"/>
    <w:rsid w:val="00C17556"/>
    <w:rsid w:val="00C1756B"/>
    <w:rsid w:val="00C17921"/>
    <w:rsid w:val="00C20B27"/>
    <w:rsid w:val="00C226E9"/>
    <w:rsid w:val="00C2339D"/>
    <w:rsid w:val="00C244D0"/>
    <w:rsid w:val="00C24DD6"/>
    <w:rsid w:val="00C306AF"/>
    <w:rsid w:val="00C32589"/>
    <w:rsid w:val="00C33D99"/>
    <w:rsid w:val="00C33F4C"/>
    <w:rsid w:val="00C36EC9"/>
    <w:rsid w:val="00C37371"/>
    <w:rsid w:val="00C40CA6"/>
    <w:rsid w:val="00C40E9A"/>
    <w:rsid w:val="00C41233"/>
    <w:rsid w:val="00C42671"/>
    <w:rsid w:val="00C45965"/>
    <w:rsid w:val="00C45B65"/>
    <w:rsid w:val="00C50B81"/>
    <w:rsid w:val="00C52587"/>
    <w:rsid w:val="00C52C46"/>
    <w:rsid w:val="00C53B00"/>
    <w:rsid w:val="00C55B42"/>
    <w:rsid w:val="00C562DB"/>
    <w:rsid w:val="00C571DF"/>
    <w:rsid w:val="00C5788B"/>
    <w:rsid w:val="00C60079"/>
    <w:rsid w:val="00C60BBB"/>
    <w:rsid w:val="00C61212"/>
    <w:rsid w:val="00C62897"/>
    <w:rsid w:val="00C63243"/>
    <w:rsid w:val="00C63E8F"/>
    <w:rsid w:val="00C64FC4"/>
    <w:rsid w:val="00C667FD"/>
    <w:rsid w:val="00C706EE"/>
    <w:rsid w:val="00C728A3"/>
    <w:rsid w:val="00C72A71"/>
    <w:rsid w:val="00C75A4F"/>
    <w:rsid w:val="00C76CFC"/>
    <w:rsid w:val="00C807C9"/>
    <w:rsid w:val="00C813B4"/>
    <w:rsid w:val="00C84748"/>
    <w:rsid w:val="00C84944"/>
    <w:rsid w:val="00C8667E"/>
    <w:rsid w:val="00C90EA7"/>
    <w:rsid w:val="00C919CF"/>
    <w:rsid w:val="00C92143"/>
    <w:rsid w:val="00C9344D"/>
    <w:rsid w:val="00C96883"/>
    <w:rsid w:val="00C97653"/>
    <w:rsid w:val="00C977BC"/>
    <w:rsid w:val="00C97CF4"/>
    <w:rsid w:val="00CA0A38"/>
    <w:rsid w:val="00CA0D1C"/>
    <w:rsid w:val="00CA19CB"/>
    <w:rsid w:val="00CA31F5"/>
    <w:rsid w:val="00CA4197"/>
    <w:rsid w:val="00CA4CE4"/>
    <w:rsid w:val="00CA5565"/>
    <w:rsid w:val="00CB0F02"/>
    <w:rsid w:val="00CB10D9"/>
    <w:rsid w:val="00CB13C7"/>
    <w:rsid w:val="00CB352D"/>
    <w:rsid w:val="00CB40B3"/>
    <w:rsid w:val="00CB4CA6"/>
    <w:rsid w:val="00CB54AC"/>
    <w:rsid w:val="00CB72D4"/>
    <w:rsid w:val="00CB7DED"/>
    <w:rsid w:val="00CC12DA"/>
    <w:rsid w:val="00CC1736"/>
    <w:rsid w:val="00CC2458"/>
    <w:rsid w:val="00CC2A55"/>
    <w:rsid w:val="00CC4C6A"/>
    <w:rsid w:val="00CC5855"/>
    <w:rsid w:val="00CC58EE"/>
    <w:rsid w:val="00CC66D4"/>
    <w:rsid w:val="00CC6988"/>
    <w:rsid w:val="00CC7CF6"/>
    <w:rsid w:val="00CD168C"/>
    <w:rsid w:val="00CD1DA4"/>
    <w:rsid w:val="00CD209A"/>
    <w:rsid w:val="00CD3589"/>
    <w:rsid w:val="00CD5B12"/>
    <w:rsid w:val="00CD7785"/>
    <w:rsid w:val="00CD7C6F"/>
    <w:rsid w:val="00CE03D9"/>
    <w:rsid w:val="00CE16EF"/>
    <w:rsid w:val="00CE2032"/>
    <w:rsid w:val="00CE3385"/>
    <w:rsid w:val="00CE462D"/>
    <w:rsid w:val="00CE63B4"/>
    <w:rsid w:val="00CE6EC3"/>
    <w:rsid w:val="00CE79B1"/>
    <w:rsid w:val="00CF05AE"/>
    <w:rsid w:val="00CF0D2E"/>
    <w:rsid w:val="00CF0DC9"/>
    <w:rsid w:val="00CF292D"/>
    <w:rsid w:val="00CF294D"/>
    <w:rsid w:val="00CF2F2C"/>
    <w:rsid w:val="00CF4349"/>
    <w:rsid w:val="00CF4ECB"/>
    <w:rsid w:val="00CF548F"/>
    <w:rsid w:val="00CF6157"/>
    <w:rsid w:val="00CF64AD"/>
    <w:rsid w:val="00CF681F"/>
    <w:rsid w:val="00CF76DA"/>
    <w:rsid w:val="00D01937"/>
    <w:rsid w:val="00D028F0"/>
    <w:rsid w:val="00D03375"/>
    <w:rsid w:val="00D03984"/>
    <w:rsid w:val="00D043D7"/>
    <w:rsid w:val="00D04A39"/>
    <w:rsid w:val="00D050A0"/>
    <w:rsid w:val="00D0528F"/>
    <w:rsid w:val="00D06EE1"/>
    <w:rsid w:val="00D075B1"/>
    <w:rsid w:val="00D112B3"/>
    <w:rsid w:val="00D112F6"/>
    <w:rsid w:val="00D1163A"/>
    <w:rsid w:val="00D117A4"/>
    <w:rsid w:val="00D14404"/>
    <w:rsid w:val="00D14FAE"/>
    <w:rsid w:val="00D150D8"/>
    <w:rsid w:val="00D20B14"/>
    <w:rsid w:val="00D21DC6"/>
    <w:rsid w:val="00D228A4"/>
    <w:rsid w:val="00D22AD8"/>
    <w:rsid w:val="00D26531"/>
    <w:rsid w:val="00D26569"/>
    <w:rsid w:val="00D27036"/>
    <w:rsid w:val="00D27347"/>
    <w:rsid w:val="00D30C72"/>
    <w:rsid w:val="00D30D7E"/>
    <w:rsid w:val="00D34853"/>
    <w:rsid w:val="00D352B6"/>
    <w:rsid w:val="00D35BD1"/>
    <w:rsid w:val="00D402F5"/>
    <w:rsid w:val="00D40F58"/>
    <w:rsid w:val="00D4155F"/>
    <w:rsid w:val="00D42B56"/>
    <w:rsid w:val="00D42FD5"/>
    <w:rsid w:val="00D450AF"/>
    <w:rsid w:val="00D458BC"/>
    <w:rsid w:val="00D46CED"/>
    <w:rsid w:val="00D474DB"/>
    <w:rsid w:val="00D50F46"/>
    <w:rsid w:val="00D526CC"/>
    <w:rsid w:val="00D53BFB"/>
    <w:rsid w:val="00D54750"/>
    <w:rsid w:val="00D611DB"/>
    <w:rsid w:val="00D6134A"/>
    <w:rsid w:val="00D6767E"/>
    <w:rsid w:val="00D70437"/>
    <w:rsid w:val="00D71DE2"/>
    <w:rsid w:val="00D71FF5"/>
    <w:rsid w:val="00D720B2"/>
    <w:rsid w:val="00D728DA"/>
    <w:rsid w:val="00D75703"/>
    <w:rsid w:val="00D75753"/>
    <w:rsid w:val="00D7688F"/>
    <w:rsid w:val="00D7788B"/>
    <w:rsid w:val="00D80CD5"/>
    <w:rsid w:val="00D811CB"/>
    <w:rsid w:val="00D81B7C"/>
    <w:rsid w:val="00D82007"/>
    <w:rsid w:val="00D8222A"/>
    <w:rsid w:val="00D8228F"/>
    <w:rsid w:val="00D84D51"/>
    <w:rsid w:val="00D86B5D"/>
    <w:rsid w:val="00D8797E"/>
    <w:rsid w:val="00D87F5F"/>
    <w:rsid w:val="00D9080F"/>
    <w:rsid w:val="00D90CA2"/>
    <w:rsid w:val="00D92577"/>
    <w:rsid w:val="00D92B05"/>
    <w:rsid w:val="00D92D15"/>
    <w:rsid w:val="00D94B41"/>
    <w:rsid w:val="00D94B66"/>
    <w:rsid w:val="00D9589F"/>
    <w:rsid w:val="00D95C3D"/>
    <w:rsid w:val="00D9737C"/>
    <w:rsid w:val="00D975C0"/>
    <w:rsid w:val="00DA1373"/>
    <w:rsid w:val="00DA2373"/>
    <w:rsid w:val="00DA2A3F"/>
    <w:rsid w:val="00DA45F2"/>
    <w:rsid w:val="00DA4D04"/>
    <w:rsid w:val="00DA50F8"/>
    <w:rsid w:val="00DA5772"/>
    <w:rsid w:val="00DA6C89"/>
    <w:rsid w:val="00DB099C"/>
    <w:rsid w:val="00DB12C6"/>
    <w:rsid w:val="00DB2586"/>
    <w:rsid w:val="00DB3B1F"/>
    <w:rsid w:val="00DB4F66"/>
    <w:rsid w:val="00DC0978"/>
    <w:rsid w:val="00DC2F22"/>
    <w:rsid w:val="00DC385D"/>
    <w:rsid w:val="00DC41E1"/>
    <w:rsid w:val="00DC526F"/>
    <w:rsid w:val="00DC6A2C"/>
    <w:rsid w:val="00DD184B"/>
    <w:rsid w:val="00DD2248"/>
    <w:rsid w:val="00DD37B4"/>
    <w:rsid w:val="00DD3C44"/>
    <w:rsid w:val="00DD3C8B"/>
    <w:rsid w:val="00DD6953"/>
    <w:rsid w:val="00DE24B4"/>
    <w:rsid w:val="00DE3CB4"/>
    <w:rsid w:val="00DE41EF"/>
    <w:rsid w:val="00DE4280"/>
    <w:rsid w:val="00DE471D"/>
    <w:rsid w:val="00DE6525"/>
    <w:rsid w:val="00DE7F9C"/>
    <w:rsid w:val="00DF0D8D"/>
    <w:rsid w:val="00DF42A1"/>
    <w:rsid w:val="00DF4543"/>
    <w:rsid w:val="00DF4EB5"/>
    <w:rsid w:val="00DF5B75"/>
    <w:rsid w:val="00E019AC"/>
    <w:rsid w:val="00E061E8"/>
    <w:rsid w:val="00E07794"/>
    <w:rsid w:val="00E10120"/>
    <w:rsid w:val="00E1043A"/>
    <w:rsid w:val="00E108D7"/>
    <w:rsid w:val="00E1115E"/>
    <w:rsid w:val="00E114F9"/>
    <w:rsid w:val="00E11723"/>
    <w:rsid w:val="00E1287B"/>
    <w:rsid w:val="00E128AA"/>
    <w:rsid w:val="00E13063"/>
    <w:rsid w:val="00E130E8"/>
    <w:rsid w:val="00E137B8"/>
    <w:rsid w:val="00E13B6D"/>
    <w:rsid w:val="00E14ABE"/>
    <w:rsid w:val="00E1528A"/>
    <w:rsid w:val="00E15AC4"/>
    <w:rsid w:val="00E15B99"/>
    <w:rsid w:val="00E15FCF"/>
    <w:rsid w:val="00E166F2"/>
    <w:rsid w:val="00E16CCF"/>
    <w:rsid w:val="00E1722F"/>
    <w:rsid w:val="00E23245"/>
    <w:rsid w:val="00E23321"/>
    <w:rsid w:val="00E2363A"/>
    <w:rsid w:val="00E24AD4"/>
    <w:rsid w:val="00E254C5"/>
    <w:rsid w:val="00E30AF8"/>
    <w:rsid w:val="00E33401"/>
    <w:rsid w:val="00E33404"/>
    <w:rsid w:val="00E33DA5"/>
    <w:rsid w:val="00E35591"/>
    <w:rsid w:val="00E35686"/>
    <w:rsid w:val="00E374E5"/>
    <w:rsid w:val="00E40573"/>
    <w:rsid w:val="00E4228C"/>
    <w:rsid w:val="00E43D99"/>
    <w:rsid w:val="00E477DF"/>
    <w:rsid w:val="00E50E6F"/>
    <w:rsid w:val="00E52A3F"/>
    <w:rsid w:val="00E53546"/>
    <w:rsid w:val="00E55F1F"/>
    <w:rsid w:val="00E57290"/>
    <w:rsid w:val="00E57A19"/>
    <w:rsid w:val="00E57B64"/>
    <w:rsid w:val="00E57CFA"/>
    <w:rsid w:val="00E57D8C"/>
    <w:rsid w:val="00E644F7"/>
    <w:rsid w:val="00E6483D"/>
    <w:rsid w:val="00E64B21"/>
    <w:rsid w:val="00E656E8"/>
    <w:rsid w:val="00E65B14"/>
    <w:rsid w:val="00E66984"/>
    <w:rsid w:val="00E66A81"/>
    <w:rsid w:val="00E70144"/>
    <w:rsid w:val="00E70D6E"/>
    <w:rsid w:val="00E740E8"/>
    <w:rsid w:val="00E744BA"/>
    <w:rsid w:val="00E758BE"/>
    <w:rsid w:val="00E80165"/>
    <w:rsid w:val="00E803F0"/>
    <w:rsid w:val="00E80A01"/>
    <w:rsid w:val="00E82F51"/>
    <w:rsid w:val="00E839D5"/>
    <w:rsid w:val="00E83B6C"/>
    <w:rsid w:val="00E84E19"/>
    <w:rsid w:val="00E913AA"/>
    <w:rsid w:val="00E91BFA"/>
    <w:rsid w:val="00E922BD"/>
    <w:rsid w:val="00E96465"/>
    <w:rsid w:val="00EA0161"/>
    <w:rsid w:val="00EA0268"/>
    <w:rsid w:val="00EA1289"/>
    <w:rsid w:val="00EA19F9"/>
    <w:rsid w:val="00EA2325"/>
    <w:rsid w:val="00EA24A7"/>
    <w:rsid w:val="00EA2664"/>
    <w:rsid w:val="00EA2F64"/>
    <w:rsid w:val="00EA78C9"/>
    <w:rsid w:val="00EA7AF2"/>
    <w:rsid w:val="00EB2144"/>
    <w:rsid w:val="00EB2599"/>
    <w:rsid w:val="00EB3C72"/>
    <w:rsid w:val="00EB4D0E"/>
    <w:rsid w:val="00EB763D"/>
    <w:rsid w:val="00EB7E10"/>
    <w:rsid w:val="00EB7E63"/>
    <w:rsid w:val="00EC00D4"/>
    <w:rsid w:val="00EC544B"/>
    <w:rsid w:val="00EC55A1"/>
    <w:rsid w:val="00EC58FA"/>
    <w:rsid w:val="00EC5C2D"/>
    <w:rsid w:val="00EC5ED4"/>
    <w:rsid w:val="00EC68A1"/>
    <w:rsid w:val="00EC7238"/>
    <w:rsid w:val="00EC75B2"/>
    <w:rsid w:val="00ED010D"/>
    <w:rsid w:val="00ED0427"/>
    <w:rsid w:val="00ED087C"/>
    <w:rsid w:val="00ED129A"/>
    <w:rsid w:val="00ED1F7F"/>
    <w:rsid w:val="00ED5B4E"/>
    <w:rsid w:val="00ED6568"/>
    <w:rsid w:val="00ED6945"/>
    <w:rsid w:val="00ED7C59"/>
    <w:rsid w:val="00EE16D6"/>
    <w:rsid w:val="00EE2856"/>
    <w:rsid w:val="00EE2EFC"/>
    <w:rsid w:val="00EE43B6"/>
    <w:rsid w:val="00EE550B"/>
    <w:rsid w:val="00EE6927"/>
    <w:rsid w:val="00EE7BDC"/>
    <w:rsid w:val="00EF0007"/>
    <w:rsid w:val="00EF1547"/>
    <w:rsid w:val="00EF1A5D"/>
    <w:rsid w:val="00EF1B3E"/>
    <w:rsid w:val="00EF3921"/>
    <w:rsid w:val="00EF3B7C"/>
    <w:rsid w:val="00EF43F7"/>
    <w:rsid w:val="00EF4808"/>
    <w:rsid w:val="00EF65A7"/>
    <w:rsid w:val="00EF76AE"/>
    <w:rsid w:val="00F0130A"/>
    <w:rsid w:val="00F039A7"/>
    <w:rsid w:val="00F04158"/>
    <w:rsid w:val="00F04CB3"/>
    <w:rsid w:val="00F06C87"/>
    <w:rsid w:val="00F06F13"/>
    <w:rsid w:val="00F077D1"/>
    <w:rsid w:val="00F10608"/>
    <w:rsid w:val="00F1271E"/>
    <w:rsid w:val="00F12A88"/>
    <w:rsid w:val="00F14FC8"/>
    <w:rsid w:val="00F1555E"/>
    <w:rsid w:val="00F173FC"/>
    <w:rsid w:val="00F2164E"/>
    <w:rsid w:val="00F21B99"/>
    <w:rsid w:val="00F23B4F"/>
    <w:rsid w:val="00F23CAF"/>
    <w:rsid w:val="00F243D3"/>
    <w:rsid w:val="00F24548"/>
    <w:rsid w:val="00F25936"/>
    <w:rsid w:val="00F26A70"/>
    <w:rsid w:val="00F27DE8"/>
    <w:rsid w:val="00F3071C"/>
    <w:rsid w:val="00F30C08"/>
    <w:rsid w:val="00F31EC9"/>
    <w:rsid w:val="00F3260F"/>
    <w:rsid w:val="00F326C3"/>
    <w:rsid w:val="00F35F4A"/>
    <w:rsid w:val="00F3773D"/>
    <w:rsid w:val="00F37AAE"/>
    <w:rsid w:val="00F40391"/>
    <w:rsid w:val="00F409A2"/>
    <w:rsid w:val="00F40D2E"/>
    <w:rsid w:val="00F411A3"/>
    <w:rsid w:val="00F41C12"/>
    <w:rsid w:val="00F423C5"/>
    <w:rsid w:val="00F42D5E"/>
    <w:rsid w:val="00F43256"/>
    <w:rsid w:val="00F438A9"/>
    <w:rsid w:val="00F44754"/>
    <w:rsid w:val="00F44D70"/>
    <w:rsid w:val="00F44E16"/>
    <w:rsid w:val="00F454CE"/>
    <w:rsid w:val="00F45729"/>
    <w:rsid w:val="00F46740"/>
    <w:rsid w:val="00F468AA"/>
    <w:rsid w:val="00F47B19"/>
    <w:rsid w:val="00F47D94"/>
    <w:rsid w:val="00F50322"/>
    <w:rsid w:val="00F5101E"/>
    <w:rsid w:val="00F5150D"/>
    <w:rsid w:val="00F51B4A"/>
    <w:rsid w:val="00F5341D"/>
    <w:rsid w:val="00F567DB"/>
    <w:rsid w:val="00F56D69"/>
    <w:rsid w:val="00F572F5"/>
    <w:rsid w:val="00F574D9"/>
    <w:rsid w:val="00F6040A"/>
    <w:rsid w:val="00F61C7C"/>
    <w:rsid w:val="00F623EE"/>
    <w:rsid w:val="00F626BE"/>
    <w:rsid w:val="00F62BA1"/>
    <w:rsid w:val="00F62D69"/>
    <w:rsid w:val="00F658D2"/>
    <w:rsid w:val="00F67356"/>
    <w:rsid w:val="00F67698"/>
    <w:rsid w:val="00F701D0"/>
    <w:rsid w:val="00F71A26"/>
    <w:rsid w:val="00F71BF6"/>
    <w:rsid w:val="00F728AF"/>
    <w:rsid w:val="00F730FE"/>
    <w:rsid w:val="00F74068"/>
    <w:rsid w:val="00F74AEA"/>
    <w:rsid w:val="00F76FB5"/>
    <w:rsid w:val="00F77EB1"/>
    <w:rsid w:val="00F803E7"/>
    <w:rsid w:val="00F80DA2"/>
    <w:rsid w:val="00F8237E"/>
    <w:rsid w:val="00F8296A"/>
    <w:rsid w:val="00F855B0"/>
    <w:rsid w:val="00F862A4"/>
    <w:rsid w:val="00F869B0"/>
    <w:rsid w:val="00F8730B"/>
    <w:rsid w:val="00F87467"/>
    <w:rsid w:val="00F8746B"/>
    <w:rsid w:val="00F918A2"/>
    <w:rsid w:val="00F91957"/>
    <w:rsid w:val="00F91C21"/>
    <w:rsid w:val="00F92113"/>
    <w:rsid w:val="00F9243C"/>
    <w:rsid w:val="00F92F0D"/>
    <w:rsid w:val="00F9313F"/>
    <w:rsid w:val="00F9325A"/>
    <w:rsid w:val="00F94175"/>
    <w:rsid w:val="00F960B3"/>
    <w:rsid w:val="00F9729E"/>
    <w:rsid w:val="00F9730F"/>
    <w:rsid w:val="00FA086F"/>
    <w:rsid w:val="00FA1B55"/>
    <w:rsid w:val="00FA1ECE"/>
    <w:rsid w:val="00FA2CA2"/>
    <w:rsid w:val="00FA366E"/>
    <w:rsid w:val="00FA3DD3"/>
    <w:rsid w:val="00FA41C4"/>
    <w:rsid w:val="00FA6886"/>
    <w:rsid w:val="00FA7C9B"/>
    <w:rsid w:val="00FB0396"/>
    <w:rsid w:val="00FB07CE"/>
    <w:rsid w:val="00FB16C4"/>
    <w:rsid w:val="00FB1888"/>
    <w:rsid w:val="00FB1B5D"/>
    <w:rsid w:val="00FB1ECE"/>
    <w:rsid w:val="00FB2382"/>
    <w:rsid w:val="00FB2431"/>
    <w:rsid w:val="00FB3BBE"/>
    <w:rsid w:val="00FB3E6E"/>
    <w:rsid w:val="00FB622B"/>
    <w:rsid w:val="00FB7EA5"/>
    <w:rsid w:val="00FC5D91"/>
    <w:rsid w:val="00FC6428"/>
    <w:rsid w:val="00FD2076"/>
    <w:rsid w:val="00FD28B0"/>
    <w:rsid w:val="00FD31F1"/>
    <w:rsid w:val="00FD48D1"/>
    <w:rsid w:val="00FD4F21"/>
    <w:rsid w:val="00FD738C"/>
    <w:rsid w:val="00FD74A3"/>
    <w:rsid w:val="00FE147A"/>
    <w:rsid w:val="00FE1FAE"/>
    <w:rsid w:val="00FE2B1D"/>
    <w:rsid w:val="00FE3867"/>
    <w:rsid w:val="00FE4076"/>
    <w:rsid w:val="00FE4507"/>
    <w:rsid w:val="00FE68E1"/>
    <w:rsid w:val="00FF0215"/>
    <w:rsid w:val="00FF2A22"/>
    <w:rsid w:val="00FF32A5"/>
    <w:rsid w:val="00FF37C7"/>
    <w:rsid w:val="00FF4583"/>
    <w:rsid w:val="00FF636C"/>
    <w:rsid w:val="00FF6786"/>
    <w:rsid w:val="00FF7348"/>
    <w:rsid w:val="039364A2"/>
    <w:rsid w:val="341D0D81"/>
    <w:rsid w:val="58253EC3"/>
    <w:rsid w:val="7E5426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240" w:lineRule="auto"/>
      <w:jc w:val="both"/>
    </w:pPr>
    <w:rPr>
      <w:rFonts w:ascii="Times New Roman" w:hAnsi="Times New Roman" w:eastAsia="宋体" w:cs="Times New Roman"/>
      <w:kern w:val="2"/>
      <w:sz w:val="21"/>
      <w:szCs w:val="21"/>
      <w:lang w:val="en-US" w:eastAsia="zh-CN" w:bidi="ar-SA"/>
    </w:rPr>
  </w:style>
  <w:style w:type="character" w:default="1" w:styleId="4">
    <w:name w:val="Default Paragraph Font"/>
    <w:autoRedefine/>
    <w:semiHidden/>
    <w:unhideWhenUsed/>
    <w:qFormat/>
    <w:uiPriority w:val="1"/>
  </w:style>
  <w:style w:type="table" w:default="1" w:styleId="3">
    <w:name w:val="Normal Table"/>
    <w:autoRedefine/>
    <w:semiHidden/>
    <w:unhideWhenUsed/>
    <w:qFormat/>
    <w:uiPriority w:val="99"/>
    <w:tblPr>
      <w:tblCellMar>
        <w:top w:w="0" w:type="dxa"/>
        <w:left w:w="108" w:type="dxa"/>
        <w:bottom w:w="0" w:type="dxa"/>
        <w:right w:w="108" w:type="dxa"/>
      </w:tblCellMar>
    </w:tblPr>
  </w:style>
  <w:style w:type="paragraph" w:styleId="2">
    <w:name w:val="Balloon Text"/>
    <w:basedOn w:val="1"/>
    <w:link w:val="5"/>
    <w:autoRedefine/>
    <w:semiHidden/>
    <w:unhideWhenUsed/>
    <w:qFormat/>
    <w:uiPriority w:val="99"/>
    <w:rPr>
      <w:sz w:val="18"/>
      <w:szCs w:val="18"/>
    </w:rPr>
  </w:style>
  <w:style w:type="character" w:customStyle="1" w:styleId="5">
    <w:name w:val="批注框文本 Char"/>
    <w:basedOn w:val="4"/>
    <w:link w:val="2"/>
    <w:autoRedefine/>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6</Pages>
  <Words>193</Words>
  <Characters>1103</Characters>
  <Lines>9</Lines>
  <Paragraphs>2</Paragraphs>
  <TotalTime>1</TotalTime>
  <ScaleCrop>false</ScaleCrop>
  <LinksUpToDate>false</LinksUpToDate>
  <CharactersWithSpaces>1294</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2024-05-27T07:50:00Z</dcterms:created>
  <dc:creator>华容县妇幼保健计划生育服务中心</dc:creator>
  <cp:lastModifiedBy>Administrator</cp:lastModifiedBy>
  <dcterms:modified xsi:type="dcterms:W3CDTF">2024-05-28T09:17:57Z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0134A13E2ECF44C3A34A12E24A4CB08A_12</vt:lpwstr>
  </property>
</Properties>
</file>