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560" w:firstLineChars="200"/>
        <w:rPr>
          <w:rFonts w:hint="eastAsia" w:ascii="仿宋" w:hAnsi="仿宋" w:eastAsia="仿宋"/>
          <w:sz w:val="28"/>
          <w:szCs w:val="28"/>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方正小标宋简体"/>
          <w:sz w:val="44"/>
          <w:szCs w:val="44"/>
        </w:rPr>
      </w:pPr>
      <w:r>
        <w:rPr>
          <w:rFonts w:hint="eastAsia" w:ascii="方正小标宋简体"/>
          <w:sz w:val="44"/>
          <w:szCs w:val="44"/>
        </w:rPr>
        <w:t>2023</w:t>
      </w:r>
      <w:r>
        <w:rPr>
          <w:rFonts w:hint="eastAsia" w:ascii="宋体" w:hAnsi="宋体"/>
          <w:sz w:val="44"/>
          <w:szCs w:val="44"/>
        </w:rPr>
        <w:t>年度华容县妇幼保健院</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sz w:val="44"/>
          <w:szCs w:val="44"/>
        </w:rPr>
      </w:pPr>
      <w:r>
        <w:rPr>
          <w:rFonts w:hint="eastAsia" w:ascii="宋体" w:hAnsi="宋体"/>
          <w:sz w:val="44"/>
          <w:szCs w:val="44"/>
        </w:rPr>
        <w:t>公立医院综合改革补助项目支出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sz w:val="44"/>
          <w:szCs w:val="44"/>
        </w:rPr>
      </w:pPr>
      <w:r>
        <w:rPr>
          <w:rFonts w:hint="eastAsia" w:ascii="宋体" w:hAnsi="宋体"/>
          <w:sz w:val="44"/>
          <w:szCs w:val="44"/>
        </w:rPr>
        <w:t>绩效自评报告</w:t>
      </w:r>
    </w:p>
    <w:p>
      <w:pPr>
        <w:spacing w:line="600" w:lineRule="exact"/>
        <w:rPr>
          <w:rFonts w:hint="eastAsia" w:ascii="仿宋" w:hAnsi="仿宋" w:eastAsia="仿宋"/>
          <w:sz w:val="28"/>
          <w:szCs w:val="28"/>
        </w:rPr>
      </w:pPr>
    </w:p>
    <w:p>
      <w:pPr>
        <w:spacing w:line="600" w:lineRule="exact"/>
        <w:ind w:firstLine="560" w:firstLineChars="200"/>
        <w:rPr>
          <w:rFonts w:ascii="黑体" w:hAnsi="黑体" w:eastAsia="黑体"/>
          <w:bCs/>
          <w:sz w:val="28"/>
          <w:szCs w:val="28"/>
        </w:rPr>
      </w:pPr>
      <w:r>
        <w:rPr>
          <w:rFonts w:hint="eastAsia" w:ascii="仿宋" w:hAnsi="仿宋" w:eastAsia="仿宋"/>
          <w:sz w:val="28"/>
          <w:szCs w:val="28"/>
        </w:rPr>
        <w:t>按照《华容县2023年公立医院综合改革真抓实干实施方案》文件精神及县财政局关于绩效评价工作的要求，我院组织对2023年的公立医院综合改革项目工作进行了综合评价，项目评价具体情况如下：</w:t>
      </w:r>
    </w:p>
    <w:p>
      <w:pPr>
        <w:spacing w:line="600" w:lineRule="exact"/>
        <w:ind w:firstLine="562" w:firstLineChars="200"/>
        <w:rPr>
          <w:rFonts w:hint="eastAsia" w:ascii="黑体" w:hAnsi="黑体" w:eastAsia="黑体"/>
          <w:bCs/>
          <w:sz w:val="28"/>
          <w:szCs w:val="28"/>
        </w:rPr>
      </w:pPr>
      <w:r>
        <w:rPr>
          <w:rFonts w:hint="eastAsia" w:ascii="黑体" w:hAnsi="黑体" w:eastAsia="黑体"/>
          <w:b/>
          <w:sz w:val="28"/>
          <w:szCs w:val="28"/>
        </w:rPr>
        <w:t>一、项目基本情况</w:t>
      </w:r>
    </w:p>
    <w:p>
      <w:pPr>
        <w:spacing w:line="600" w:lineRule="exact"/>
        <w:ind w:firstLine="280" w:firstLineChars="100"/>
        <w:rPr>
          <w:rFonts w:hint="eastAsia" w:ascii="仿宋" w:hAnsi="仿宋" w:eastAsia="仿宋"/>
          <w:bCs/>
          <w:sz w:val="28"/>
          <w:szCs w:val="28"/>
        </w:rPr>
      </w:pPr>
      <w:r>
        <w:rPr>
          <w:rFonts w:hint="eastAsia" w:ascii="仿宋" w:hAnsi="仿宋" w:eastAsia="仿宋"/>
          <w:bCs/>
          <w:sz w:val="28"/>
          <w:szCs w:val="28"/>
        </w:rPr>
        <w:t>（一）项目概况</w:t>
      </w:r>
    </w:p>
    <w:p>
      <w:pPr>
        <w:spacing w:line="600" w:lineRule="exact"/>
        <w:ind w:firstLine="560" w:firstLineChars="200"/>
        <w:rPr>
          <w:rFonts w:hint="eastAsia" w:ascii="仿宋" w:hAnsi="仿宋" w:eastAsia="仿宋"/>
          <w:sz w:val="28"/>
          <w:szCs w:val="28"/>
        </w:rPr>
      </w:pPr>
      <w:r>
        <w:rPr>
          <w:rFonts w:hint="eastAsia" w:ascii="仿宋" w:hAnsi="仿宋" w:eastAsia="仿宋"/>
          <w:bCs/>
          <w:sz w:val="28"/>
          <w:szCs w:val="28"/>
        </w:rPr>
        <w:t>2009年4月6日，孕育近3年的新医改转入施行阶段，“推进公立医院改革”是新医改方案确定的五项重点改革内容之一，2015年5月18日，国务院办公厅印发《关于城市公立医院综合改革试点的指导意见》，2017年，城市公立医院综合改革试点全面推开，截至2017年9月底，全国所有公立医院已全部开展综合改革，逐步建立起维护公益性、调动积极性的公立医院运行新机制，缓解群众看病贵、看病难。我院在县政府、县卫健局的指导下，按照公立医院改革文件精神，建立健全现代医院管理制度，提升医疗服务体系能力。为确保医院可持续发展，满足广大患者的诊治需求，加快诊治效率，提高诊疗准确性，提升患者满意率，我院将公立医院改革项目资金用于</w:t>
      </w:r>
      <w:r>
        <w:rPr>
          <w:rFonts w:hint="eastAsia" w:ascii="仿宋" w:hAnsi="仿宋" w:eastAsia="仿宋"/>
          <w:color w:val="333333"/>
          <w:sz w:val="28"/>
          <w:szCs w:val="28"/>
          <w:shd w:val="clear" w:color="auto" w:fill="FFFFFF"/>
        </w:rPr>
        <w:t>临床重点学科和信息系统建设、人才培养、医疗、办公设备购置、维修、</w:t>
      </w:r>
      <w:r>
        <w:rPr>
          <w:rFonts w:hint="eastAsia" w:ascii="仿宋" w:hAnsi="仿宋" w:eastAsia="仿宋"/>
          <w:bCs/>
          <w:sz w:val="28"/>
          <w:szCs w:val="28"/>
        </w:rPr>
        <w:t>购买专用设备等。根据财政局文件精神，审议核定我院2023年用于公立医院改革项目的财政拨款资金74万元，该笔款项于2023年下达我院。</w:t>
      </w:r>
    </w:p>
    <w:p>
      <w:pPr>
        <w:spacing w:line="600" w:lineRule="exact"/>
        <w:ind w:firstLine="280" w:firstLineChars="100"/>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（二）项目绩效目标</w:t>
      </w:r>
    </w:p>
    <w:p>
      <w:pPr>
        <w:spacing w:line="600" w:lineRule="exact"/>
        <w:ind w:firstLine="560" w:firstLineChars="200"/>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总体目标：激发医护人员的积极性创造性，改善医患关系，提升医务人员和患者的满意度及幸福感。</w:t>
      </w:r>
    </w:p>
    <w:p>
      <w:pPr>
        <w:spacing w:line="600" w:lineRule="exact"/>
        <w:ind w:firstLine="560" w:firstLineChars="200"/>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阶段性目标：进一步完善服务体系，创新服务机制，彻底根除以药养医，薪酬改革向纵深推进、建立完整的现代医院管理制度。</w:t>
      </w:r>
    </w:p>
    <w:p>
      <w:pPr>
        <w:spacing w:line="600" w:lineRule="exact"/>
        <w:ind w:firstLine="562" w:firstLineChars="200"/>
        <w:rPr>
          <w:rFonts w:hint="eastAsia" w:ascii="黑体" w:hAnsi="黑体" w:eastAsia="黑体"/>
          <w:color w:val="333333"/>
          <w:sz w:val="28"/>
          <w:szCs w:val="28"/>
          <w:shd w:val="clear" w:color="auto" w:fill="FFFFFF"/>
        </w:rPr>
      </w:pPr>
      <w:r>
        <w:rPr>
          <w:rFonts w:hint="eastAsia" w:ascii="黑体" w:hAnsi="黑体" w:eastAsia="黑体"/>
          <w:b/>
          <w:bCs/>
          <w:color w:val="333333"/>
          <w:sz w:val="28"/>
          <w:szCs w:val="28"/>
          <w:shd w:val="clear" w:color="auto" w:fill="FFFFFF"/>
        </w:rPr>
        <w:t>二、绩效评价工作开展情况</w:t>
      </w:r>
    </w:p>
    <w:p>
      <w:pPr>
        <w:widowControl/>
        <w:spacing w:line="600" w:lineRule="exact"/>
        <w:ind w:firstLine="560" w:firstLineChars="200"/>
        <w:jc w:val="lef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（一）绩效评价的目的、对象和范围：绩效评价是为检验公立医院改革成果和工作成效，进一步深化公立医院改革，推进现代医院管理制度建设，实现医疗服务能力提升和服务效率的提高。</w:t>
      </w:r>
    </w:p>
    <w:p>
      <w:pPr>
        <w:widowControl/>
        <w:spacing w:line="600" w:lineRule="exact"/>
        <w:ind w:firstLine="560" w:firstLineChars="200"/>
        <w:jc w:val="lef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（二）绩效评价原则、评价指标体系、评价方法、评价标准：绩效评价是以百分制的形式从党建、社会效益、医疗服务、综合管理、可持续发展等几个方面进行综合评价。</w:t>
      </w:r>
    </w:p>
    <w:p>
      <w:pPr>
        <w:widowControl/>
        <w:spacing w:line="600" w:lineRule="exact"/>
        <w:ind w:firstLine="560" w:firstLineChars="200"/>
        <w:jc w:val="lef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三、绩效评价工作过程：绩效评价小组主要采取“一听、二看、三查、四评”的方法开展工作。“一听”主要指现场座谈，听取医院各科室对改革的意见与建议;“二看”主要是指实地检查，了解改革实施情况和就医群众的反馈:“三查”主要是指查阅文件档案等实施资料;“四评”主要是指根据听、看、查情况，对工作遵循公平、公正、独立的原则，按照评价指标体系进行评分。评分后就医院经验，做法及存在的主要问题进行分析总结，确定项目绩效的评价结果。</w:t>
      </w:r>
    </w:p>
    <w:p>
      <w:pPr>
        <w:spacing w:line="600" w:lineRule="exact"/>
        <w:ind w:firstLine="562" w:firstLineChars="200"/>
        <w:rPr>
          <w:rFonts w:hint="eastAsia" w:ascii="黑体" w:hAnsi="黑体" w:eastAsia="黑体"/>
          <w:b/>
          <w:sz w:val="28"/>
          <w:szCs w:val="28"/>
        </w:rPr>
      </w:pPr>
      <w:r>
        <w:rPr>
          <w:rFonts w:hint="eastAsia" w:ascii="黑体" w:hAnsi="黑体" w:eastAsia="黑体"/>
          <w:b/>
          <w:sz w:val="28"/>
          <w:szCs w:val="28"/>
        </w:rPr>
        <w:t>三、综合评价情况及评价结论</w:t>
      </w:r>
    </w:p>
    <w:p>
      <w:pPr>
        <w:widowControl/>
        <w:spacing w:line="600" w:lineRule="exact"/>
        <w:ind w:firstLine="560" w:firstLineChars="200"/>
        <w:jc w:val="lef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 xml:space="preserve"> 项目各项绩效目标完成情况良好，项目经费能严格按照专项经费的管理使用要求和相应项目实施方案要求进行项目收支管理，绩效得分92分，自评为优。 </w:t>
      </w:r>
    </w:p>
    <w:p>
      <w:pPr>
        <w:spacing w:line="600" w:lineRule="exact"/>
        <w:ind w:firstLine="562" w:firstLineChars="200"/>
        <w:rPr>
          <w:rFonts w:hint="eastAsia" w:ascii="黑体" w:hAnsi="黑体" w:eastAsia="黑体"/>
          <w:b/>
          <w:sz w:val="28"/>
          <w:szCs w:val="28"/>
        </w:rPr>
      </w:pPr>
      <w:r>
        <w:rPr>
          <w:rFonts w:hint="eastAsia" w:ascii="黑体" w:hAnsi="黑体" w:eastAsia="黑体"/>
          <w:b/>
          <w:sz w:val="28"/>
          <w:szCs w:val="28"/>
        </w:rPr>
        <w:t>四、绩效评价指标分析</w:t>
      </w:r>
    </w:p>
    <w:p>
      <w:pPr>
        <w:spacing w:line="600" w:lineRule="exact"/>
        <w:ind w:firstLine="560" w:firstLineChars="200"/>
        <w:jc w:val="left"/>
        <w:rPr>
          <w:rFonts w:hint="eastAsia" w:ascii="仿宋" w:hAnsi="仿宋" w:eastAsia="仿宋"/>
          <w:color w:val="333333"/>
          <w:sz w:val="28"/>
          <w:szCs w:val="28"/>
          <w:shd w:val="clear" w:color="auto" w:fill="FFFFFF"/>
        </w:rPr>
      </w:pPr>
      <w:r>
        <w:rPr>
          <w:rFonts w:hint="eastAsia" w:ascii="仿宋" w:hAnsi="仿宋" w:eastAsia="仿宋"/>
          <w:color w:val="000000"/>
          <w:kern w:val="0"/>
          <w:sz w:val="28"/>
          <w:szCs w:val="28"/>
        </w:rPr>
        <w:t>我院自开展县级公立医院改革工作以来，院领导班子高度重视，立即成立了以院长为组长的组织领导小组，按要求制订了实施方案，并根据实施方案，多次召开相关会议，部署了我院医改工作，对各项工作明确了具体的工作步骤与目标，并制定相应的考核办法。具体做法是</w:t>
      </w:r>
      <w:r>
        <w:rPr>
          <w:rFonts w:hint="eastAsia" w:ascii="仿宋" w:hAnsi="仿宋" w:eastAsia="仿宋"/>
          <w:sz w:val="28"/>
          <w:szCs w:val="28"/>
        </w:rPr>
        <w:t>制定医院章程，完善管理制度；</w:t>
      </w:r>
      <w:r>
        <w:rPr>
          <w:rFonts w:hint="eastAsia" w:ascii="仿宋" w:hAnsi="仿宋" w:eastAsia="仿宋"/>
          <w:color w:val="000000"/>
          <w:kern w:val="0"/>
          <w:sz w:val="28"/>
          <w:szCs w:val="28"/>
        </w:rPr>
        <w:t>加强药品、耗材的采购与管理；调整医疗服务价格；进一步完善医院信息系统建设，</w:t>
      </w:r>
      <w:r>
        <w:rPr>
          <w:rFonts w:hint="eastAsia" w:ascii="仿宋" w:hAnsi="仿宋" w:eastAsia="仿宋"/>
          <w:sz w:val="28"/>
          <w:szCs w:val="28"/>
        </w:rPr>
        <w:t>积极推进“互联网+医疗健康”；</w:t>
      </w:r>
      <w:r>
        <w:rPr>
          <w:rFonts w:hint="eastAsia" w:ascii="仿宋" w:hAnsi="仿宋" w:eastAsia="仿宋"/>
          <w:color w:val="000000"/>
          <w:kern w:val="0"/>
          <w:sz w:val="28"/>
          <w:szCs w:val="28"/>
        </w:rPr>
        <w:t>启动二级公立医院薪酬制度改革；</w:t>
      </w:r>
      <w:r>
        <w:rPr>
          <w:rFonts w:hint="eastAsia" w:ascii="仿宋" w:hAnsi="仿宋" w:eastAsia="仿宋"/>
          <w:sz w:val="28"/>
          <w:szCs w:val="28"/>
        </w:rPr>
        <w:t>加强医德医风管理；落实“结对帮扶”政策。</w:t>
      </w:r>
      <w:r>
        <w:rPr>
          <w:rFonts w:hint="eastAsia" w:ascii="仿宋" w:hAnsi="仿宋" w:eastAsia="仿宋"/>
          <w:color w:val="333333"/>
          <w:sz w:val="28"/>
          <w:szCs w:val="28"/>
          <w:shd w:val="clear" w:color="auto" w:fill="FFFFFF"/>
        </w:rPr>
        <w:t>2023年度财政拨付我院综合改革补助资金74万元，12月已全部到位并使用，主要用于增强医院医疗服务能力体系：临床重点学科建设、信息化建设、人才培养、设备购置维修等方面，该笔资金于2023年已使用完毕。医院财务科按照财政资金管理制度对项目资金使用进行管理，专款专用，严格按照财政资金支出进度用款，没有出现项目资金被占用、挪用的情况。项目产出情况：一是数量指标，完成专用设备采购。二是质量指标，设备到货后验收使用，三是时效指标，本年采购及支付及时，四是成本指标，共支出74万元。项目效益情况：一是社会效益，合理控制了医药费用不合理增长幅度。二是生态效益，根据环境保护的相关规定，单位针对医疗废物、污水处理等对环境会造成污染的排放物及固体垃圾，都按照相关规定摆放、处理后，由专门的人进行清理及检测，避免造成环境污染。四是可持续影响，通过加强重点学科建设，更新医疗设备，逐步推进适合妇幼机构的现代医院管理制度建设，不断提高医疗服务水平，合理控制医药费用不合理增长状况，群众满意度明显提升，就医费用负担明显减轻，基本达成预期指标。</w:t>
      </w:r>
    </w:p>
    <w:p>
      <w:pPr>
        <w:spacing w:line="600" w:lineRule="exact"/>
        <w:ind w:firstLine="562" w:firstLineChars="200"/>
        <w:rPr>
          <w:rFonts w:hint="eastAsia" w:ascii="仿宋" w:hAnsi="仿宋" w:eastAsia="仿宋"/>
          <w:color w:val="333333"/>
          <w:sz w:val="28"/>
          <w:szCs w:val="28"/>
          <w:shd w:val="clear" w:color="auto" w:fill="FFFFFF"/>
        </w:rPr>
      </w:pPr>
      <w:r>
        <w:rPr>
          <w:rFonts w:hint="eastAsia" w:ascii="黑体" w:hAnsi="黑体" w:eastAsia="黑体"/>
          <w:b/>
          <w:sz w:val="28"/>
          <w:szCs w:val="28"/>
        </w:rPr>
        <w:t>五、主要经验及做法、存在问题及原因分析</w:t>
      </w:r>
    </w:p>
    <w:p>
      <w:pPr>
        <w:widowControl/>
        <w:spacing w:line="600" w:lineRule="exact"/>
        <w:ind w:firstLine="560" w:firstLineChars="200"/>
        <w:jc w:val="lef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我院领导高度重视财政支出绩效自评工作，认真贯彻落实党的十九大关于“全面实施绩效管理”要求，精心组织评价小组开展绩效自评工作，切实提高自评质量，通过开展项目绩效自评工作，能及时发现项目实施过程中存在的问题，有效加强对项目建设的监管，加快项目建设进度。绩效自评工作已取得诸多成效，但仍存在评价结果应用不到位，评价层次不全面；预算绩效观念不深入，思想认识有误区；绩效管理专业人员匮乏，规范管理有盲点；评价指标体系不完善，实际操作有难度；评价结果运用不充分，推动作用有局限等问题。</w:t>
      </w:r>
    </w:p>
    <w:p>
      <w:pPr>
        <w:spacing w:line="600" w:lineRule="exact"/>
        <w:ind w:firstLine="562" w:firstLineChars="200"/>
        <w:rPr>
          <w:rFonts w:hint="eastAsia" w:ascii="黑体" w:hAnsi="黑体" w:eastAsia="黑体"/>
          <w:b/>
          <w:sz w:val="28"/>
          <w:szCs w:val="28"/>
        </w:rPr>
      </w:pPr>
      <w:r>
        <w:rPr>
          <w:rFonts w:hint="eastAsia" w:ascii="黑体" w:hAnsi="黑体" w:eastAsia="黑体"/>
          <w:b/>
          <w:sz w:val="28"/>
          <w:szCs w:val="28"/>
        </w:rPr>
        <w:t>六、有关建议</w:t>
      </w:r>
    </w:p>
    <w:p>
      <w:pPr>
        <w:spacing w:line="600" w:lineRule="exact"/>
        <w:ind w:firstLine="560" w:firstLineChars="200"/>
        <w:jc w:val="left"/>
        <w:rPr>
          <w:rFonts w:hint="eastAsia" w:ascii="仿宋" w:hAnsi="仿宋" w:eastAsia="仿宋"/>
          <w:color w:val="333333"/>
          <w:sz w:val="28"/>
          <w:szCs w:val="28"/>
          <w:shd w:val="clear" w:color="auto" w:fill="FFFFFF"/>
        </w:rPr>
      </w:pPr>
      <w:r>
        <w:rPr>
          <w:rFonts w:hint="eastAsia" w:ascii="仿宋" w:hAnsi="仿宋" w:eastAsia="仿宋"/>
          <w:color w:val="333333"/>
          <w:sz w:val="28"/>
          <w:szCs w:val="28"/>
          <w:shd w:val="clear" w:color="auto" w:fill="FFFFFF"/>
        </w:rPr>
        <w:t>一是加强财政支出绩效评价结果的应用，通过运用财政支出绩效评价结果，发现绩效评价对象在财政资金管理和使用过程中存在的不足，制定解决措施和方案，提高部门理财水平；二是财政部门进一步加强业务培训，组织相关单位人员学习交流、拓展工作思路，提升业务水平；三是加强宣传引导，强化绩效观念；四是完善指标体系，规范评价标准；五是强化运行监管，突出结果导向。</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widowControl/>
        <w:spacing w:beforeLines="50" w:afterLines="100" w:line="600" w:lineRule="exact"/>
        <w:jc w:val="center"/>
        <w:rPr>
          <w:rFonts w:ascii="方正小标宋简体" w:hAnsi="方正小标宋简体"/>
          <w:color w:val="000000"/>
          <w:sz w:val="44"/>
          <w:szCs w:val="44"/>
        </w:rPr>
      </w:pPr>
    </w:p>
    <w:p>
      <w:pPr>
        <w:widowControl/>
        <w:spacing w:beforeLines="50" w:afterLines="100" w:line="600" w:lineRule="exact"/>
        <w:jc w:val="center"/>
        <w:rPr>
          <w:rFonts w:ascii="方正小标宋简体" w:hAnsi="方正小标宋简体"/>
          <w:color w:val="000000"/>
          <w:sz w:val="44"/>
          <w:szCs w:val="44"/>
        </w:rPr>
      </w:pPr>
    </w:p>
    <w:p>
      <w:pPr>
        <w:widowControl/>
        <w:spacing w:beforeLines="50" w:afterLines="100" w:line="600" w:lineRule="exact"/>
        <w:jc w:val="center"/>
        <w:rPr>
          <w:rFonts w:ascii="方正小标宋简体" w:hAnsi="方正小标宋简体"/>
          <w:color w:val="000000"/>
          <w:sz w:val="44"/>
          <w:szCs w:val="44"/>
        </w:rPr>
      </w:pPr>
      <w:bookmarkStart w:id="0" w:name="_GoBack"/>
      <w:bookmarkEnd w:id="0"/>
      <w:r>
        <w:rPr>
          <w:rFonts w:ascii="方正小标宋简体" w:hAnsi="方正小标宋简体"/>
          <w:color w:val="000000"/>
          <w:sz w:val="44"/>
          <w:szCs w:val="44"/>
        </w:rPr>
        <w:t>项目支出绩效评价评分表</w:t>
      </w:r>
    </w:p>
    <w:tbl>
      <w:tblPr>
        <w:tblStyle w:val="2"/>
        <w:tblW w:w="9820" w:type="dxa"/>
        <w:jc w:val="center"/>
        <w:tblLayout w:type="fixed"/>
        <w:tblCellMar>
          <w:top w:w="0" w:type="dxa"/>
          <w:left w:w="108" w:type="dxa"/>
          <w:bottom w:w="0" w:type="dxa"/>
          <w:right w:w="108" w:type="dxa"/>
        </w:tblCellMar>
      </w:tblPr>
      <w:tblGrid>
        <w:gridCol w:w="702"/>
        <w:gridCol w:w="540"/>
        <w:gridCol w:w="703"/>
        <w:gridCol w:w="540"/>
        <w:gridCol w:w="803"/>
        <w:gridCol w:w="550"/>
        <w:gridCol w:w="2407"/>
        <w:gridCol w:w="2772"/>
        <w:gridCol w:w="803"/>
      </w:tblGrid>
      <w:tr>
        <w:tblPrEx>
          <w:tblCellMar>
            <w:top w:w="0" w:type="dxa"/>
            <w:left w:w="108" w:type="dxa"/>
            <w:bottom w:w="0" w:type="dxa"/>
            <w:right w:w="108" w:type="dxa"/>
          </w:tblCellMar>
        </w:tblPrEx>
        <w:trPr>
          <w:trHeight w:val="582" w:hRule="atLeast"/>
          <w:jc w:val="center"/>
        </w:trPr>
        <w:tc>
          <w:tcPr>
            <w:tcW w:w="70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一级</w:t>
            </w:r>
          </w:p>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分值</w:t>
            </w:r>
          </w:p>
        </w:tc>
        <w:tc>
          <w:tcPr>
            <w:tcW w:w="703"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二级</w:t>
            </w:r>
          </w:p>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4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分值</w:t>
            </w:r>
          </w:p>
        </w:tc>
        <w:tc>
          <w:tcPr>
            <w:tcW w:w="803"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三级</w:t>
            </w:r>
          </w:p>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指标</w:t>
            </w:r>
          </w:p>
        </w:tc>
        <w:tc>
          <w:tcPr>
            <w:tcW w:w="55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分值</w:t>
            </w:r>
          </w:p>
        </w:tc>
        <w:tc>
          <w:tcPr>
            <w:tcW w:w="2407"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具体指标</w:t>
            </w:r>
          </w:p>
        </w:tc>
        <w:tc>
          <w:tcPr>
            <w:tcW w:w="2772"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评价标准</w:t>
            </w:r>
          </w:p>
        </w:tc>
        <w:tc>
          <w:tcPr>
            <w:tcW w:w="803" w:type="dxa"/>
            <w:tcBorders>
              <w:top w:val="single" w:color="auto" w:sz="4" w:space="0"/>
              <w:left w:val="nil"/>
              <w:bottom w:val="single" w:color="000000" w:sz="4" w:space="0"/>
              <w:right w:val="single" w:color="auto" w:sz="4" w:space="0"/>
            </w:tcBorders>
            <w:shd w:val="clear" w:color="auto" w:fill="FFFFFF"/>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自评</w:t>
            </w:r>
          </w:p>
          <w:p>
            <w:pPr>
              <w:widowControl/>
              <w:spacing w:line="240" w:lineRule="exact"/>
              <w:jc w:val="center"/>
              <w:rPr>
                <w:rFonts w:ascii="仿宋_GB2312" w:hAnsi="宋体" w:cs="宋体"/>
                <w:b/>
                <w:bCs/>
                <w:kern w:val="0"/>
                <w:sz w:val="24"/>
                <w:szCs w:val="24"/>
              </w:rPr>
            </w:pPr>
            <w:r>
              <w:rPr>
                <w:rFonts w:ascii="仿宋_GB2312" w:hAnsi="仿宋_GB2312" w:cs="宋体"/>
                <w:b/>
                <w:bCs/>
                <w:kern w:val="0"/>
                <w:sz w:val="18"/>
                <w:szCs w:val="18"/>
              </w:rPr>
              <w:t>得分</w:t>
            </w:r>
          </w:p>
        </w:tc>
      </w:tr>
      <w:tr>
        <w:tblPrEx>
          <w:tblCellMar>
            <w:top w:w="0" w:type="dxa"/>
            <w:left w:w="108" w:type="dxa"/>
            <w:bottom w:w="0" w:type="dxa"/>
            <w:right w:w="108" w:type="dxa"/>
          </w:tblCellMar>
        </w:tblPrEx>
        <w:trPr>
          <w:trHeight w:val="438"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r>
              <w:rPr>
                <w:rFonts w:hint="eastAsia" w:ascii="仿宋_GB2312" w:hAnsi="仿宋_GB2312" w:cs="宋体"/>
                <w:kern w:val="0"/>
                <w:sz w:val="18"/>
                <w:szCs w:val="18"/>
              </w:rPr>
              <w:t>项目管 理</w:t>
            </w:r>
          </w:p>
          <w:p>
            <w:pPr>
              <w:widowControl/>
              <w:spacing w:line="240" w:lineRule="exact"/>
              <w:ind w:left="113" w:right="113" w:firstLine="2520" w:firstLineChars="1400"/>
              <w:rPr>
                <w:rFonts w:ascii="仿宋_GB2312" w:hAnsi="宋体" w:cs="宋体"/>
                <w:kern w:val="0"/>
                <w:sz w:val="18"/>
                <w:szCs w:val="18"/>
              </w:rPr>
            </w:pP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rPr>
                <w:rFonts w:hint="default" w:eastAsia="宋体"/>
                <w:lang w:val="en-US" w:eastAsia="zh-CN"/>
              </w:rPr>
            </w:pPr>
            <w:r>
              <w:rPr>
                <w:rFonts w:hint="eastAsia" w:ascii="仿宋_GB2312" w:hAnsi="仿宋_GB2312" w:cs="宋体"/>
                <w:kern w:val="0"/>
                <w:sz w:val="18"/>
                <w:szCs w:val="18"/>
                <w:lang w:val="en-US" w:eastAsia="zh-CN"/>
              </w:rPr>
              <w:t>10</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资金到位</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5</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到位率</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3</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实际到位/计划到位*100%</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根据项目资金的实际到位率计算得分（</w:t>
            </w:r>
            <w:r>
              <w:rPr>
                <w:rFonts w:hint="eastAsia" w:ascii="仿宋_GB2312" w:hAnsi="仿宋_GB2312" w:cs="宋体"/>
                <w:kern w:val="0"/>
                <w:sz w:val="18"/>
                <w:szCs w:val="18"/>
                <w:lang w:val="en-US" w:eastAsia="zh-CN"/>
              </w:rPr>
              <w:t>3</w:t>
            </w:r>
            <w:r>
              <w:rPr>
                <w:rFonts w:ascii="仿宋_GB2312" w:hAnsi="仿宋_GB2312" w:cs="宋体"/>
                <w:kern w:val="0"/>
                <w:sz w:val="18"/>
                <w:szCs w:val="18"/>
              </w:rPr>
              <w:t>分）</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3</w:t>
            </w:r>
          </w:p>
        </w:tc>
      </w:tr>
      <w:tr>
        <w:tblPrEx>
          <w:tblCellMar>
            <w:top w:w="0" w:type="dxa"/>
            <w:left w:w="108" w:type="dxa"/>
            <w:bottom w:w="0" w:type="dxa"/>
            <w:right w:w="108" w:type="dxa"/>
          </w:tblCellMar>
        </w:tblPrEx>
        <w:trPr>
          <w:trHeight w:val="744"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到位</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时效</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2</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资金及时到位；若未及时到位，是否影响项目进度</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到位及时（</w:t>
            </w:r>
            <w:r>
              <w:rPr>
                <w:rFonts w:hint="eastAsia" w:ascii="仿宋_GB2312" w:hAnsi="仿宋_GB2312" w:cs="宋体"/>
                <w:kern w:val="0"/>
                <w:sz w:val="18"/>
                <w:szCs w:val="18"/>
                <w:lang w:val="en-US" w:eastAsia="zh-CN"/>
              </w:rPr>
              <w:t>2</w:t>
            </w:r>
            <w:r>
              <w:rPr>
                <w:rFonts w:ascii="仿宋_GB2312" w:hAnsi="仿宋_GB2312" w:cs="宋体"/>
                <w:kern w:val="0"/>
                <w:sz w:val="18"/>
                <w:szCs w:val="18"/>
              </w:rPr>
              <w:t>分）</w:t>
            </w:r>
          </w:p>
          <w:p>
            <w:pPr>
              <w:widowControl/>
              <w:spacing w:line="240" w:lineRule="exact"/>
              <w:jc w:val="left"/>
              <w:rPr>
                <w:rFonts w:ascii="仿宋_GB2312" w:hAnsi="宋体" w:cs="宋体"/>
                <w:spacing w:val="-10"/>
                <w:kern w:val="0"/>
                <w:sz w:val="18"/>
                <w:szCs w:val="18"/>
              </w:rPr>
            </w:pPr>
            <w:r>
              <w:rPr>
                <w:rFonts w:hint="eastAsia" w:ascii="宋体" w:hAnsi="宋体" w:cs="宋体"/>
                <w:spacing w:val="-10"/>
                <w:kern w:val="0"/>
                <w:sz w:val="18"/>
                <w:szCs w:val="18"/>
              </w:rPr>
              <w:t>②</w:t>
            </w:r>
            <w:r>
              <w:rPr>
                <w:rFonts w:ascii="仿宋_GB2312" w:hAnsi="仿宋_GB2312" w:cs="宋体"/>
                <w:spacing w:val="-10"/>
                <w:kern w:val="0"/>
                <w:sz w:val="18"/>
                <w:szCs w:val="18"/>
              </w:rPr>
              <w:t>不及时但未影响项目进度 （</w:t>
            </w:r>
            <w:r>
              <w:rPr>
                <w:rFonts w:hint="eastAsia" w:ascii="仿宋_GB2312" w:hAnsi="仿宋_GB2312" w:cs="宋体"/>
                <w:spacing w:val="-10"/>
                <w:kern w:val="0"/>
                <w:sz w:val="18"/>
                <w:szCs w:val="18"/>
                <w:lang w:val="en-US" w:eastAsia="zh-CN"/>
              </w:rPr>
              <w:t>1</w:t>
            </w:r>
            <w:r>
              <w:rPr>
                <w:rFonts w:ascii="仿宋_GB2312" w:hAnsi="仿宋_GB2312" w:cs="宋体"/>
                <w:spacing w:val="-10"/>
                <w:kern w:val="0"/>
                <w:sz w:val="18"/>
                <w:szCs w:val="18"/>
              </w:rPr>
              <w:t>分）</w:t>
            </w:r>
          </w:p>
          <w:p>
            <w:pPr>
              <w:widowControl/>
              <w:spacing w:line="240" w:lineRule="exact"/>
              <w:jc w:val="left"/>
              <w:rPr>
                <w:rFonts w:ascii="仿宋_GB2312" w:hAnsi="宋体" w:cs="宋体"/>
                <w:kern w:val="0"/>
                <w:sz w:val="18"/>
                <w:szCs w:val="18"/>
              </w:rPr>
            </w:pPr>
            <w:r>
              <w:rPr>
                <w:rFonts w:hint="eastAsia" w:ascii="宋体" w:hAnsi="宋体" w:cs="宋体"/>
                <w:spacing w:val="-6"/>
                <w:kern w:val="0"/>
                <w:sz w:val="18"/>
                <w:szCs w:val="18"/>
              </w:rPr>
              <w:t>③</w:t>
            </w:r>
            <w:r>
              <w:rPr>
                <w:rFonts w:ascii="仿宋_GB2312" w:hAnsi="仿宋_GB2312" w:cs="宋体"/>
                <w:spacing w:val="-6"/>
                <w:kern w:val="0"/>
                <w:sz w:val="18"/>
                <w:szCs w:val="18"/>
              </w:rPr>
              <w:t>不及时并影响项目进度（</w:t>
            </w:r>
            <w:r>
              <w:rPr>
                <w:rFonts w:hint="eastAsia" w:ascii="仿宋_GB2312" w:hAnsi="仿宋_GB2312" w:cs="宋体"/>
                <w:spacing w:val="-6"/>
                <w:kern w:val="0"/>
                <w:sz w:val="18"/>
                <w:szCs w:val="18"/>
              </w:rPr>
              <w:t>扣</w:t>
            </w:r>
            <w:r>
              <w:rPr>
                <w:rFonts w:hint="eastAsia" w:ascii="仿宋_GB2312" w:hAnsi="仿宋_GB2312" w:cs="宋体"/>
                <w:spacing w:val="-6"/>
                <w:kern w:val="0"/>
                <w:sz w:val="18"/>
                <w:szCs w:val="18"/>
                <w:lang w:val="en-US" w:eastAsia="zh-CN"/>
              </w:rPr>
              <w:t>2</w:t>
            </w:r>
            <w:r>
              <w:rPr>
                <w:rFonts w:ascii="仿宋_GB2312" w:hAnsi="仿宋_GB2312" w:cs="宋体"/>
                <w:spacing w:val="-6"/>
                <w:kern w:val="0"/>
                <w:sz w:val="18"/>
                <w:szCs w:val="18"/>
              </w:rPr>
              <w:t>分）</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2</w:t>
            </w:r>
          </w:p>
        </w:tc>
      </w:tr>
      <w:tr>
        <w:tblPrEx>
          <w:tblCellMar>
            <w:top w:w="0" w:type="dxa"/>
            <w:left w:w="108" w:type="dxa"/>
            <w:bottom w:w="0" w:type="dxa"/>
            <w:right w:w="108" w:type="dxa"/>
          </w:tblCellMar>
        </w:tblPrEx>
        <w:trPr>
          <w:trHeight w:val="1168"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pP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资金管理</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5</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资金</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使用</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3</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支出依据合规，无虚列项目支出情况；无截留挤占挪用情况；无超标准开支情况；无超预算情况</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虚列套取扣</w:t>
            </w:r>
            <w:r>
              <w:rPr>
                <w:rFonts w:hint="eastAsia" w:ascii="仿宋_GB2312" w:hAnsi="仿宋_GB2312" w:cs="宋体"/>
                <w:kern w:val="0"/>
                <w:sz w:val="18"/>
                <w:szCs w:val="18"/>
                <w:lang w:val="en-US" w:eastAsia="zh-CN"/>
              </w:rPr>
              <w:t>3</w:t>
            </w:r>
            <w:r>
              <w:rPr>
                <w:rFonts w:ascii="仿宋_GB2312" w:hAnsi="仿宋_GB2312" w:cs="宋体"/>
                <w:kern w:val="0"/>
                <w:sz w:val="18"/>
                <w:szCs w:val="18"/>
              </w:rPr>
              <w:t xml:space="preserve">分 </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②</w:t>
            </w:r>
            <w:r>
              <w:rPr>
                <w:rFonts w:ascii="仿宋_GB2312" w:hAnsi="仿宋_GB2312" w:cs="宋体"/>
                <w:kern w:val="0"/>
                <w:sz w:val="18"/>
                <w:szCs w:val="18"/>
              </w:rPr>
              <w:t>依据不合规扣2分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③</w:t>
            </w:r>
            <w:r>
              <w:rPr>
                <w:rFonts w:ascii="仿宋_GB2312" w:hAnsi="仿宋_GB2312" w:cs="宋体"/>
                <w:kern w:val="0"/>
                <w:sz w:val="18"/>
                <w:szCs w:val="18"/>
              </w:rPr>
              <w:t>截留、挤占、挪用扣3分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④</w:t>
            </w:r>
            <w:r>
              <w:rPr>
                <w:rFonts w:ascii="仿宋_GB2312" w:hAnsi="仿宋_GB2312" w:cs="宋体"/>
                <w:kern w:val="0"/>
                <w:sz w:val="18"/>
                <w:szCs w:val="18"/>
              </w:rPr>
              <w:t>超标准开支扣2分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⑤</w:t>
            </w:r>
            <w:r>
              <w:rPr>
                <w:rFonts w:ascii="仿宋_GB2312" w:hAnsi="仿宋_GB2312" w:cs="宋体"/>
                <w:kern w:val="0"/>
                <w:sz w:val="18"/>
                <w:szCs w:val="18"/>
              </w:rPr>
              <w:t>超预算扣2分</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3</w:t>
            </w:r>
          </w:p>
        </w:tc>
      </w:tr>
      <w:tr>
        <w:tblPrEx>
          <w:tblCellMar>
            <w:top w:w="0" w:type="dxa"/>
            <w:left w:w="108" w:type="dxa"/>
            <w:bottom w:w="0" w:type="dxa"/>
            <w:right w:w="108" w:type="dxa"/>
          </w:tblCellMar>
        </w:tblPrEx>
        <w:trPr>
          <w:trHeight w:val="871"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pPr>
          </w:p>
        </w:tc>
        <w:tc>
          <w:tcPr>
            <w:tcW w:w="703"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财务</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管理</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仿宋_GB2312" w:cs="宋体"/>
                <w:kern w:val="0"/>
                <w:sz w:val="18"/>
                <w:szCs w:val="18"/>
                <w:lang w:val="en-US" w:eastAsia="zh-CN"/>
              </w:rPr>
              <w:t>2</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资金管理、费用支出等制度健全；制度执行严格；会计核算规范</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①</w:t>
            </w:r>
            <w:r>
              <w:rPr>
                <w:rFonts w:ascii="仿宋_GB2312" w:hAnsi="仿宋_GB2312" w:cs="宋体"/>
                <w:kern w:val="0"/>
                <w:sz w:val="18"/>
                <w:szCs w:val="18"/>
              </w:rPr>
              <w:t>财务制度健全（</w:t>
            </w:r>
            <w:r>
              <w:rPr>
                <w:rFonts w:hint="eastAsia" w:ascii="仿宋_GB2312" w:hAnsi="仿宋_GB2312" w:cs="宋体"/>
                <w:kern w:val="0"/>
                <w:sz w:val="18"/>
                <w:szCs w:val="18"/>
                <w:lang w:val="en-US" w:eastAsia="zh-CN"/>
              </w:rPr>
              <w:t>0.5</w:t>
            </w:r>
            <w:r>
              <w:rPr>
                <w:rFonts w:ascii="仿宋_GB2312" w:hAnsi="仿宋_GB2312" w:cs="宋体"/>
                <w:kern w:val="0"/>
                <w:sz w:val="18"/>
                <w:szCs w:val="18"/>
              </w:rPr>
              <w:t>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②</w:t>
            </w:r>
            <w:r>
              <w:rPr>
                <w:rFonts w:ascii="仿宋_GB2312" w:hAnsi="仿宋_GB2312" w:cs="宋体"/>
                <w:kern w:val="0"/>
                <w:sz w:val="18"/>
                <w:szCs w:val="18"/>
              </w:rPr>
              <w:t>严格执行制度（</w:t>
            </w:r>
            <w:r>
              <w:rPr>
                <w:rFonts w:hint="eastAsia" w:ascii="仿宋_GB2312" w:hAnsi="仿宋_GB2312" w:cs="宋体"/>
                <w:kern w:val="0"/>
                <w:sz w:val="18"/>
                <w:szCs w:val="18"/>
                <w:lang w:val="en-US" w:eastAsia="zh-CN"/>
              </w:rPr>
              <w:t>0.5</w:t>
            </w:r>
            <w:r>
              <w:rPr>
                <w:rFonts w:ascii="仿宋_GB2312" w:hAnsi="仿宋_GB2312" w:cs="宋体"/>
                <w:kern w:val="0"/>
                <w:sz w:val="18"/>
                <w:szCs w:val="18"/>
              </w:rPr>
              <w:t>分）</w:t>
            </w:r>
          </w:p>
          <w:p>
            <w:pPr>
              <w:widowControl/>
              <w:spacing w:line="240" w:lineRule="exact"/>
              <w:jc w:val="left"/>
              <w:rPr>
                <w:rFonts w:ascii="仿宋_GB2312" w:hAnsi="宋体" w:cs="宋体"/>
                <w:kern w:val="0"/>
                <w:sz w:val="18"/>
                <w:szCs w:val="18"/>
              </w:rPr>
            </w:pPr>
            <w:r>
              <w:rPr>
                <w:rFonts w:hint="eastAsia" w:ascii="宋体" w:hAnsi="宋体" w:cs="宋体"/>
                <w:kern w:val="0"/>
                <w:sz w:val="18"/>
                <w:szCs w:val="18"/>
              </w:rPr>
              <w:t>③</w:t>
            </w:r>
            <w:r>
              <w:rPr>
                <w:rFonts w:ascii="仿宋_GB2312" w:hAnsi="仿宋_GB2312" w:cs="宋体"/>
                <w:kern w:val="0"/>
                <w:sz w:val="18"/>
                <w:szCs w:val="18"/>
              </w:rPr>
              <w:t>会计核算规范（1分）</w:t>
            </w:r>
          </w:p>
          <w:p>
            <w:pPr>
              <w:widowControl/>
              <w:spacing w:line="240" w:lineRule="exact"/>
              <w:jc w:val="left"/>
              <w:rPr>
                <w:rFonts w:ascii="仿宋_GB2312" w:hAnsi="宋体" w:cs="宋体"/>
                <w:kern w:val="0"/>
                <w:sz w:val="18"/>
                <w:szCs w:val="18"/>
              </w:rPr>
            </w:pP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24"/>
                <w:szCs w:val="24"/>
                <w:lang w:eastAsia="zh-CN"/>
              </w:rPr>
            </w:pPr>
            <w:r>
              <w:rPr>
                <w:rFonts w:hint="eastAsia" w:ascii="仿宋_GB2312" w:hAnsi="仿宋_GB2312" w:cs="宋体"/>
                <w:kern w:val="0"/>
                <w:sz w:val="24"/>
                <w:szCs w:val="24"/>
                <w:lang w:val="en-US" w:eastAsia="zh-CN"/>
              </w:rPr>
              <w:t>2</w:t>
            </w:r>
          </w:p>
        </w:tc>
      </w:tr>
      <w:tr>
        <w:tblPrEx>
          <w:tblCellMar>
            <w:top w:w="0" w:type="dxa"/>
            <w:left w:w="108" w:type="dxa"/>
            <w:bottom w:w="0" w:type="dxa"/>
            <w:right w:w="108" w:type="dxa"/>
          </w:tblCellMar>
        </w:tblPrEx>
        <w:trPr>
          <w:trHeight w:val="794" w:hRule="atLeast"/>
          <w:jc w:val="center"/>
        </w:trPr>
        <w:tc>
          <w:tcPr>
            <w:tcW w:w="702"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项目绩效</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90</w:t>
            </w:r>
          </w:p>
        </w:tc>
        <w:tc>
          <w:tcPr>
            <w:tcW w:w="70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项目产出</w:t>
            </w:r>
          </w:p>
        </w:tc>
        <w:tc>
          <w:tcPr>
            <w:tcW w:w="540"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50</w:t>
            </w:r>
          </w:p>
        </w:tc>
        <w:tc>
          <w:tcPr>
            <w:tcW w:w="803"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数量</w:t>
            </w:r>
          </w:p>
        </w:tc>
        <w:tc>
          <w:tcPr>
            <w:tcW w:w="550"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10</w:t>
            </w:r>
          </w:p>
        </w:tc>
        <w:tc>
          <w:tcPr>
            <w:tcW w:w="2407"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目标完成率=目标完成数/预定目标数×100%</w:t>
            </w:r>
          </w:p>
        </w:tc>
        <w:tc>
          <w:tcPr>
            <w:tcW w:w="277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完成绩效目标100%得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分，未完成100%的同比例扣减。</w:t>
            </w:r>
          </w:p>
        </w:tc>
        <w:tc>
          <w:tcPr>
            <w:tcW w:w="80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6</w:t>
            </w:r>
          </w:p>
        </w:tc>
      </w:tr>
      <w:tr>
        <w:tblPrEx>
          <w:tblCellMar>
            <w:top w:w="0" w:type="dxa"/>
            <w:left w:w="108" w:type="dxa"/>
            <w:bottom w:w="0" w:type="dxa"/>
            <w:right w:w="108" w:type="dxa"/>
          </w:tblCellMar>
        </w:tblPrEx>
        <w:trPr>
          <w:trHeight w:val="824" w:hRule="atLeast"/>
          <w:jc w:val="center"/>
        </w:trPr>
        <w:tc>
          <w:tcPr>
            <w:tcW w:w="702"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single" w:color="000000" w:sz="4" w:space="0"/>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single" w:color="000000" w:sz="4" w:space="0"/>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质量</w:t>
            </w:r>
          </w:p>
        </w:tc>
        <w:tc>
          <w:tcPr>
            <w:tcW w:w="550" w:type="dxa"/>
            <w:tcBorders>
              <w:top w:val="single" w:color="000000" w:sz="4" w:space="0"/>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15</w:t>
            </w:r>
          </w:p>
        </w:tc>
        <w:tc>
          <w:tcPr>
            <w:tcW w:w="2407" w:type="dxa"/>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目标完成质量=实际达到的效果/预定目标×100%</w:t>
            </w:r>
          </w:p>
        </w:tc>
        <w:tc>
          <w:tcPr>
            <w:tcW w:w="2772" w:type="dxa"/>
            <w:tcBorders>
              <w:top w:val="single" w:color="000000" w:sz="4" w:space="0"/>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项目产出质量达到绩效目标100%得</w:t>
            </w:r>
            <w:r>
              <w:rPr>
                <w:rFonts w:hint="eastAsia" w:ascii="仿宋_GB2312" w:hAnsi="仿宋_GB2312" w:cs="宋体"/>
                <w:kern w:val="0"/>
                <w:sz w:val="18"/>
                <w:szCs w:val="18"/>
                <w:lang w:val="en-US" w:eastAsia="zh-CN"/>
              </w:rPr>
              <w:t>15</w:t>
            </w:r>
            <w:r>
              <w:rPr>
                <w:rFonts w:ascii="仿宋_GB2312" w:hAnsi="仿宋_GB2312" w:cs="宋体"/>
                <w:kern w:val="0"/>
                <w:sz w:val="18"/>
                <w:szCs w:val="18"/>
              </w:rPr>
              <w:t>分，未完成100%的同比例扣减。</w:t>
            </w:r>
          </w:p>
        </w:tc>
        <w:tc>
          <w:tcPr>
            <w:tcW w:w="803" w:type="dxa"/>
            <w:tcBorders>
              <w:top w:val="single" w:color="000000" w:sz="4" w:space="0"/>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15</w:t>
            </w:r>
          </w:p>
        </w:tc>
      </w:tr>
      <w:tr>
        <w:tblPrEx>
          <w:tblCellMar>
            <w:top w:w="0" w:type="dxa"/>
            <w:left w:w="108" w:type="dxa"/>
            <w:bottom w:w="0" w:type="dxa"/>
            <w:right w:w="108" w:type="dxa"/>
          </w:tblCellMar>
        </w:tblPrEx>
        <w:trPr>
          <w:trHeight w:val="80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时效</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5</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项目资金使用的预定目标是否如期完成，未完成的理由是否充分</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项目产出时效达到绩效目标得</w:t>
            </w:r>
            <w:r>
              <w:rPr>
                <w:rFonts w:hint="eastAsia" w:ascii="仿宋_GB2312" w:hAnsi="仿宋_GB2312" w:cs="宋体"/>
                <w:kern w:val="0"/>
                <w:sz w:val="18"/>
                <w:szCs w:val="18"/>
                <w:lang w:val="en-US" w:eastAsia="zh-CN"/>
              </w:rPr>
              <w:t>5</w:t>
            </w:r>
            <w:r>
              <w:rPr>
                <w:rFonts w:ascii="仿宋_GB2312" w:hAnsi="仿宋_GB2312" w:cs="宋体"/>
                <w:kern w:val="0"/>
                <w:sz w:val="18"/>
                <w:szCs w:val="18"/>
              </w:rPr>
              <w:t>分，未如期完成且无充分理由</w:t>
            </w:r>
            <w:r>
              <w:rPr>
                <w:rFonts w:hint="eastAsia" w:ascii="仿宋_GB2312" w:hAnsi="仿宋_GB2312" w:cs="宋体"/>
                <w:kern w:val="0"/>
                <w:sz w:val="18"/>
                <w:szCs w:val="18"/>
                <w:lang w:eastAsia="zh-CN"/>
              </w:rPr>
              <w:t>不得分</w:t>
            </w:r>
            <w:r>
              <w:rPr>
                <w:rFonts w:ascii="仿宋_GB2312" w:hAnsi="仿宋_GB2312" w:cs="宋体"/>
                <w:kern w:val="0"/>
                <w:sz w:val="18"/>
                <w:szCs w:val="18"/>
              </w:rPr>
              <w:t>。</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5</w:t>
            </w:r>
          </w:p>
        </w:tc>
      </w:tr>
      <w:tr>
        <w:tblPrEx>
          <w:tblCellMar>
            <w:top w:w="0" w:type="dxa"/>
            <w:left w:w="108" w:type="dxa"/>
            <w:bottom w:w="0" w:type="dxa"/>
            <w:right w:w="108" w:type="dxa"/>
          </w:tblCellMar>
        </w:tblPrEx>
        <w:trPr>
          <w:trHeight w:val="789"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产出</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成本</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20</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项目产出成本是否按绩效目标控制</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项目产出成本按绩效目标控制得</w:t>
            </w:r>
            <w:r>
              <w:rPr>
                <w:rFonts w:hint="eastAsia" w:ascii="仿宋_GB2312" w:hAnsi="仿宋_GB2312" w:cs="宋体"/>
                <w:kern w:val="0"/>
                <w:sz w:val="18"/>
                <w:szCs w:val="18"/>
                <w:lang w:val="en-US" w:eastAsia="zh-CN"/>
              </w:rPr>
              <w:t>20</w:t>
            </w:r>
            <w:r>
              <w:rPr>
                <w:rFonts w:ascii="仿宋_GB2312" w:hAnsi="仿宋_GB2312" w:cs="宋体"/>
                <w:kern w:val="0"/>
                <w:sz w:val="18"/>
                <w:szCs w:val="18"/>
              </w:rPr>
              <w:t>分，未完成的，按超支比例扣减。</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20</w:t>
            </w:r>
          </w:p>
        </w:tc>
      </w:tr>
      <w:tr>
        <w:tblPrEx>
          <w:tblCellMar>
            <w:top w:w="0" w:type="dxa"/>
            <w:left w:w="108" w:type="dxa"/>
            <w:bottom w:w="0" w:type="dxa"/>
            <w:right w:w="108" w:type="dxa"/>
          </w:tblCellMar>
        </w:tblPrEx>
        <w:trPr>
          <w:trHeight w:val="89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restart"/>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项目效果</w:t>
            </w:r>
          </w:p>
        </w:tc>
        <w:tc>
          <w:tcPr>
            <w:tcW w:w="540" w:type="dxa"/>
            <w:vMerge w:val="restart"/>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40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hint="eastAsia" w:ascii="仿宋_GB2312" w:hAnsi="宋体" w:eastAsia="宋体" w:cs="宋体"/>
                <w:kern w:val="0"/>
                <w:sz w:val="18"/>
                <w:szCs w:val="18"/>
                <w:lang w:eastAsia="zh-CN"/>
              </w:rPr>
            </w:pPr>
            <w:r>
              <w:rPr>
                <w:rFonts w:hint="eastAsia" w:ascii="仿宋_GB2312" w:hAnsi="宋体" w:cs="宋体"/>
                <w:kern w:val="0"/>
                <w:sz w:val="18"/>
                <w:szCs w:val="18"/>
                <w:lang w:eastAsia="zh-CN"/>
              </w:rPr>
              <w:t>经济</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效益</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6</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项目实施对</w:t>
            </w:r>
            <w:r>
              <w:rPr>
                <w:rFonts w:hint="eastAsia" w:ascii="仿宋_GB2312" w:hAnsi="仿宋_GB2312" w:cs="宋体"/>
                <w:kern w:val="0"/>
                <w:sz w:val="18"/>
                <w:szCs w:val="18"/>
                <w:lang w:eastAsia="zh-CN"/>
              </w:rPr>
              <w:t>经济</w:t>
            </w:r>
            <w:r>
              <w:rPr>
                <w:rFonts w:ascii="仿宋_GB2312" w:hAnsi="仿宋_GB2312" w:cs="宋体"/>
                <w:kern w:val="0"/>
                <w:sz w:val="18"/>
                <w:szCs w:val="18"/>
              </w:rPr>
              <w:t>发展所带来的直接或间接影响情况。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完成绩效目标设定的</w:t>
            </w:r>
            <w:r>
              <w:rPr>
                <w:rFonts w:hint="eastAsia" w:ascii="仿宋_GB2312" w:hAnsi="仿宋_GB2312" w:cs="宋体"/>
                <w:kern w:val="0"/>
                <w:sz w:val="18"/>
                <w:szCs w:val="18"/>
                <w:lang w:eastAsia="zh-CN"/>
              </w:rPr>
              <w:t>经济</w:t>
            </w:r>
            <w:r>
              <w:rPr>
                <w:rFonts w:ascii="仿宋_GB2312" w:hAnsi="仿宋_GB2312" w:cs="宋体"/>
                <w:kern w:val="0"/>
                <w:sz w:val="18"/>
                <w:szCs w:val="18"/>
              </w:rPr>
              <w:t>效益得</w:t>
            </w:r>
            <w:r>
              <w:rPr>
                <w:rFonts w:hint="eastAsia" w:ascii="仿宋_GB2312" w:hAnsi="仿宋_GB2312" w:cs="宋体"/>
                <w:kern w:val="0"/>
                <w:sz w:val="18"/>
                <w:szCs w:val="18"/>
                <w:lang w:val="en-US" w:eastAsia="zh-CN"/>
              </w:rPr>
              <w:t>6</w:t>
            </w:r>
            <w:r>
              <w:rPr>
                <w:rFonts w:ascii="仿宋_GB2312" w:hAnsi="仿宋_GB2312" w:cs="宋体"/>
                <w:kern w:val="0"/>
                <w:sz w:val="18"/>
                <w:szCs w:val="18"/>
              </w:rPr>
              <w:t>分，未完成的，按完成情况酌情扣分。</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4</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left w:val="nil"/>
              <w:right w:val="single" w:color="000000" w:sz="4" w:space="0"/>
            </w:tcBorders>
            <w:vAlign w:val="center"/>
          </w:tcPr>
          <w:p>
            <w:pPr>
              <w:widowControl/>
              <w:spacing w:line="240" w:lineRule="exact"/>
              <w:jc w:val="center"/>
              <w:rPr>
                <w:rFonts w:ascii="仿宋_GB2312" w:hAnsi="仿宋_GB2312" w:cs="宋体"/>
                <w:kern w:val="0"/>
                <w:sz w:val="18"/>
                <w:szCs w:val="18"/>
              </w:rPr>
            </w:pPr>
          </w:p>
        </w:tc>
        <w:tc>
          <w:tcPr>
            <w:tcW w:w="540" w:type="dxa"/>
            <w:vMerge w:val="continue"/>
            <w:tcBorders>
              <w:left w:val="nil"/>
              <w:right w:val="single" w:color="000000" w:sz="4" w:space="0"/>
            </w:tcBorders>
            <w:vAlign w:val="center"/>
          </w:tcPr>
          <w:p>
            <w:pPr>
              <w:widowControl/>
              <w:spacing w:line="240" w:lineRule="exact"/>
              <w:jc w:val="center"/>
              <w:rPr>
                <w:rFonts w:ascii="仿宋_GB2312" w:hAnsi="仿宋_GB2312"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社会</w:t>
            </w:r>
          </w:p>
          <w:p>
            <w:pPr>
              <w:widowControl/>
              <w:spacing w:line="240" w:lineRule="exact"/>
              <w:jc w:val="center"/>
              <w:rPr>
                <w:rFonts w:ascii="仿宋_GB2312" w:hAnsi="宋体" w:eastAsia="宋体" w:cs="宋体"/>
                <w:kern w:val="0"/>
                <w:sz w:val="18"/>
                <w:szCs w:val="18"/>
                <w:lang w:val="en-US" w:eastAsia="zh-CN" w:bidi="ar-SA"/>
              </w:rPr>
            </w:pPr>
            <w:r>
              <w:rPr>
                <w:rFonts w:ascii="仿宋_GB2312" w:hAnsi="仿宋_GB2312" w:cs="宋体"/>
                <w:kern w:val="0"/>
                <w:sz w:val="18"/>
                <w:szCs w:val="18"/>
              </w:rPr>
              <w:t>效益</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bidi="ar-SA"/>
              </w:rPr>
            </w:pPr>
            <w:r>
              <w:rPr>
                <w:rFonts w:hint="eastAsia" w:ascii="仿宋_GB2312" w:hAnsi="仿宋_GB2312" w:cs="宋体"/>
                <w:kern w:val="0"/>
                <w:sz w:val="18"/>
                <w:szCs w:val="18"/>
                <w:lang w:val="en-US" w:eastAsia="zh-CN"/>
              </w:rPr>
              <w:t>18</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宋体" w:cs="宋体"/>
                <w:kern w:val="0"/>
                <w:sz w:val="18"/>
                <w:szCs w:val="18"/>
                <w:lang w:val="en-US" w:eastAsia="zh-CN" w:bidi="ar-SA"/>
              </w:rPr>
            </w:pPr>
            <w:r>
              <w:rPr>
                <w:rFonts w:ascii="仿宋_GB2312" w:hAnsi="仿宋_GB2312" w:cs="宋体"/>
                <w:kern w:val="0"/>
                <w:sz w:val="18"/>
                <w:szCs w:val="18"/>
              </w:rPr>
              <w:t>项目实施对</w:t>
            </w:r>
            <w:r>
              <w:rPr>
                <w:rFonts w:hint="eastAsia" w:ascii="仿宋_GB2312" w:hAnsi="仿宋_GB2312" w:cs="宋体"/>
                <w:kern w:val="0"/>
                <w:sz w:val="18"/>
                <w:szCs w:val="18"/>
                <w:lang w:eastAsia="zh-CN"/>
              </w:rPr>
              <w:t>社会</w:t>
            </w:r>
            <w:r>
              <w:rPr>
                <w:rFonts w:ascii="仿宋_GB2312" w:hAnsi="仿宋_GB2312" w:cs="宋体"/>
                <w:kern w:val="0"/>
                <w:sz w:val="18"/>
                <w:szCs w:val="18"/>
              </w:rPr>
              <w:t>发展所带来的直接或间接影响情况。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eastAsia="宋体" w:cs="宋体"/>
                <w:kern w:val="0"/>
                <w:sz w:val="18"/>
                <w:szCs w:val="18"/>
                <w:lang w:val="en-US" w:eastAsia="zh-CN" w:bidi="ar-SA"/>
              </w:rPr>
            </w:pPr>
            <w:r>
              <w:rPr>
                <w:rFonts w:ascii="仿宋_GB2312" w:hAnsi="仿宋_GB2312" w:cs="宋体"/>
                <w:kern w:val="0"/>
                <w:sz w:val="18"/>
                <w:szCs w:val="18"/>
              </w:rPr>
              <w:t>完成绩效目标设定的</w:t>
            </w:r>
            <w:r>
              <w:rPr>
                <w:rFonts w:hint="eastAsia" w:ascii="仿宋_GB2312" w:hAnsi="仿宋_GB2312" w:cs="宋体"/>
                <w:kern w:val="0"/>
                <w:sz w:val="18"/>
                <w:szCs w:val="18"/>
                <w:lang w:eastAsia="zh-CN"/>
              </w:rPr>
              <w:t>社会</w:t>
            </w:r>
            <w:r>
              <w:rPr>
                <w:rFonts w:ascii="仿宋_GB2312" w:hAnsi="仿宋_GB2312" w:cs="宋体"/>
                <w:kern w:val="0"/>
                <w:sz w:val="18"/>
                <w:szCs w:val="18"/>
              </w:rPr>
              <w:t>效益得</w:t>
            </w:r>
            <w:r>
              <w:rPr>
                <w:rFonts w:hint="eastAsia" w:ascii="仿宋_GB2312" w:hAnsi="仿宋_GB2312" w:cs="宋体"/>
                <w:kern w:val="0"/>
                <w:sz w:val="18"/>
                <w:szCs w:val="18"/>
                <w:lang w:val="en-US" w:eastAsia="zh-CN"/>
              </w:rPr>
              <w:t>18</w:t>
            </w:r>
            <w:r>
              <w:rPr>
                <w:rFonts w:ascii="仿宋_GB2312" w:hAnsi="仿宋_GB2312" w:cs="宋体"/>
                <w:kern w:val="0"/>
                <w:sz w:val="18"/>
                <w:szCs w:val="18"/>
              </w:rPr>
              <w:t>分，未完成的，按完成情况酌情扣分。</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bidi="ar-SA"/>
              </w:rPr>
            </w:pPr>
            <w:r>
              <w:rPr>
                <w:rFonts w:hint="eastAsia" w:ascii="仿宋_GB2312" w:hAnsi="仿宋_GB2312" w:cs="宋体"/>
                <w:kern w:val="0"/>
                <w:sz w:val="24"/>
                <w:szCs w:val="24"/>
                <w:lang w:val="en-US" w:eastAsia="zh-CN"/>
              </w:rPr>
              <w:t>18</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可持续</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影响</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hint="default" w:ascii="仿宋_GB2312" w:hAnsi="宋体" w:eastAsia="宋体" w:cs="宋体"/>
                <w:kern w:val="0"/>
                <w:sz w:val="18"/>
                <w:szCs w:val="18"/>
                <w:lang w:val="en-US" w:eastAsia="zh-CN"/>
              </w:rPr>
            </w:pPr>
            <w:r>
              <w:rPr>
                <w:rFonts w:hint="eastAsia" w:ascii="仿宋_GB2312" w:hAnsi="仿宋_GB2312" w:cs="宋体"/>
                <w:kern w:val="0"/>
                <w:sz w:val="18"/>
                <w:szCs w:val="18"/>
                <w:lang w:val="en-US" w:eastAsia="zh-CN"/>
              </w:rPr>
              <w:t>6</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项目后续运行及成效发挥的可持续影响情况。</w:t>
            </w:r>
          </w:p>
        </w:tc>
        <w:tc>
          <w:tcPr>
            <w:tcW w:w="2772"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完成绩效设定目标的得</w:t>
            </w:r>
            <w:r>
              <w:rPr>
                <w:rFonts w:hint="eastAsia" w:ascii="仿宋_GB2312" w:hAnsi="仿宋_GB2312" w:cs="宋体"/>
                <w:kern w:val="0"/>
                <w:sz w:val="18"/>
                <w:szCs w:val="18"/>
                <w:lang w:val="en-US" w:eastAsia="zh-CN"/>
              </w:rPr>
              <w:t>6</w:t>
            </w:r>
            <w:r>
              <w:rPr>
                <w:rFonts w:ascii="仿宋_GB2312" w:hAnsi="仿宋_GB2312" w:cs="宋体"/>
                <w:kern w:val="0"/>
                <w:sz w:val="18"/>
                <w:szCs w:val="18"/>
              </w:rPr>
              <w:t>分，未完成的，按完成情况酌情扣分。</w:t>
            </w:r>
          </w:p>
        </w:tc>
        <w:tc>
          <w:tcPr>
            <w:tcW w:w="803"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宋体" w:cs="宋体"/>
                <w:kern w:val="0"/>
                <w:sz w:val="24"/>
                <w:szCs w:val="24"/>
                <w:lang w:val="en-US" w:eastAsia="zh-CN"/>
              </w:rPr>
            </w:pPr>
            <w:r>
              <w:rPr>
                <w:rFonts w:hint="eastAsia" w:ascii="仿宋_GB2312" w:hAnsi="仿宋_GB2312" w:cs="宋体"/>
                <w:kern w:val="0"/>
                <w:sz w:val="24"/>
                <w:szCs w:val="24"/>
                <w:lang w:val="en-US" w:eastAsia="zh-CN"/>
              </w:rPr>
              <w:t>6</w:t>
            </w:r>
          </w:p>
        </w:tc>
      </w:tr>
      <w:tr>
        <w:tblPrEx>
          <w:tblCellMar>
            <w:top w:w="0" w:type="dxa"/>
            <w:left w:w="108" w:type="dxa"/>
            <w:bottom w:w="0" w:type="dxa"/>
            <w:right w:w="108" w:type="dxa"/>
          </w:tblCellMar>
        </w:tblPrEx>
        <w:trPr>
          <w:trHeight w:val="1134" w:hRule="atLeast"/>
          <w:jc w:val="center"/>
        </w:trPr>
        <w:tc>
          <w:tcPr>
            <w:tcW w:w="702" w:type="dxa"/>
            <w:vMerge w:val="continue"/>
            <w:tcBorders>
              <w:top w:val="nil"/>
              <w:left w:val="single" w:color="000000" w:sz="4" w:space="0"/>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703"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540" w:type="dxa"/>
            <w:vMerge w:val="continue"/>
            <w:tcBorders>
              <w:top w:val="nil"/>
              <w:left w:val="nil"/>
              <w:bottom w:val="single" w:color="000000" w:sz="4" w:space="0"/>
              <w:right w:val="single" w:color="000000" w:sz="4" w:space="0"/>
            </w:tcBorders>
            <w:vAlign w:val="center"/>
          </w:tcPr>
          <w:p>
            <w:pPr>
              <w:widowControl/>
              <w:jc w:val="left"/>
              <w:rPr>
                <w:rFonts w:ascii="仿宋_GB2312" w:hAnsi="宋体" w:cs="宋体"/>
                <w:kern w:val="0"/>
                <w:sz w:val="18"/>
                <w:szCs w:val="18"/>
              </w:rPr>
            </w:pP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服务</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对象</w:t>
            </w:r>
          </w:p>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满意度</w:t>
            </w: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kern w:val="0"/>
                <w:sz w:val="18"/>
                <w:szCs w:val="18"/>
              </w:rPr>
            </w:pPr>
            <w:r>
              <w:rPr>
                <w:rFonts w:ascii="仿宋_GB2312" w:hAnsi="仿宋_GB2312" w:cs="宋体"/>
                <w:kern w:val="0"/>
                <w:sz w:val="18"/>
                <w:szCs w:val="18"/>
              </w:rPr>
              <w:t>10</w:t>
            </w:r>
          </w:p>
        </w:tc>
        <w:tc>
          <w:tcPr>
            <w:tcW w:w="2407" w:type="dxa"/>
            <w:tcBorders>
              <w:top w:val="nil"/>
              <w:left w:val="nil"/>
              <w:bottom w:val="single" w:color="000000" w:sz="4" w:space="0"/>
              <w:right w:val="single" w:color="000000" w:sz="4" w:space="0"/>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服务对象满意率=项目区被调查人数中表示满意的人数(户数)/ 被调查人数(户数)×100%</w:t>
            </w:r>
          </w:p>
        </w:tc>
        <w:tc>
          <w:tcPr>
            <w:tcW w:w="2772" w:type="dxa"/>
            <w:tcBorders>
              <w:top w:val="nil"/>
              <w:left w:val="nil"/>
              <w:bottom w:val="single" w:color="000000" w:sz="4" w:space="0"/>
              <w:right w:val="nil"/>
            </w:tcBorders>
            <w:vAlign w:val="center"/>
          </w:tcPr>
          <w:p>
            <w:pPr>
              <w:widowControl/>
              <w:spacing w:line="240" w:lineRule="exact"/>
              <w:jc w:val="left"/>
              <w:rPr>
                <w:rFonts w:ascii="仿宋_GB2312" w:hAnsi="宋体" w:cs="宋体"/>
                <w:kern w:val="0"/>
                <w:sz w:val="18"/>
                <w:szCs w:val="18"/>
              </w:rPr>
            </w:pPr>
            <w:r>
              <w:rPr>
                <w:rFonts w:ascii="仿宋_GB2312" w:hAnsi="仿宋_GB2312" w:cs="宋体"/>
                <w:kern w:val="0"/>
                <w:sz w:val="18"/>
                <w:szCs w:val="18"/>
              </w:rPr>
              <w:t>满意率达90%（含）以上的得</w:t>
            </w:r>
            <w:r>
              <w:rPr>
                <w:rFonts w:hint="eastAsia" w:ascii="仿宋_GB2312" w:hAnsi="仿宋_GB2312" w:cs="宋体"/>
                <w:kern w:val="0"/>
                <w:sz w:val="18"/>
                <w:szCs w:val="18"/>
                <w:lang w:val="en-US" w:eastAsia="zh-CN"/>
              </w:rPr>
              <w:t>10</w:t>
            </w:r>
            <w:r>
              <w:rPr>
                <w:rFonts w:ascii="仿宋_GB2312" w:hAnsi="仿宋_GB2312" w:cs="宋体"/>
                <w:kern w:val="0"/>
                <w:sz w:val="18"/>
                <w:szCs w:val="18"/>
              </w:rPr>
              <w:t>分，80%（含）-90%得</w:t>
            </w:r>
            <w:r>
              <w:rPr>
                <w:rFonts w:hint="eastAsia" w:ascii="仿宋_GB2312" w:hAnsi="仿宋_GB2312" w:cs="宋体"/>
                <w:kern w:val="0"/>
                <w:sz w:val="18"/>
                <w:szCs w:val="18"/>
                <w:lang w:val="en-US" w:eastAsia="zh-CN"/>
              </w:rPr>
              <w:t>8</w:t>
            </w:r>
            <w:r>
              <w:rPr>
                <w:rFonts w:ascii="仿宋_GB2312" w:hAnsi="仿宋_GB2312" w:cs="宋体"/>
                <w:kern w:val="0"/>
                <w:sz w:val="18"/>
                <w:szCs w:val="18"/>
              </w:rPr>
              <w:t>分，70%（含）-80%得</w:t>
            </w:r>
            <w:r>
              <w:rPr>
                <w:rFonts w:hint="eastAsia" w:ascii="仿宋_GB2312" w:hAnsi="仿宋_GB2312" w:cs="宋体"/>
                <w:kern w:val="0"/>
                <w:sz w:val="18"/>
                <w:szCs w:val="18"/>
                <w:lang w:val="en-US" w:eastAsia="zh-CN"/>
              </w:rPr>
              <w:t>6</w:t>
            </w:r>
            <w:r>
              <w:rPr>
                <w:rFonts w:ascii="仿宋_GB2312" w:hAnsi="仿宋_GB2312" w:cs="宋体"/>
                <w:kern w:val="0"/>
                <w:sz w:val="18"/>
                <w:szCs w:val="18"/>
              </w:rPr>
              <w:t>分，60%（含）-70%得</w:t>
            </w:r>
            <w:r>
              <w:rPr>
                <w:rFonts w:hint="eastAsia" w:ascii="仿宋_GB2312" w:hAnsi="仿宋_GB2312" w:cs="宋体"/>
                <w:kern w:val="0"/>
                <w:sz w:val="18"/>
                <w:szCs w:val="18"/>
                <w:lang w:val="en-US" w:eastAsia="zh-CN"/>
              </w:rPr>
              <w:t>4</w:t>
            </w:r>
            <w:r>
              <w:rPr>
                <w:rFonts w:ascii="仿宋_GB2312" w:hAnsi="仿宋_GB2312" w:cs="宋体"/>
                <w:kern w:val="0"/>
                <w:sz w:val="18"/>
                <w:szCs w:val="18"/>
              </w:rPr>
              <w:t>分，60%以下不得分。</w:t>
            </w: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kern w:val="0"/>
                <w:sz w:val="24"/>
                <w:szCs w:val="24"/>
                <w:lang w:val="en-US" w:eastAsia="zh-CN"/>
              </w:rPr>
            </w:pPr>
            <w:r>
              <w:rPr>
                <w:rFonts w:hint="eastAsia" w:ascii="宋体" w:hAnsi="宋体"/>
                <w:kern w:val="0"/>
                <w:sz w:val="24"/>
                <w:szCs w:val="24"/>
                <w:lang w:val="en-US" w:eastAsia="zh-CN"/>
              </w:rPr>
              <w:t>10</w:t>
            </w:r>
          </w:p>
        </w:tc>
      </w:tr>
      <w:tr>
        <w:tblPrEx>
          <w:tblCellMar>
            <w:top w:w="0" w:type="dxa"/>
            <w:left w:w="108" w:type="dxa"/>
            <w:bottom w:w="0" w:type="dxa"/>
            <w:right w:w="108" w:type="dxa"/>
          </w:tblCellMar>
        </w:tblPrEx>
        <w:trPr>
          <w:trHeight w:val="860" w:hRule="atLeast"/>
          <w:jc w:val="center"/>
        </w:trPr>
        <w:tc>
          <w:tcPr>
            <w:tcW w:w="702" w:type="dxa"/>
            <w:tcBorders>
              <w:top w:val="nil"/>
              <w:left w:val="single" w:color="000000" w:sz="4" w:space="0"/>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总分</w:t>
            </w: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100</w:t>
            </w:r>
          </w:p>
        </w:tc>
        <w:tc>
          <w:tcPr>
            <w:tcW w:w="7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p>
        </w:tc>
        <w:tc>
          <w:tcPr>
            <w:tcW w:w="54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100</w:t>
            </w:r>
          </w:p>
        </w:tc>
        <w:tc>
          <w:tcPr>
            <w:tcW w:w="803"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p>
        </w:tc>
        <w:tc>
          <w:tcPr>
            <w:tcW w:w="550"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r>
              <w:rPr>
                <w:rFonts w:ascii="仿宋_GB2312" w:hAnsi="仿宋_GB2312" w:cs="宋体"/>
                <w:b/>
                <w:bCs/>
                <w:kern w:val="0"/>
                <w:sz w:val="18"/>
                <w:szCs w:val="18"/>
              </w:rPr>
              <w:t>100</w:t>
            </w:r>
          </w:p>
        </w:tc>
        <w:tc>
          <w:tcPr>
            <w:tcW w:w="2407" w:type="dxa"/>
            <w:tcBorders>
              <w:top w:val="nil"/>
              <w:left w:val="nil"/>
              <w:bottom w:val="single" w:color="000000" w:sz="4" w:space="0"/>
              <w:right w:val="single" w:color="000000" w:sz="4" w:space="0"/>
            </w:tcBorders>
            <w:vAlign w:val="center"/>
          </w:tcPr>
          <w:p>
            <w:pPr>
              <w:widowControl/>
              <w:spacing w:line="240" w:lineRule="exact"/>
              <w:jc w:val="center"/>
              <w:rPr>
                <w:rFonts w:ascii="仿宋_GB2312" w:hAnsi="宋体" w:cs="宋体"/>
                <w:b/>
                <w:bCs/>
                <w:kern w:val="0"/>
                <w:sz w:val="18"/>
                <w:szCs w:val="18"/>
              </w:rPr>
            </w:pPr>
          </w:p>
        </w:tc>
        <w:tc>
          <w:tcPr>
            <w:tcW w:w="2772" w:type="dxa"/>
            <w:tcBorders>
              <w:top w:val="nil"/>
              <w:left w:val="nil"/>
              <w:bottom w:val="single" w:color="000000" w:sz="4" w:space="0"/>
              <w:right w:val="nil"/>
            </w:tcBorders>
            <w:vAlign w:val="center"/>
          </w:tcPr>
          <w:p>
            <w:pPr>
              <w:widowControl/>
              <w:spacing w:line="240" w:lineRule="exact"/>
              <w:jc w:val="center"/>
              <w:rPr>
                <w:rFonts w:ascii="仿宋_GB2312" w:hAnsi="宋体" w:cs="宋体"/>
                <w:b/>
                <w:bCs/>
                <w:kern w:val="0"/>
                <w:sz w:val="18"/>
                <w:szCs w:val="18"/>
              </w:rPr>
            </w:pPr>
          </w:p>
        </w:tc>
        <w:tc>
          <w:tcPr>
            <w:tcW w:w="80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宋体" w:hAnsi="宋体" w:eastAsia="宋体"/>
                <w:b/>
                <w:bCs/>
                <w:kern w:val="0"/>
                <w:sz w:val="24"/>
                <w:szCs w:val="24"/>
                <w:lang w:val="en-US" w:eastAsia="zh-CN"/>
              </w:rPr>
            </w:pPr>
            <w:r>
              <w:rPr>
                <w:rFonts w:hint="eastAsia" w:ascii="宋体" w:hAnsi="宋体"/>
                <w:b/>
                <w:bCs/>
                <w:kern w:val="0"/>
                <w:sz w:val="24"/>
                <w:szCs w:val="24"/>
                <w:lang w:val="en-US" w:eastAsia="zh-CN"/>
              </w:rPr>
              <w:t>94</w:t>
            </w: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auto"/>
    <w:pitch w:val="default"/>
    <w:sig w:usb0="00000000" w:usb1="00000000" w:usb2="00000000" w:usb3="00000000" w:csb0="00040000" w:csb1="00000000"/>
  </w:font>
  <w:font w:name="方正小标宋简体">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NjMWQ1ZTRmZTI4NmQyNjFmNmI0N2JlY2E3NzZmOTQifQ=="/>
  </w:docVars>
  <w:rsids>
    <w:rsidRoot w:val="00E51C72"/>
    <w:rsid w:val="000012AD"/>
    <w:rsid w:val="00001D06"/>
    <w:rsid w:val="00002323"/>
    <w:rsid w:val="00002C69"/>
    <w:rsid w:val="00004DCB"/>
    <w:rsid w:val="000059C3"/>
    <w:rsid w:val="00005A7F"/>
    <w:rsid w:val="00005D57"/>
    <w:rsid w:val="000062DC"/>
    <w:rsid w:val="00006F7D"/>
    <w:rsid w:val="00007670"/>
    <w:rsid w:val="000076C5"/>
    <w:rsid w:val="00011458"/>
    <w:rsid w:val="000123D6"/>
    <w:rsid w:val="00012D1A"/>
    <w:rsid w:val="00012E27"/>
    <w:rsid w:val="00013445"/>
    <w:rsid w:val="000143D0"/>
    <w:rsid w:val="00014569"/>
    <w:rsid w:val="00014A60"/>
    <w:rsid w:val="00014BB9"/>
    <w:rsid w:val="00016360"/>
    <w:rsid w:val="000164C7"/>
    <w:rsid w:val="00017426"/>
    <w:rsid w:val="00017F40"/>
    <w:rsid w:val="000213AE"/>
    <w:rsid w:val="00021F28"/>
    <w:rsid w:val="000220C8"/>
    <w:rsid w:val="0002240E"/>
    <w:rsid w:val="00024062"/>
    <w:rsid w:val="000246C4"/>
    <w:rsid w:val="00024DF2"/>
    <w:rsid w:val="000252C4"/>
    <w:rsid w:val="00025B44"/>
    <w:rsid w:val="00027692"/>
    <w:rsid w:val="00027A91"/>
    <w:rsid w:val="00030497"/>
    <w:rsid w:val="000306B8"/>
    <w:rsid w:val="00030B89"/>
    <w:rsid w:val="00030C2D"/>
    <w:rsid w:val="0003128A"/>
    <w:rsid w:val="000314B7"/>
    <w:rsid w:val="00032606"/>
    <w:rsid w:val="00032745"/>
    <w:rsid w:val="00034AEA"/>
    <w:rsid w:val="00035EEE"/>
    <w:rsid w:val="00036D45"/>
    <w:rsid w:val="00037343"/>
    <w:rsid w:val="00037ADF"/>
    <w:rsid w:val="0004096C"/>
    <w:rsid w:val="000423A1"/>
    <w:rsid w:val="000439F1"/>
    <w:rsid w:val="0004584C"/>
    <w:rsid w:val="00046076"/>
    <w:rsid w:val="00046B8D"/>
    <w:rsid w:val="00046D93"/>
    <w:rsid w:val="00050397"/>
    <w:rsid w:val="00051C59"/>
    <w:rsid w:val="000525D7"/>
    <w:rsid w:val="00055041"/>
    <w:rsid w:val="00055D0E"/>
    <w:rsid w:val="0005722A"/>
    <w:rsid w:val="00060CFD"/>
    <w:rsid w:val="00061C70"/>
    <w:rsid w:val="000630B9"/>
    <w:rsid w:val="00063667"/>
    <w:rsid w:val="00063C67"/>
    <w:rsid w:val="000650F7"/>
    <w:rsid w:val="00065A46"/>
    <w:rsid w:val="000678B7"/>
    <w:rsid w:val="00070A0D"/>
    <w:rsid w:val="0007533A"/>
    <w:rsid w:val="000758AB"/>
    <w:rsid w:val="00075954"/>
    <w:rsid w:val="000761B0"/>
    <w:rsid w:val="00076845"/>
    <w:rsid w:val="00080164"/>
    <w:rsid w:val="000810F6"/>
    <w:rsid w:val="000818D0"/>
    <w:rsid w:val="0008197D"/>
    <w:rsid w:val="00082450"/>
    <w:rsid w:val="000834E2"/>
    <w:rsid w:val="00086B6A"/>
    <w:rsid w:val="00086F3F"/>
    <w:rsid w:val="000876B6"/>
    <w:rsid w:val="000921B7"/>
    <w:rsid w:val="00093116"/>
    <w:rsid w:val="000937AE"/>
    <w:rsid w:val="000952FE"/>
    <w:rsid w:val="00095B8B"/>
    <w:rsid w:val="000965AB"/>
    <w:rsid w:val="00096794"/>
    <w:rsid w:val="00097165"/>
    <w:rsid w:val="00097597"/>
    <w:rsid w:val="00097B69"/>
    <w:rsid w:val="000A0570"/>
    <w:rsid w:val="000A0DAD"/>
    <w:rsid w:val="000A22D2"/>
    <w:rsid w:val="000A28D9"/>
    <w:rsid w:val="000A2CF5"/>
    <w:rsid w:val="000A3270"/>
    <w:rsid w:val="000A3EE5"/>
    <w:rsid w:val="000A4482"/>
    <w:rsid w:val="000A6850"/>
    <w:rsid w:val="000A7AEC"/>
    <w:rsid w:val="000B011B"/>
    <w:rsid w:val="000B2C67"/>
    <w:rsid w:val="000B3C1B"/>
    <w:rsid w:val="000B49A2"/>
    <w:rsid w:val="000B51BF"/>
    <w:rsid w:val="000B5733"/>
    <w:rsid w:val="000B6CAC"/>
    <w:rsid w:val="000C062E"/>
    <w:rsid w:val="000C1776"/>
    <w:rsid w:val="000C2585"/>
    <w:rsid w:val="000C339A"/>
    <w:rsid w:val="000C340D"/>
    <w:rsid w:val="000C3740"/>
    <w:rsid w:val="000C51E0"/>
    <w:rsid w:val="000C60FA"/>
    <w:rsid w:val="000C656D"/>
    <w:rsid w:val="000D0D09"/>
    <w:rsid w:val="000D2EF1"/>
    <w:rsid w:val="000D3221"/>
    <w:rsid w:val="000D3751"/>
    <w:rsid w:val="000D4A91"/>
    <w:rsid w:val="000D6DA7"/>
    <w:rsid w:val="000E2668"/>
    <w:rsid w:val="000E2859"/>
    <w:rsid w:val="000E3DE7"/>
    <w:rsid w:val="000E3E16"/>
    <w:rsid w:val="000E5216"/>
    <w:rsid w:val="000E557B"/>
    <w:rsid w:val="000F2EE3"/>
    <w:rsid w:val="000F349F"/>
    <w:rsid w:val="000F3E5C"/>
    <w:rsid w:val="001019A8"/>
    <w:rsid w:val="0010420E"/>
    <w:rsid w:val="001043C9"/>
    <w:rsid w:val="001049A3"/>
    <w:rsid w:val="0010518B"/>
    <w:rsid w:val="001053CD"/>
    <w:rsid w:val="00106EEA"/>
    <w:rsid w:val="0011026F"/>
    <w:rsid w:val="001107B9"/>
    <w:rsid w:val="001111CB"/>
    <w:rsid w:val="00114A52"/>
    <w:rsid w:val="0011524E"/>
    <w:rsid w:val="001156AA"/>
    <w:rsid w:val="00116D7C"/>
    <w:rsid w:val="00117948"/>
    <w:rsid w:val="001208A6"/>
    <w:rsid w:val="00122056"/>
    <w:rsid w:val="00122322"/>
    <w:rsid w:val="00123BF5"/>
    <w:rsid w:val="00126524"/>
    <w:rsid w:val="00126613"/>
    <w:rsid w:val="00127C3B"/>
    <w:rsid w:val="00127F2F"/>
    <w:rsid w:val="0013176F"/>
    <w:rsid w:val="0013309D"/>
    <w:rsid w:val="00133D2A"/>
    <w:rsid w:val="00136272"/>
    <w:rsid w:val="0014109B"/>
    <w:rsid w:val="00141DE9"/>
    <w:rsid w:val="00142673"/>
    <w:rsid w:val="001430B7"/>
    <w:rsid w:val="00144CA4"/>
    <w:rsid w:val="00145E08"/>
    <w:rsid w:val="0014614F"/>
    <w:rsid w:val="00146EA7"/>
    <w:rsid w:val="00150A36"/>
    <w:rsid w:val="0015160C"/>
    <w:rsid w:val="00151BFF"/>
    <w:rsid w:val="00152A64"/>
    <w:rsid w:val="00153E2E"/>
    <w:rsid w:val="00156087"/>
    <w:rsid w:val="00156A64"/>
    <w:rsid w:val="00160524"/>
    <w:rsid w:val="00160B78"/>
    <w:rsid w:val="001618DC"/>
    <w:rsid w:val="001618EE"/>
    <w:rsid w:val="001625F6"/>
    <w:rsid w:val="00163CED"/>
    <w:rsid w:val="00164925"/>
    <w:rsid w:val="00167153"/>
    <w:rsid w:val="00167B02"/>
    <w:rsid w:val="00170846"/>
    <w:rsid w:val="00170E49"/>
    <w:rsid w:val="00175002"/>
    <w:rsid w:val="00175B53"/>
    <w:rsid w:val="00175F02"/>
    <w:rsid w:val="001763FC"/>
    <w:rsid w:val="001764A1"/>
    <w:rsid w:val="00176EF4"/>
    <w:rsid w:val="00177234"/>
    <w:rsid w:val="00177552"/>
    <w:rsid w:val="001778A9"/>
    <w:rsid w:val="00180815"/>
    <w:rsid w:val="00180E2E"/>
    <w:rsid w:val="0018436A"/>
    <w:rsid w:val="0018523A"/>
    <w:rsid w:val="00185D1D"/>
    <w:rsid w:val="00186B1A"/>
    <w:rsid w:val="00186C23"/>
    <w:rsid w:val="00191E2E"/>
    <w:rsid w:val="00194E91"/>
    <w:rsid w:val="00195663"/>
    <w:rsid w:val="00195721"/>
    <w:rsid w:val="0019635E"/>
    <w:rsid w:val="001963CC"/>
    <w:rsid w:val="00197040"/>
    <w:rsid w:val="001970A7"/>
    <w:rsid w:val="00197C2D"/>
    <w:rsid w:val="001A017E"/>
    <w:rsid w:val="001A092B"/>
    <w:rsid w:val="001A11E9"/>
    <w:rsid w:val="001A1640"/>
    <w:rsid w:val="001A3CDE"/>
    <w:rsid w:val="001A554A"/>
    <w:rsid w:val="001A6920"/>
    <w:rsid w:val="001A764C"/>
    <w:rsid w:val="001A7E70"/>
    <w:rsid w:val="001B1831"/>
    <w:rsid w:val="001B1D34"/>
    <w:rsid w:val="001B1FD8"/>
    <w:rsid w:val="001B310B"/>
    <w:rsid w:val="001B61E1"/>
    <w:rsid w:val="001B672F"/>
    <w:rsid w:val="001B7A73"/>
    <w:rsid w:val="001C212E"/>
    <w:rsid w:val="001C3376"/>
    <w:rsid w:val="001C33DC"/>
    <w:rsid w:val="001C3610"/>
    <w:rsid w:val="001C460B"/>
    <w:rsid w:val="001C46DB"/>
    <w:rsid w:val="001C4A13"/>
    <w:rsid w:val="001C527A"/>
    <w:rsid w:val="001C5AAD"/>
    <w:rsid w:val="001C5AF5"/>
    <w:rsid w:val="001D0E63"/>
    <w:rsid w:val="001D36AA"/>
    <w:rsid w:val="001D3E96"/>
    <w:rsid w:val="001D4493"/>
    <w:rsid w:val="001D4E21"/>
    <w:rsid w:val="001E7AEB"/>
    <w:rsid w:val="001F14C7"/>
    <w:rsid w:val="001F1D85"/>
    <w:rsid w:val="001F516C"/>
    <w:rsid w:val="001F7ED9"/>
    <w:rsid w:val="00200B0F"/>
    <w:rsid w:val="00200FB6"/>
    <w:rsid w:val="00204CDD"/>
    <w:rsid w:val="00205CB4"/>
    <w:rsid w:val="002062DE"/>
    <w:rsid w:val="002074CF"/>
    <w:rsid w:val="00210475"/>
    <w:rsid w:val="002111F5"/>
    <w:rsid w:val="0021270E"/>
    <w:rsid w:val="002134A5"/>
    <w:rsid w:val="00217F92"/>
    <w:rsid w:val="002219D4"/>
    <w:rsid w:val="00221D7C"/>
    <w:rsid w:val="00222DFE"/>
    <w:rsid w:val="002230B3"/>
    <w:rsid w:val="002236E8"/>
    <w:rsid w:val="002237B0"/>
    <w:rsid w:val="00226080"/>
    <w:rsid w:val="00226456"/>
    <w:rsid w:val="002275AE"/>
    <w:rsid w:val="00230DF6"/>
    <w:rsid w:val="002319B8"/>
    <w:rsid w:val="00231CE2"/>
    <w:rsid w:val="00233348"/>
    <w:rsid w:val="0023471F"/>
    <w:rsid w:val="00234735"/>
    <w:rsid w:val="00235946"/>
    <w:rsid w:val="00237A39"/>
    <w:rsid w:val="002409E7"/>
    <w:rsid w:val="00241895"/>
    <w:rsid w:val="00241BDD"/>
    <w:rsid w:val="00243010"/>
    <w:rsid w:val="002435D2"/>
    <w:rsid w:val="0024368E"/>
    <w:rsid w:val="00243CAE"/>
    <w:rsid w:val="00243CB4"/>
    <w:rsid w:val="00251AC0"/>
    <w:rsid w:val="00252E1D"/>
    <w:rsid w:val="00252FAC"/>
    <w:rsid w:val="00256643"/>
    <w:rsid w:val="00257891"/>
    <w:rsid w:val="0026189B"/>
    <w:rsid w:val="002619BD"/>
    <w:rsid w:val="00261F34"/>
    <w:rsid w:val="00263126"/>
    <w:rsid w:val="002639FD"/>
    <w:rsid w:val="00263B5C"/>
    <w:rsid w:val="002645E0"/>
    <w:rsid w:val="002676A8"/>
    <w:rsid w:val="00271468"/>
    <w:rsid w:val="0027166B"/>
    <w:rsid w:val="00273C4E"/>
    <w:rsid w:val="00274FAD"/>
    <w:rsid w:val="002812DA"/>
    <w:rsid w:val="00281A65"/>
    <w:rsid w:val="00282234"/>
    <w:rsid w:val="00282770"/>
    <w:rsid w:val="002834C0"/>
    <w:rsid w:val="00284446"/>
    <w:rsid w:val="00284CF2"/>
    <w:rsid w:val="002855DB"/>
    <w:rsid w:val="002858F1"/>
    <w:rsid w:val="00287877"/>
    <w:rsid w:val="00287917"/>
    <w:rsid w:val="00287ABB"/>
    <w:rsid w:val="00287EAF"/>
    <w:rsid w:val="002911A8"/>
    <w:rsid w:val="00291C6C"/>
    <w:rsid w:val="00294612"/>
    <w:rsid w:val="0029619B"/>
    <w:rsid w:val="00296881"/>
    <w:rsid w:val="002977F0"/>
    <w:rsid w:val="002A0335"/>
    <w:rsid w:val="002A071B"/>
    <w:rsid w:val="002A0E8F"/>
    <w:rsid w:val="002A1594"/>
    <w:rsid w:val="002A5A57"/>
    <w:rsid w:val="002A605B"/>
    <w:rsid w:val="002A78BF"/>
    <w:rsid w:val="002B022B"/>
    <w:rsid w:val="002B026E"/>
    <w:rsid w:val="002B29F4"/>
    <w:rsid w:val="002B2E3C"/>
    <w:rsid w:val="002B355A"/>
    <w:rsid w:val="002B3AC2"/>
    <w:rsid w:val="002B3F8B"/>
    <w:rsid w:val="002B42A9"/>
    <w:rsid w:val="002B5CCE"/>
    <w:rsid w:val="002B7F30"/>
    <w:rsid w:val="002C0B9F"/>
    <w:rsid w:val="002C1CB2"/>
    <w:rsid w:val="002C318A"/>
    <w:rsid w:val="002C375F"/>
    <w:rsid w:val="002C4FAC"/>
    <w:rsid w:val="002C5FCD"/>
    <w:rsid w:val="002C6875"/>
    <w:rsid w:val="002C726C"/>
    <w:rsid w:val="002D120F"/>
    <w:rsid w:val="002D16D2"/>
    <w:rsid w:val="002D2589"/>
    <w:rsid w:val="002D38E3"/>
    <w:rsid w:val="002D4263"/>
    <w:rsid w:val="002D4F97"/>
    <w:rsid w:val="002D54A0"/>
    <w:rsid w:val="002D6608"/>
    <w:rsid w:val="002D770E"/>
    <w:rsid w:val="002E014B"/>
    <w:rsid w:val="002E036B"/>
    <w:rsid w:val="002E03AA"/>
    <w:rsid w:val="002E05A3"/>
    <w:rsid w:val="002E109D"/>
    <w:rsid w:val="002E17F0"/>
    <w:rsid w:val="002E3D6A"/>
    <w:rsid w:val="002E4341"/>
    <w:rsid w:val="002E7576"/>
    <w:rsid w:val="002F1199"/>
    <w:rsid w:val="002F22D4"/>
    <w:rsid w:val="002F26A2"/>
    <w:rsid w:val="002F2A23"/>
    <w:rsid w:val="002F3B20"/>
    <w:rsid w:val="002F3D94"/>
    <w:rsid w:val="002F42E6"/>
    <w:rsid w:val="002F6885"/>
    <w:rsid w:val="002F6890"/>
    <w:rsid w:val="002F6918"/>
    <w:rsid w:val="0030013A"/>
    <w:rsid w:val="0030098C"/>
    <w:rsid w:val="00300F16"/>
    <w:rsid w:val="00301224"/>
    <w:rsid w:val="0030191F"/>
    <w:rsid w:val="00302A54"/>
    <w:rsid w:val="00302FFD"/>
    <w:rsid w:val="0030438A"/>
    <w:rsid w:val="00304897"/>
    <w:rsid w:val="003062B6"/>
    <w:rsid w:val="00306491"/>
    <w:rsid w:val="00306910"/>
    <w:rsid w:val="00306F5E"/>
    <w:rsid w:val="0030796C"/>
    <w:rsid w:val="00310265"/>
    <w:rsid w:val="003109DB"/>
    <w:rsid w:val="00310C07"/>
    <w:rsid w:val="00311085"/>
    <w:rsid w:val="003125E5"/>
    <w:rsid w:val="00312907"/>
    <w:rsid w:val="00314BA3"/>
    <w:rsid w:val="003151B9"/>
    <w:rsid w:val="00315226"/>
    <w:rsid w:val="00317BF4"/>
    <w:rsid w:val="003203A5"/>
    <w:rsid w:val="00320ADF"/>
    <w:rsid w:val="003240E4"/>
    <w:rsid w:val="003258F2"/>
    <w:rsid w:val="00326D80"/>
    <w:rsid w:val="0032760C"/>
    <w:rsid w:val="00330D74"/>
    <w:rsid w:val="00331092"/>
    <w:rsid w:val="0033155C"/>
    <w:rsid w:val="003336DE"/>
    <w:rsid w:val="00333DFC"/>
    <w:rsid w:val="00334746"/>
    <w:rsid w:val="00334F51"/>
    <w:rsid w:val="00335DFE"/>
    <w:rsid w:val="00337192"/>
    <w:rsid w:val="0033748A"/>
    <w:rsid w:val="00340485"/>
    <w:rsid w:val="00341113"/>
    <w:rsid w:val="00341CDD"/>
    <w:rsid w:val="00341FC5"/>
    <w:rsid w:val="003437E8"/>
    <w:rsid w:val="0034386F"/>
    <w:rsid w:val="00343F7A"/>
    <w:rsid w:val="003441AF"/>
    <w:rsid w:val="003470CD"/>
    <w:rsid w:val="00352023"/>
    <w:rsid w:val="00352649"/>
    <w:rsid w:val="00353334"/>
    <w:rsid w:val="00354E2D"/>
    <w:rsid w:val="00356737"/>
    <w:rsid w:val="00357D7E"/>
    <w:rsid w:val="00360611"/>
    <w:rsid w:val="003613CA"/>
    <w:rsid w:val="00361F2C"/>
    <w:rsid w:val="00362796"/>
    <w:rsid w:val="00362EC1"/>
    <w:rsid w:val="003636C1"/>
    <w:rsid w:val="00363A96"/>
    <w:rsid w:val="00364E55"/>
    <w:rsid w:val="0036658E"/>
    <w:rsid w:val="00370588"/>
    <w:rsid w:val="00370709"/>
    <w:rsid w:val="00370C47"/>
    <w:rsid w:val="00371777"/>
    <w:rsid w:val="00372A97"/>
    <w:rsid w:val="0037588F"/>
    <w:rsid w:val="00375A8F"/>
    <w:rsid w:val="00375F01"/>
    <w:rsid w:val="00376E1A"/>
    <w:rsid w:val="00376EDF"/>
    <w:rsid w:val="003775FE"/>
    <w:rsid w:val="0038191F"/>
    <w:rsid w:val="00383C34"/>
    <w:rsid w:val="00384469"/>
    <w:rsid w:val="0038519D"/>
    <w:rsid w:val="00385CAB"/>
    <w:rsid w:val="003879A6"/>
    <w:rsid w:val="00390D55"/>
    <w:rsid w:val="00391E93"/>
    <w:rsid w:val="00392BE0"/>
    <w:rsid w:val="00392F63"/>
    <w:rsid w:val="00393231"/>
    <w:rsid w:val="00395C09"/>
    <w:rsid w:val="00396E5D"/>
    <w:rsid w:val="00397348"/>
    <w:rsid w:val="00397C40"/>
    <w:rsid w:val="003A035A"/>
    <w:rsid w:val="003A1A78"/>
    <w:rsid w:val="003A4A0D"/>
    <w:rsid w:val="003A4BFE"/>
    <w:rsid w:val="003A6F9B"/>
    <w:rsid w:val="003A7997"/>
    <w:rsid w:val="003B0705"/>
    <w:rsid w:val="003B0A43"/>
    <w:rsid w:val="003B0E7F"/>
    <w:rsid w:val="003B12D1"/>
    <w:rsid w:val="003B3609"/>
    <w:rsid w:val="003B379A"/>
    <w:rsid w:val="003B5E30"/>
    <w:rsid w:val="003B60FE"/>
    <w:rsid w:val="003B7073"/>
    <w:rsid w:val="003C0356"/>
    <w:rsid w:val="003C12FB"/>
    <w:rsid w:val="003C1879"/>
    <w:rsid w:val="003C27E9"/>
    <w:rsid w:val="003C387A"/>
    <w:rsid w:val="003C43E6"/>
    <w:rsid w:val="003C52A6"/>
    <w:rsid w:val="003C554D"/>
    <w:rsid w:val="003C7343"/>
    <w:rsid w:val="003C7B63"/>
    <w:rsid w:val="003C7C04"/>
    <w:rsid w:val="003D04D8"/>
    <w:rsid w:val="003D15B4"/>
    <w:rsid w:val="003D217F"/>
    <w:rsid w:val="003D416F"/>
    <w:rsid w:val="003D4311"/>
    <w:rsid w:val="003D4650"/>
    <w:rsid w:val="003D5A86"/>
    <w:rsid w:val="003D6233"/>
    <w:rsid w:val="003D6874"/>
    <w:rsid w:val="003D6CD8"/>
    <w:rsid w:val="003D7826"/>
    <w:rsid w:val="003E01D0"/>
    <w:rsid w:val="003E2723"/>
    <w:rsid w:val="003E5290"/>
    <w:rsid w:val="003E5602"/>
    <w:rsid w:val="003E6565"/>
    <w:rsid w:val="003E77E2"/>
    <w:rsid w:val="003E77EB"/>
    <w:rsid w:val="003F05D1"/>
    <w:rsid w:val="003F188A"/>
    <w:rsid w:val="003F18BA"/>
    <w:rsid w:val="003F1BFE"/>
    <w:rsid w:val="003F214F"/>
    <w:rsid w:val="003F53B5"/>
    <w:rsid w:val="003F5A4E"/>
    <w:rsid w:val="003F69D5"/>
    <w:rsid w:val="003F6DC4"/>
    <w:rsid w:val="00400BE5"/>
    <w:rsid w:val="00400F02"/>
    <w:rsid w:val="004011EC"/>
    <w:rsid w:val="00401793"/>
    <w:rsid w:val="004019D0"/>
    <w:rsid w:val="004027D3"/>
    <w:rsid w:val="00403D7A"/>
    <w:rsid w:val="0040516B"/>
    <w:rsid w:val="00407727"/>
    <w:rsid w:val="00407CAA"/>
    <w:rsid w:val="00410DF8"/>
    <w:rsid w:val="0041134D"/>
    <w:rsid w:val="0041206A"/>
    <w:rsid w:val="00414571"/>
    <w:rsid w:val="00416281"/>
    <w:rsid w:val="00420D50"/>
    <w:rsid w:val="00423DD9"/>
    <w:rsid w:val="004272C0"/>
    <w:rsid w:val="00427D24"/>
    <w:rsid w:val="00430171"/>
    <w:rsid w:val="0043447F"/>
    <w:rsid w:val="00435B71"/>
    <w:rsid w:val="00436394"/>
    <w:rsid w:val="00440E04"/>
    <w:rsid w:val="00441549"/>
    <w:rsid w:val="0044427B"/>
    <w:rsid w:val="00444C0C"/>
    <w:rsid w:val="0044563B"/>
    <w:rsid w:val="00451966"/>
    <w:rsid w:val="004519B3"/>
    <w:rsid w:val="00451EE8"/>
    <w:rsid w:val="00454AEB"/>
    <w:rsid w:val="00456993"/>
    <w:rsid w:val="004571E0"/>
    <w:rsid w:val="004647A6"/>
    <w:rsid w:val="00467685"/>
    <w:rsid w:val="0047073E"/>
    <w:rsid w:val="004709EB"/>
    <w:rsid w:val="004715D5"/>
    <w:rsid w:val="00472A86"/>
    <w:rsid w:val="00473B73"/>
    <w:rsid w:val="00474438"/>
    <w:rsid w:val="00474E1C"/>
    <w:rsid w:val="0047518D"/>
    <w:rsid w:val="0047577F"/>
    <w:rsid w:val="00476A51"/>
    <w:rsid w:val="0047777D"/>
    <w:rsid w:val="004777A4"/>
    <w:rsid w:val="00477B98"/>
    <w:rsid w:val="00480B0E"/>
    <w:rsid w:val="00480F36"/>
    <w:rsid w:val="00480FC8"/>
    <w:rsid w:val="004837FB"/>
    <w:rsid w:val="00483869"/>
    <w:rsid w:val="00484430"/>
    <w:rsid w:val="004844A1"/>
    <w:rsid w:val="004903EC"/>
    <w:rsid w:val="004907DA"/>
    <w:rsid w:val="004910C5"/>
    <w:rsid w:val="00491BF4"/>
    <w:rsid w:val="00492A0C"/>
    <w:rsid w:val="004956E9"/>
    <w:rsid w:val="00497488"/>
    <w:rsid w:val="0049748D"/>
    <w:rsid w:val="00497EB3"/>
    <w:rsid w:val="004A0BF2"/>
    <w:rsid w:val="004A0C02"/>
    <w:rsid w:val="004A0E7D"/>
    <w:rsid w:val="004A13AB"/>
    <w:rsid w:val="004A1999"/>
    <w:rsid w:val="004A1A0D"/>
    <w:rsid w:val="004A3B26"/>
    <w:rsid w:val="004A4A9B"/>
    <w:rsid w:val="004A52C9"/>
    <w:rsid w:val="004A5531"/>
    <w:rsid w:val="004A5F5B"/>
    <w:rsid w:val="004A648C"/>
    <w:rsid w:val="004B12D2"/>
    <w:rsid w:val="004B3264"/>
    <w:rsid w:val="004B740E"/>
    <w:rsid w:val="004C17E2"/>
    <w:rsid w:val="004C1C68"/>
    <w:rsid w:val="004C394C"/>
    <w:rsid w:val="004C40F1"/>
    <w:rsid w:val="004C5885"/>
    <w:rsid w:val="004C5D9F"/>
    <w:rsid w:val="004C600F"/>
    <w:rsid w:val="004C6383"/>
    <w:rsid w:val="004C7F02"/>
    <w:rsid w:val="004D0A53"/>
    <w:rsid w:val="004D208A"/>
    <w:rsid w:val="004D431E"/>
    <w:rsid w:val="004D4A0E"/>
    <w:rsid w:val="004D4F79"/>
    <w:rsid w:val="004D5F9C"/>
    <w:rsid w:val="004D7D0F"/>
    <w:rsid w:val="004E051D"/>
    <w:rsid w:val="004E0C66"/>
    <w:rsid w:val="004E0D06"/>
    <w:rsid w:val="004E1060"/>
    <w:rsid w:val="004E2089"/>
    <w:rsid w:val="004E2A09"/>
    <w:rsid w:val="004E3D38"/>
    <w:rsid w:val="004E59BE"/>
    <w:rsid w:val="004E626E"/>
    <w:rsid w:val="004E670E"/>
    <w:rsid w:val="004F03FB"/>
    <w:rsid w:val="004F0647"/>
    <w:rsid w:val="004F15A7"/>
    <w:rsid w:val="004F19E3"/>
    <w:rsid w:val="004F2311"/>
    <w:rsid w:val="004F5892"/>
    <w:rsid w:val="004F5E12"/>
    <w:rsid w:val="004F64E0"/>
    <w:rsid w:val="005005F0"/>
    <w:rsid w:val="00500C1A"/>
    <w:rsid w:val="005039A0"/>
    <w:rsid w:val="005043CF"/>
    <w:rsid w:val="00504752"/>
    <w:rsid w:val="00505D68"/>
    <w:rsid w:val="005073A1"/>
    <w:rsid w:val="005075B1"/>
    <w:rsid w:val="00507698"/>
    <w:rsid w:val="00507864"/>
    <w:rsid w:val="0051085F"/>
    <w:rsid w:val="00513FB1"/>
    <w:rsid w:val="00514F00"/>
    <w:rsid w:val="00515C2C"/>
    <w:rsid w:val="00516579"/>
    <w:rsid w:val="00517E2E"/>
    <w:rsid w:val="005204AC"/>
    <w:rsid w:val="00521664"/>
    <w:rsid w:val="00522505"/>
    <w:rsid w:val="00524AE7"/>
    <w:rsid w:val="0052527C"/>
    <w:rsid w:val="005277B5"/>
    <w:rsid w:val="00527EF7"/>
    <w:rsid w:val="00531361"/>
    <w:rsid w:val="00531758"/>
    <w:rsid w:val="00531F6B"/>
    <w:rsid w:val="00532A32"/>
    <w:rsid w:val="005348D6"/>
    <w:rsid w:val="00535129"/>
    <w:rsid w:val="00536154"/>
    <w:rsid w:val="0053627F"/>
    <w:rsid w:val="00540DEC"/>
    <w:rsid w:val="00541619"/>
    <w:rsid w:val="00541F27"/>
    <w:rsid w:val="0054267D"/>
    <w:rsid w:val="005427CF"/>
    <w:rsid w:val="00542A8C"/>
    <w:rsid w:val="005431C1"/>
    <w:rsid w:val="005460C4"/>
    <w:rsid w:val="005473AC"/>
    <w:rsid w:val="0055012D"/>
    <w:rsid w:val="00551EAB"/>
    <w:rsid w:val="00551EBE"/>
    <w:rsid w:val="00554FDE"/>
    <w:rsid w:val="005550EE"/>
    <w:rsid w:val="00555624"/>
    <w:rsid w:val="00555CF1"/>
    <w:rsid w:val="00555FF4"/>
    <w:rsid w:val="00555FF8"/>
    <w:rsid w:val="00560DD8"/>
    <w:rsid w:val="005637C6"/>
    <w:rsid w:val="00563F1A"/>
    <w:rsid w:val="00565D7B"/>
    <w:rsid w:val="00567291"/>
    <w:rsid w:val="005674AE"/>
    <w:rsid w:val="00570FD8"/>
    <w:rsid w:val="005727D2"/>
    <w:rsid w:val="005727F3"/>
    <w:rsid w:val="00573244"/>
    <w:rsid w:val="005751E6"/>
    <w:rsid w:val="00576E53"/>
    <w:rsid w:val="00577755"/>
    <w:rsid w:val="00577B6E"/>
    <w:rsid w:val="0058035F"/>
    <w:rsid w:val="0058113C"/>
    <w:rsid w:val="00581421"/>
    <w:rsid w:val="0058156B"/>
    <w:rsid w:val="00581625"/>
    <w:rsid w:val="0058166B"/>
    <w:rsid w:val="00582CC0"/>
    <w:rsid w:val="00583687"/>
    <w:rsid w:val="00583930"/>
    <w:rsid w:val="00583D78"/>
    <w:rsid w:val="005857F1"/>
    <w:rsid w:val="00585D97"/>
    <w:rsid w:val="00585DB7"/>
    <w:rsid w:val="00586234"/>
    <w:rsid w:val="0058712F"/>
    <w:rsid w:val="0058730F"/>
    <w:rsid w:val="005902E5"/>
    <w:rsid w:val="00591214"/>
    <w:rsid w:val="005918B4"/>
    <w:rsid w:val="0059255A"/>
    <w:rsid w:val="0059368F"/>
    <w:rsid w:val="00593706"/>
    <w:rsid w:val="00593737"/>
    <w:rsid w:val="005938D0"/>
    <w:rsid w:val="00594969"/>
    <w:rsid w:val="00596EB6"/>
    <w:rsid w:val="0059764B"/>
    <w:rsid w:val="005A137E"/>
    <w:rsid w:val="005B00E4"/>
    <w:rsid w:val="005B035A"/>
    <w:rsid w:val="005B05D7"/>
    <w:rsid w:val="005B0AAA"/>
    <w:rsid w:val="005B0B50"/>
    <w:rsid w:val="005B17C7"/>
    <w:rsid w:val="005B295E"/>
    <w:rsid w:val="005B43D2"/>
    <w:rsid w:val="005B4884"/>
    <w:rsid w:val="005B66E5"/>
    <w:rsid w:val="005B66F4"/>
    <w:rsid w:val="005B6CA4"/>
    <w:rsid w:val="005B6CAA"/>
    <w:rsid w:val="005C016F"/>
    <w:rsid w:val="005C040E"/>
    <w:rsid w:val="005C0CD5"/>
    <w:rsid w:val="005C4684"/>
    <w:rsid w:val="005C498B"/>
    <w:rsid w:val="005C55B8"/>
    <w:rsid w:val="005C5964"/>
    <w:rsid w:val="005C5C72"/>
    <w:rsid w:val="005C64A2"/>
    <w:rsid w:val="005C7D10"/>
    <w:rsid w:val="005D1898"/>
    <w:rsid w:val="005D1B6F"/>
    <w:rsid w:val="005D4453"/>
    <w:rsid w:val="005D5448"/>
    <w:rsid w:val="005D5776"/>
    <w:rsid w:val="005D62DE"/>
    <w:rsid w:val="005E26F9"/>
    <w:rsid w:val="005E301B"/>
    <w:rsid w:val="005E33B4"/>
    <w:rsid w:val="005E38D3"/>
    <w:rsid w:val="005E3A06"/>
    <w:rsid w:val="005E4C41"/>
    <w:rsid w:val="005E6AFA"/>
    <w:rsid w:val="005E799D"/>
    <w:rsid w:val="005E7D39"/>
    <w:rsid w:val="005F0548"/>
    <w:rsid w:val="005F202A"/>
    <w:rsid w:val="005F26BA"/>
    <w:rsid w:val="005F602B"/>
    <w:rsid w:val="005F6B94"/>
    <w:rsid w:val="005F6F42"/>
    <w:rsid w:val="006000C8"/>
    <w:rsid w:val="00601445"/>
    <w:rsid w:val="006026D7"/>
    <w:rsid w:val="00603005"/>
    <w:rsid w:val="006035B0"/>
    <w:rsid w:val="006037DB"/>
    <w:rsid w:val="00603F14"/>
    <w:rsid w:val="00604CEA"/>
    <w:rsid w:val="00605146"/>
    <w:rsid w:val="00606623"/>
    <w:rsid w:val="00606D4C"/>
    <w:rsid w:val="00607A9C"/>
    <w:rsid w:val="00612589"/>
    <w:rsid w:val="00612D68"/>
    <w:rsid w:val="00614193"/>
    <w:rsid w:val="00615F02"/>
    <w:rsid w:val="00616362"/>
    <w:rsid w:val="006218B0"/>
    <w:rsid w:val="006221A6"/>
    <w:rsid w:val="00622785"/>
    <w:rsid w:val="00622AE3"/>
    <w:rsid w:val="00623248"/>
    <w:rsid w:val="00623EA4"/>
    <w:rsid w:val="006247B7"/>
    <w:rsid w:val="006251AC"/>
    <w:rsid w:val="00630482"/>
    <w:rsid w:val="00630FAD"/>
    <w:rsid w:val="006315EC"/>
    <w:rsid w:val="00631F6D"/>
    <w:rsid w:val="00632173"/>
    <w:rsid w:val="00632E6F"/>
    <w:rsid w:val="00633979"/>
    <w:rsid w:val="00634099"/>
    <w:rsid w:val="00634404"/>
    <w:rsid w:val="0063460F"/>
    <w:rsid w:val="006350E9"/>
    <w:rsid w:val="00635882"/>
    <w:rsid w:val="0063595D"/>
    <w:rsid w:val="00637470"/>
    <w:rsid w:val="0064122D"/>
    <w:rsid w:val="00641931"/>
    <w:rsid w:val="0064194D"/>
    <w:rsid w:val="006425C3"/>
    <w:rsid w:val="00643438"/>
    <w:rsid w:val="0064398A"/>
    <w:rsid w:val="00643C39"/>
    <w:rsid w:val="00644B34"/>
    <w:rsid w:val="00646763"/>
    <w:rsid w:val="006526E4"/>
    <w:rsid w:val="00652CB5"/>
    <w:rsid w:val="00654C78"/>
    <w:rsid w:val="006556B7"/>
    <w:rsid w:val="0065693E"/>
    <w:rsid w:val="006576E9"/>
    <w:rsid w:val="00657CFD"/>
    <w:rsid w:val="0066145B"/>
    <w:rsid w:val="0066457A"/>
    <w:rsid w:val="00664A3D"/>
    <w:rsid w:val="00665843"/>
    <w:rsid w:val="0066762B"/>
    <w:rsid w:val="00672AD0"/>
    <w:rsid w:val="006741E9"/>
    <w:rsid w:val="00674272"/>
    <w:rsid w:val="0067590A"/>
    <w:rsid w:val="00676069"/>
    <w:rsid w:val="00676389"/>
    <w:rsid w:val="006770DC"/>
    <w:rsid w:val="006808F9"/>
    <w:rsid w:val="0068129A"/>
    <w:rsid w:val="00681399"/>
    <w:rsid w:val="00681B46"/>
    <w:rsid w:val="00687484"/>
    <w:rsid w:val="00687EC4"/>
    <w:rsid w:val="0069154C"/>
    <w:rsid w:val="006927FB"/>
    <w:rsid w:val="00692C1A"/>
    <w:rsid w:val="00693403"/>
    <w:rsid w:val="00695515"/>
    <w:rsid w:val="00695E75"/>
    <w:rsid w:val="00696DB1"/>
    <w:rsid w:val="006A0C52"/>
    <w:rsid w:val="006A10F0"/>
    <w:rsid w:val="006A1623"/>
    <w:rsid w:val="006A1E7F"/>
    <w:rsid w:val="006A36A3"/>
    <w:rsid w:val="006A3B2A"/>
    <w:rsid w:val="006A5484"/>
    <w:rsid w:val="006A6964"/>
    <w:rsid w:val="006B1B8F"/>
    <w:rsid w:val="006B250D"/>
    <w:rsid w:val="006B2987"/>
    <w:rsid w:val="006B3018"/>
    <w:rsid w:val="006B33C4"/>
    <w:rsid w:val="006B63C3"/>
    <w:rsid w:val="006B783F"/>
    <w:rsid w:val="006C0F30"/>
    <w:rsid w:val="006C116D"/>
    <w:rsid w:val="006C182E"/>
    <w:rsid w:val="006C1FD9"/>
    <w:rsid w:val="006C249C"/>
    <w:rsid w:val="006C4108"/>
    <w:rsid w:val="006C425D"/>
    <w:rsid w:val="006C5676"/>
    <w:rsid w:val="006C5F43"/>
    <w:rsid w:val="006C65E6"/>
    <w:rsid w:val="006D124C"/>
    <w:rsid w:val="006D17D4"/>
    <w:rsid w:val="006D1D4A"/>
    <w:rsid w:val="006D6A7D"/>
    <w:rsid w:val="006D713F"/>
    <w:rsid w:val="006E23E9"/>
    <w:rsid w:val="006E2C16"/>
    <w:rsid w:val="006E2C23"/>
    <w:rsid w:val="006E3FAB"/>
    <w:rsid w:val="006E52E0"/>
    <w:rsid w:val="006E6AD3"/>
    <w:rsid w:val="006F0D66"/>
    <w:rsid w:val="006F0E6E"/>
    <w:rsid w:val="006F1EA1"/>
    <w:rsid w:val="006F36CF"/>
    <w:rsid w:val="006F402E"/>
    <w:rsid w:val="006F4CB6"/>
    <w:rsid w:val="006F4D0A"/>
    <w:rsid w:val="006F5402"/>
    <w:rsid w:val="006F5A51"/>
    <w:rsid w:val="006F5C15"/>
    <w:rsid w:val="006F5C96"/>
    <w:rsid w:val="006F5D4F"/>
    <w:rsid w:val="006F7146"/>
    <w:rsid w:val="007011F2"/>
    <w:rsid w:val="007020F1"/>
    <w:rsid w:val="007027BF"/>
    <w:rsid w:val="00702F2D"/>
    <w:rsid w:val="007048CF"/>
    <w:rsid w:val="00704EE9"/>
    <w:rsid w:val="00705338"/>
    <w:rsid w:val="00705535"/>
    <w:rsid w:val="0070616B"/>
    <w:rsid w:val="00706555"/>
    <w:rsid w:val="00706868"/>
    <w:rsid w:val="00706E73"/>
    <w:rsid w:val="0070736E"/>
    <w:rsid w:val="0071167A"/>
    <w:rsid w:val="00711C11"/>
    <w:rsid w:val="00712142"/>
    <w:rsid w:val="00714408"/>
    <w:rsid w:val="00714CB3"/>
    <w:rsid w:val="0071514F"/>
    <w:rsid w:val="0071549C"/>
    <w:rsid w:val="0071696E"/>
    <w:rsid w:val="007170A0"/>
    <w:rsid w:val="007179DC"/>
    <w:rsid w:val="00717FA0"/>
    <w:rsid w:val="00720CEC"/>
    <w:rsid w:val="00722F66"/>
    <w:rsid w:val="00725433"/>
    <w:rsid w:val="00725A4A"/>
    <w:rsid w:val="00725BAB"/>
    <w:rsid w:val="00727710"/>
    <w:rsid w:val="00731C9F"/>
    <w:rsid w:val="00731EA3"/>
    <w:rsid w:val="00732409"/>
    <w:rsid w:val="007329A0"/>
    <w:rsid w:val="0073410E"/>
    <w:rsid w:val="00734787"/>
    <w:rsid w:val="00737586"/>
    <w:rsid w:val="00737BC4"/>
    <w:rsid w:val="00737EF8"/>
    <w:rsid w:val="00740A6E"/>
    <w:rsid w:val="00740ACD"/>
    <w:rsid w:val="00742092"/>
    <w:rsid w:val="0074334C"/>
    <w:rsid w:val="00743D4B"/>
    <w:rsid w:val="00744299"/>
    <w:rsid w:val="00745A43"/>
    <w:rsid w:val="00747FAC"/>
    <w:rsid w:val="00751744"/>
    <w:rsid w:val="00752356"/>
    <w:rsid w:val="0075264A"/>
    <w:rsid w:val="00754BE2"/>
    <w:rsid w:val="007559FC"/>
    <w:rsid w:val="0075663D"/>
    <w:rsid w:val="00756989"/>
    <w:rsid w:val="00757EF1"/>
    <w:rsid w:val="0076056B"/>
    <w:rsid w:val="007616D9"/>
    <w:rsid w:val="007618C4"/>
    <w:rsid w:val="007620EC"/>
    <w:rsid w:val="00763408"/>
    <w:rsid w:val="007639EB"/>
    <w:rsid w:val="00770804"/>
    <w:rsid w:val="007718C9"/>
    <w:rsid w:val="00775021"/>
    <w:rsid w:val="00777FEA"/>
    <w:rsid w:val="00780D08"/>
    <w:rsid w:val="00782A2E"/>
    <w:rsid w:val="00785877"/>
    <w:rsid w:val="0078648A"/>
    <w:rsid w:val="00787922"/>
    <w:rsid w:val="00790F82"/>
    <w:rsid w:val="00792BDC"/>
    <w:rsid w:val="00792E69"/>
    <w:rsid w:val="00794401"/>
    <w:rsid w:val="0079502A"/>
    <w:rsid w:val="0079653A"/>
    <w:rsid w:val="00796A48"/>
    <w:rsid w:val="00797AE4"/>
    <w:rsid w:val="007A1460"/>
    <w:rsid w:val="007A19B4"/>
    <w:rsid w:val="007A23E5"/>
    <w:rsid w:val="007A2D90"/>
    <w:rsid w:val="007A434D"/>
    <w:rsid w:val="007A558D"/>
    <w:rsid w:val="007A5BEC"/>
    <w:rsid w:val="007A5E84"/>
    <w:rsid w:val="007A6C69"/>
    <w:rsid w:val="007A719A"/>
    <w:rsid w:val="007B32C8"/>
    <w:rsid w:val="007B4EAB"/>
    <w:rsid w:val="007B549A"/>
    <w:rsid w:val="007B54D1"/>
    <w:rsid w:val="007B5B83"/>
    <w:rsid w:val="007B791A"/>
    <w:rsid w:val="007B7C40"/>
    <w:rsid w:val="007C045B"/>
    <w:rsid w:val="007C066E"/>
    <w:rsid w:val="007C1633"/>
    <w:rsid w:val="007C233D"/>
    <w:rsid w:val="007C3C24"/>
    <w:rsid w:val="007C3C7B"/>
    <w:rsid w:val="007C4BBC"/>
    <w:rsid w:val="007C4D74"/>
    <w:rsid w:val="007C66C3"/>
    <w:rsid w:val="007C6F54"/>
    <w:rsid w:val="007C73F3"/>
    <w:rsid w:val="007C7445"/>
    <w:rsid w:val="007D11E5"/>
    <w:rsid w:val="007D3EA0"/>
    <w:rsid w:val="007D4786"/>
    <w:rsid w:val="007D4B06"/>
    <w:rsid w:val="007D682A"/>
    <w:rsid w:val="007D7469"/>
    <w:rsid w:val="007E036D"/>
    <w:rsid w:val="007E171F"/>
    <w:rsid w:val="007E1C2E"/>
    <w:rsid w:val="007E1E17"/>
    <w:rsid w:val="007E2ADF"/>
    <w:rsid w:val="007E464A"/>
    <w:rsid w:val="007E464E"/>
    <w:rsid w:val="007E5578"/>
    <w:rsid w:val="007E7190"/>
    <w:rsid w:val="007F1C10"/>
    <w:rsid w:val="007F251B"/>
    <w:rsid w:val="007F3F6E"/>
    <w:rsid w:val="007F477E"/>
    <w:rsid w:val="007F4B68"/>
    <w:rsid w:val="007F5B02"/>
    <w:rsid w:val="007F7667"/>
    <w:rsid w:val="00800FD1"/>
    <w:rsid w:val="008012DF"/>
    <w:rsid w:val="008020C6"/>
    <w:rsid w:val="00803A26"/>
    <w:rsid w:val="00803A63"/>
    <w:rsid w:val="00803D6C"/>
    <w:rsid w:val="008040CC"/>
    <w:rsid w:val="0080454D"/>
    <w:rsid w:val="00805030"/>
    <w:rsid w:val="0081350B"/>
    <w:rsid w:val="008138C9"/>
    <w:rsid w:val="00814195"/>
    <w:rsid w:val="008146D4"/>
    <w:rsid w:val="0081574D"/>
    <w:rsid w:val="0081636B"/>
    <w:rsid w:val="0081701D"/>
    <w:rsid w:val="00817292"/>
    <w:rsid w:val="00817A38"/>
    <w:rsid w:val="00820B02"/>
    <w:rsid w:val="00821ADF"/>
    <w:rsid w:val="0082278D"/>
    <w:rsid w:val="00823F21"/>
    <w:rsid w:val="00825642"/>
    <w:rsid w:val="0082566D"/>
    <w:rsid w:val="00826BBB"/>
    <w:rsid w:val="00826C82"/>
    <w:rsid w:val="008313ED"/>
    <w:rsid w:val="008316D0"/>
    <w:rsid w:val="00832B1A"/>
    <w:rsid w:val="00832ED7"/>
    <w:rsid w:val="0083389D"/>
    <w:rsid w:val="00835180"/>
    <w:rsid w:val="00835209"/>
    <w:rsid w:val="008355BC"/>
    <w:rsid w:val="008376CF"/>
    <w:rsid w:val="00843842"/>
    <w:rsid w:val="0084408F"/>
    <w:rsid w:val="008444D4"/>
    <w:rsid w:val="0084480E"/>
    <w:rsid w:val="00847132"/>
    <w:rsid w:val="0084794E"/>
    <w:rsid w:val="00851A0E"/>
    <w:rsid w:val="00853CCB"/>
    <w:rsid w:val="00854475"/>
    <w:rsid w:val="008552C4"/>
    <w:rsid w:val="0085621A"/>
    <w:rsid w:val="008577B3"/>
    <w:rsid w:val="00861822"/>
    <w:rsid w:val="008618E9"/>
    <w:rsid w:val="00862559"/>
    <w:rsid w:val="0086265D"/>
    <w:rsid w:val="00864927"/>
    <w:rsid w:val="008650DE"/>
    <w:rsid w:val="00866CDE"/>
    <w:rsid w:val="008672D6"/>
    <w:rsid w:val="00870534"/>
    <w:rsid w:val="00871EB4"/>
    <w:rsid w:val="00871F07"/>
    <w:rsid w:val="0087273A"/>
    <w:rsid w:val="00872C11"/>
    <w:rsid w:val="00873E63"/>
    <w:rsid w:val="00875D7A"/>
    <w:rsid w:val="00876200"/>
    <w:rsid w:val="008766FD"/>
    <w:rsid w:val="008768A1"/>
    <w:rsid w:val="0087711A"/>
    <w:rsid w:val="0087735D"/>
    <w:rsid w:val="00877E13"/>
    <w:rsid w:val="00881674"/>
    <w:rsid w:val="008822BC"/>
    <w:rsid w:val="008830D8"/>
    <w:rsid w:val="00884D37"/>
    <w:rsid w:val="00885026"/>
    <w:rsid w:val="008869A5"/>
    <w:rsid w:val="00886B8F"/>
    <w:rsid w:val="00887334"/>
    <w:rsid w:val="00891099"/>
    <w:rsid w:val="0089131C"/>
    <w:rsid w:val="0089153B"/>
    <w:rsid w:val="00891900"/>
    <w:rsid w:val="008939EF"/>
    <w:rsid w:val="00896CD2"/>
    <w:rsid w:val="008A0391"/>
    <w:rsid w:val="008A1629"/>
    <w:rsid w:val="008A2765"/>
    <w:rsid w:val="008A2E7A"/>
    <w:rsid w:val="008A315E"/>
    <w:rsid w:val="008A692F"/>
    <w:rsid w:val="008A6E2F"/>
    <w:rsid w:val="008A6F9D"/>
    <w:rsid w:val="008B0DA4"/>
    <w:rsid w:val="008B29A3"/>
    <w:rsid w:val="008B2CFA"/>
    <w:rsid w:val="008B2D3E"/>
    <w:rsid w:val="008B3630"/>
    <w:rsid w:val="008B4CB7"/>
    <w:rsid w:val="008B6E2B"/>
    <w:rsid w:val="008B7A5E"/>
    <w:rsid w:val="008C0541"/>
    <w:rsid w:val="008C068E"/>
    <w:rsid w:val="008C15B2"/>
    <w:rsid w:val="008C160D"/>
    <w:rsid w:val="008C3D31"/>
    <w:rsid w:val="008C42AB"/>
    <w:rsid w:val="008C464C"/>
    <w:rsid w:val="008C54C3"/>
    <w:rsid w:val="008C5D5B"/>
    <w:rsid w:val="008C65DE"/>
    <w:rsid w:val="008C7758"/>
    <w:rsid w:val="008C77C7"/>
    <w:rsid w:val="008D046F"/>
    <w:rsid w:val="008D0E56"/>
    <w:rsid w:val="008D1737"/>
    <w:rsid w:val="008D1A59"/>
    <w:rsid w:val="008D2E3E"/>
    <w:rsid w:val="008D440F"/>
    <w:rsid w:val="008D4797"/>
    <w:rsid w:val="008D49CC"/>
    <w:rsid w:val="008D5F49"/>
    <w:rsid w:val="008D647B"/>
    <w:rsid w:val="008D671F"/>
    <w:rsid w:val="008D6BE6"/>
    <w:rsid w:val="008E28D2"/>
    <w:rsid w:val="008E3E42"/>
    <w:rsid w:val="008E601C"/>
    <w:rsid w:val="008E71C6"/>
    <w:rsid w:val="008F02E6"/>
    <w:rsid w:val="008F1637"/>
    <w:rsid w:val="008F25DF"/>
    <w:rsid w:val="008F284F"/>
    <w:rsid w:val="008F2F73"/>
    <w:rsid w:val="008F462C"/>
    <w:rsid w:val="008F46EA"/>
    <w:rsid w:val="008F6456"/>
    <w:rsid w:val="008F7805"/>
    <w:rsid w:val="00902EF2"/>
    <w:rsid w:val="0090469D"/>
    <w:rsid w:val="00905960"/>
    <w:rsid w:val="0090761D"/>
    <w:rsid w:val="0091135A"/>
    <w:rsid w:val="0091173D"/>
    <w:rsid w:val="0091226D"/>
    <w:rsid w:val="00917422"/>
    <w:rsid w:val="00917EED"/>
    <w:rsid w:val="009204F7"/>
    <w:rsid w:val="0092106D"/>
    <w:rsid w:val="0092137D"/>
    <w:rsid w:val="00921C9C"/>
    <w:rsid w:val="00923334"/>
    <w:rsid w:val="009257CA"/>
    <w:rsid w:val="00926E03"/>
    <w:rsid w:val="009278F9"/>
    <w:rsid w:val="00927A8C"/>
    <w:rsid w:val="009304E7"/>
    <w:rsid w:val="0093077B"/>
    <w:rsid w:val="00931AD7"/>
    <w:rsid w:val="009324AF"/>
    <w:rsid w:val="009334FA"/>
    <w:rsid w:val="00933A7D"/>
    <w:rsid w:val="00933E8B"/>
    <w:rsid w:val="00934D8F"/>
    <w:rsid w:val="00935B2A"/>
    <w:rsid w:val="00935D7A"/>
    <w:rsid w:val="00936CA0"/>
    <w:rsid w:val="00936EA0"/>
    <w:rsid w:val="0094299D"/>
    <w:rsid w:val="0094352F"/>
    <w:rsid w:val="0094424E"/>
    <w:rsid w:val="009456F6"/>
    <w:rsid w:val="009464AF"/>
    <w:rsid w:val="00946AF0"/>
    <w:rsid w:val="00946BDB"/>
    <w:rsid w:val="0094747C"/>
    <w:rsid w:val="009474F2"/>
    <w:rsid w:val="0095014A"/>
    <w:rsid w:val="00950B2F"/>
    <w:rsid w:val="00950F28"/>
    <w:rsid w:val="00952015"/>
    <w:rsid w:val="00953F7D"/>
    <w:rsid w:val="00954068"/>
    <w:rsid w:val="009543C3"/>
    <w:rsid w:val="00954661"/>
    <w:rsid w:val="00954AB9"/>
    <w:rsid w:val="0095534A"/>
    <w:rsid w:val="00955F24"/>
    <w:rsid w:val="00956253"/>
    <w:rsid w:val="00956BB7"/>
    <w:rsid w:val="00957BE6"/>
    <w:rsid w:val="00957D1A"/>
    <w:rsid w:val="009602D0"/>
    <w:rsid w:val="00960A19"/>
    <w:rsid w:val="00961A3A"/>
    <w:rsid w:val="009624E7"/>
    <w:rsid w:val="0096252D"/>
    <w:rsid w:val="00964525"/>
    <w:rsid w:val="009646F2"/>
    <w:rsid w:val="00964CB9"/>
    <w:rsid w:val="00965D47"/>
    <w:rsid w:val="00965F5D"/>
    <w:rsid w:val="009678DF"/>
    <w:rsid w:val="00970C2B"/>
    <w:rsid w:val="00971270"/>
    <w:rsid w:val="00971C3C"/>
    <w:rsid w:val="0097283B"/>
    <w:rsid w:val="00973D49"/>
    <w:rsid w:val="00973EA1"/>
    <w:rsid w:val="009745CC"/>
    <w:rsid w:val="0097641D"/>
    <w:rsid w:val="00977E3F"/>
    <w:rsid w:val="009808E9"/>
    <w:rsid w:val="00981CED"/>
    <w:rsid w:val="009838CD"/>
    <w:rsid w:val="00983C1F"/>
    <w:rsid w:val="00985E33"/>
    <w:rsid w:val="00986430"/>
    <w:rsid w:val="00986CA3"/>
    <w:rsid w:val="00986EC1"/>
    <w:rsid w:val="009876EE"/>
    <w:rsid w:val="009922F0"/>
    <w:rsid w:val="0099295F"/>
    <w:rsid w:val="00995B57"/>
    <w:rsid w:val="009975C3"/>
    <w:rsid w:val="00997D29"/>
    <w:rsid w:val="009A0110"/>
    <w:rsid w:val="009A2455"/>
    <w:rsid w:val="009A288B"/>
    <w:rsid w:val="009A2D1C"/>
    <w:rsid w:val="009A479A"/>
    <w:rsid w:val="009A4C9F"/>
    <w:rsid w:val="009A761A"/>
    <w:rsid w:val="009B00F5"/>
    <w:rsid w:val="009B2215"/>
    <w:rsid w:val="009B2905"/>
    <w:rsid w:val="009B4A1F"/>
    <w:rsid w:val="009B4BB8"/>
    <w:rsid w:val="009B70FC"/>
    <w:rsid w:val="009B746D"/>
    <w:rsid w:val="009B7D19"/>
    <w:rsid w:val="009C113D"/>
    <w:rsid w:val="009C2BC4"/>
    <w:rsid w:val="009C5460"/>
    <w:rsid w:val="009D25FA"/>
    <w:rsid w:val="009D3983"/>
    <w:rsid w:val="009D4123"/>
    <w:rsid w:val="009D455B"/>
    <w:rsid w:val="009D465B"/>
    <w:rsid w:val="009D50E5"/>
    <w:rsid w:val="009D5E0E"/>
    <w:rsid w:val="009D5E9B"/>
    <w:rsid w:val="009D615E"/>
    <w:rsid w:val="009D621A"/>
    <w:rsid w:val="009D6C2E"/>
    <w:rsid w:val="009D7045"/>
    <w:rsid w:val="009D77A1"/>
    <w:rsid w:val="009D7C26"/>
    <w:rsid w:val="009E0340"/>
    <w:rsid w:val="009E15A2"/>
    <w:rsid w:val="009E34A2"/>
    <w:rsid w:val="009E4D8C"/>
    <w:rsid w:val="009E5FB6"/>
    <w:rsid w:val="009E71F8"/>
    <w:rsid w:val="009E7E1A"/>
    <w:rsid w:val="009F09AB"/>
    <w:rsid w:val="009F2118"/>
    <w:rsid w:val="009F2569"/>
    <w:rsid w:val="009F2FFC"/>
    <w:rsid w:val="009F362A"/>
    <w:rsid w:val="009F4350"/>
    <w:rsid w:val="009F59DC"/>
    <w:rsid w:val="009F5DC9"/>
    <w:rsid w:val="009F67D3"/>
    <w:rsid w:val="009F76FF"/>
    <w:rsid w:val="00A0136D"/>
    <w:rsid w:val="00A0277D"/>
    <w:rsid w:val="00A02BA3"/>
    <w:rsid w:val="00A03A71"/>
    <w:rsid w:val="00A04319"/>
    <w:rsid w:val="00A0450A"/>
    <w:rsid w:val="00A05BA3"/>
    <w:rsid w:val="00A05E58"/>
    <w:rsid w:val="00A076D4"/>
    <w:rsid w:val="00A10D20"/>
    <w:rsid w:val="00A112D4"/>
    <w:rsid w:val="00A12781"/>
    <w:rsid w:val="00A13A8B"/>
    <w:rsid w:val="00A13B2D"/>
    <w:rsid w:val="00A14565"/>
    <w:rsid w:val="00A15D84"/>
    <w:rsid w:val="00A173BA"/>
    <w:rsid w:val="00A20707"/>
    <w:rsid w:val="00A2079C"/>
    <w:rsid w:val="00A20A51"/>
    <w:rsid w:val="00A20E9E"/>
    <w:rsid w:val="00A210C6"/>
    <w:rsid w:val="00A224AC"/>
    <w:rsid w:val="00A22659"/>
    <w:rsid w:val="00A22E60"/>
    <w:rsid w:val="00A232F4"/>
    <w:rsid w:val="00A23402"/>
    <w:rsid w:val="00A2342F"/>
    <w:rsid w:val="00A23728"/>
    <w:rsid w:val="00A24061"/>
    <w:rsid w:val="00A248BF"/>
    <w:rsid w:val="00A24AB5"/>
    <w:rsid w:val="00A25EF8"/>
    <w:rsid w:val="00A264FA"/>
    <w:rsid w:val="00A264FF"/>
    <w:rsid w:val="00A26505"/>
    <w:rsid w:val="00A26FF9"/>
    <w:rsid w:val="00A303E7"/>
    <w:rsid w:val="00A30B65"/>
    <w:rsid w:val="00A30BF6"/>
    <w:rsid w:val="00A320CC"/>
    <w:rsid w:val="00A33091"/>
    <w:rsid w:val="00A337EB"/>
    <w:rsid w:val="00A33A4F"/>
    <w:rsid w:val="00A33C4E"/>
    <w:rsid w:val="00A33C53"/>
    <w:rsid w:val="00A33DB2"/>
    <w:rsid w:val="00A34324"/>
    <w:rsid w:val="00A34511"/>
    <w:rsid w:val="00A3486B"/>
    <w:rsid w:val="00A36D99"/>
    <w:rsid w:val="00A37FF8"/>
    <w:rsid w:val="00A4000B"/>
    <w:rsid w:val="00A43D0E"/>
    <w:rsid w:val="00A44473"/>
    <w:rsid w:val="00A44913"/>
    <w:rsid w:val="00A44BBC"/>
    <w:rsid w:val="00A45BF9"/>
    <w:rsid w:val="00A47611"/>
    <w:rsid w:val="00A47C3A"/>
    <w:rsid w:val="00A5004D"/>
    <w:rsid w:val="00A504E2"/>
    <w:rsid w:val="00A528FA"/>
    <w:rsid w:val="00A52FA3"/>
    <w:rsid w:val="00A534D2"/>
    <w:rsid w:val="00A54D68"/>
    <w:rsid w:val="00A578C9"/>
    <w:rsid w:val="00A6031E"/>
    <w:rsid w:val="00A619AD"/>
    <w:rsid w:val="00A61ADB"/>
    <w:rsid w:val="00A61DA2"/>
    <w:rsid w:val="00A62D17"/>
    <w:rsid w:val="00A63365"/>
    <w:rsid w:val="00A6439B"/>
    <w:rsid w:val="00A67C4C"/>
    <w:rsid w:val="00A71035"/>
    <w:rsid w:val="00A71829"/>
    <w:rsid w:val="00A71EAD"/>
    <w:rsid w:val="00A7224F"/>
    <w:rsid w:val="00A724EC"/>
    <w:rsid w:val="00A72E55"/>
    <w:rsid w:val="00A7399A"/>
    <w:rsid w:val="00A75262"/>
    <w:rsid w:val="00A755CB"/>
    <w:rsid w:val="00A77BE4"/>
    <w:rsid w:val="00A86280"/>
    <w:rsid w:val="00A86F1A"/>
    <w:rsid w:val="00A87FBE"/>
    <w:rsid w:val="00A90C20"/>
    <w:rsid w:val="00A9148A"/>
    <w:rsid w:val="00A914F0"/>
    <w:rsid w:val="00A91AC4"/>
    <w:rsid w:val="00A94E19"/>
    <w:rsid w:val="00A959D3"/>
    <w:rsid w:val="00A95B0D"/>
    <w:rsid w:val="00A960D8"/>
    <w:rsid w:val="00A96B35"/>
    <w:rsid w:val="00A96DF9"/>
    <w:rsid w:val="00A96EB2"/>
    <w:rsid w:val="00AA16AC"/>
    <w:rsid w:val="00AA2C0D"/>
    <w:rsid w:val="00AA3B12"/>
    <w:rsid w:val="00AA514C"/>
    <w:rsid w:val="00AA5997"/>
    <w:rsid w:val="00AA7489"/>
    <w:rsid w:val="00AB05B4"/>
    <w:rsid w:val="00AB0EB8"/>
    <w:rsid w:val="00AB1095"/>
    <w:rsid w:val="00AB1461"/>
    <w:rsid w:val="00AB17EC"/>
    <w:rsid w:val="00AB49F7"/>
    <w:rsid w:val="00AC07C0"/>
    <w:rsid w:val="00AC0B9C"/>
    <w:rsid w:val="00AC0E4C"/>
    <w:rsid w:val="00AC1C08"/>
    <w:rsid w:val="00AC29D1"/>
    <w:rsid w:val="00AC2D91"/>
    <w:rsid w:val="00AC368F"/>
    <w:rsid w:val="00AC3A8A"/>
    <w:rsid w:val="00AC53FD"/>
    <w:rsid w:val="00AC5C73"/>
    <w:rsid w:val="00AD041B"/>
    <w:rsid w:val="00AD0D3C"/>
    <w:rsid w:val="00AD1041"/>
    <w:rsid w:val="00AD2243"/>
    <w:rsid w:val="00AD3C27"/>
    <w:rsid w:val="00AD5EA0"/>
    <w:rsid w:val="00AE002A"/>
    <w:rsid w:val="00AE088C"/>
    <w:rsid w:val="00AE114A"/>
    <w:rsid w:val="00AE1998"/>
    <w:rsid w:val="00AE2B2A"/>
    <w:rsid w:val="00AE31A5"/>
    <w:rsid w:val="00AE6581"/>
    <w:rsid w:val="00AE6B5D"/>
    <w:rsid w:val="00AF0315"/>
    <w:rsid w:val="00AF042C"/>
    <w:rsid w:val="00AF0B04"/>
    <w:rsid w:val="00AF0C24"/>
    <w:rsid w:val="00AF1D95"/>
    <w:rsid w:val="00AF3F43"/>
    <w:rsid w:val="00AF5C94"/>
    <w:rsid w:val="00B0098D"/>
    <w:rsid w:val="00B017C7"/>
    <w:rsid w:val="00B026D7"/>
    <w:rsid w:val="00B039D1"/>
    <w:rsid w:val="00B0521D"/>
    <w:rsid w:val="00B055F3"/>
    <w:rsid w:val="00B0749A"/>
    <w:rsid w:val="00B1100F"/>
    <w:rsid w:val="00B11E3C"/>
    <w:rsid w:val="00B11F2F"/>
    <w:rsid w:val="00B12C36"/>
    <w:rsid w:val="00B13FE1"/>
    <w:rsid w:val="00B14CBF"/>
    <w:rsid w:val="00B17C32"/>
    <w:rsid w:val="00B17EE6"/>
    <w:rsid w:val="00B20294"/>
    <w:rsid w:val="00B24084"/>
    <w:rsid w:val="00B2500C"/>
    <w:rsid w:val="00B251D7"/>
    <w:rsid w:val="00B26CB5"/>
    <w:rsid w:val="00B30333"/>
    <w:rsid w:val="00B32DB0"/>
    <w:rsid w:val="00B3508E"/>
    <w:rsid w:val="00B37D97"/>
    <w:rsid w:val="00B40B13"/>
    <w:rsid w:val="00B42165"/>
    <w:rsid w:val="00B43356"/>
    <w:rsid w:val="00B44100"/>
    <w:rsid w:val="00B4436A"/>
    <w:rsid w:val="00B446E4"/>
    <w:rsid w:val="00B501D3"/>
    <w:rsid w:val="00B50FA4"/>
    <w:rsid w:val="00B52087"/>
    <w:rsid w:val="00B524CD"/>
    <w:rsid w:val="00B53F37"/>
    <w:rsid w:val="00B55019"/>
    <w:rsid w:val="00B568EB"/>
    <w:rsid w:val="00B610E5"/>
    <w:rsid w:val="00B634D3"/>
    <w:rsid w:val="00B64963"/>
    <w:rsid w:val="00B66F12"/>
    <w:rsid w:val="00B67EE9"/>
    <w:rsid w:val="00B70208"/>
    <w:rsid w:val="00B71145"/>
    <w:rsid w:val="00B71CB8"/>
    <w:rsid w:val="00B7228E"/>
    <w:rsid w:val="00B72989"/>
    <w:rsid w:val="00B73072"/>
    <w:rsid w:val="00B7798F"/>
    <w:rsid w:val="00B812D4"/>
    <w:rsid w:val="00B81B00"/>
    <w:rsid w:val="00B83320"/>
    <w:rsid w:val="00B840B4"/>
    <w:rsid w:val="00B84769"/>
    <w:rsid w:val="00B8488E"/>
    <w:rsid w:val="00B8522E"/>
    <w:rsid w:val="00B86FF1"/>
    <w:rsid w:val="00B87FEC"/>
    <w:rsid w:val="00B90B79"/>
    <w:rsid w:val="00B91C9B"/>
    <w:rsid w:val="00B91FAE"/>
    <w:rsid w:val="00B9294E"/>
    <w:rsid w:val="00B92FF0"/>
    <w:rsid w:val="00B93A19"/>
    <w:rsid w:val="00B95AD6"/>
    <w:rsid w:val="00B95D24"/>
    <w:rsid w:val="00B96D4D"/>
    <w:rsid w:val="00B96D66"/>
    <w:rsid w:val="00BA0B1A"/>
    <w:rsid w:val="00BA29A8"/>
    <w:rsid w:val="00BA3B98"/>
    <w:rsid w:val="00BA6343"/>
    <w:rsid w:val="00BA6FC4"/>
    <w:rsid w:val="00BB1632"/>
    <w:rsid w:val="00BB2CE5"/>
    <w:rsid w:val="00BB303B"/>
    <w:rsid w:val="00BB4499"/>
    <w:rsid w:val="00BB543C"/>
    <w:rsid w:val="00BB5C01"/>
    <w:rsid w:val="00BB5F90"/>
    <w:rsid w:val="00BB747B"/>
    <w:rsid w:val="00BB7FE3"/>
    <w:rsid w:val="00BC01A4"/>
    <w:rsid w:val="00BC1AA6"/>
    <w:rsid w:val="00BC2DD0"/>
    <w:rsid w:val="00BC405A"/>
    <w:rsid w:val="00BC5CC3"/>
    <w:rsid w:val="00BC67B4"/>
    <w:rsid w:val="00BC67CB"/>
    <w:rsid w:val="00BC68F6"/>
    <w:rsid w:val="00BD0BEA"/>
    <w:rsid w:val="00BD0C02"/>
    <w:rsid w:val="00BD4D6B"/>
    <w:rsid w:val="00BD7610"/>
    <w:rsid w:val="00BE0A43"/>
    <w:rsid w:val="00BE1A64"/>
    <w:rsid w:val="00BE4EF7"/>
    <w:rsid w:val="00BE54EB"/>
    <w:rsid w:val="00BE5824"/>
    <w:rsid w:val="00BE755F"/>
    <w:rsid w:val="00BE76EF"/>
    <w:rsid w:val="00BF0771"/>
    <w:rsid w:val="00BF0A52"/>
    <w:rsid w:val="00BF1BB8"/>
    <w:rsid w:val="00BF383D"/>
    <w:rsid w:val="00BF4873"/>
    <w:rsid w:val="00BF4AE0"/>
    <w:rsid w:val="00BF5F53"/>
    <w:rsid w:val="00BF7305"/>
    <w:rsid w:val="00C01AE4"/>
    <w:rsid w:val="00C038E8"/>
    <w:rsid w:val="00C03976"/>
    <w:rsid w:val="00C03CAC"/>
    <w:rsid w:val="00C03D75"/>
    <w:rsid w:val="00C04828"/>
    <w:rsid w:val="00C05641"/>
    <w:rsid w:val="00C05DB8"/>
    <w:rsid w:val="00C077D8"/>
    <w:rsid w:val="00C1042A"/>
    <w:rsid w:val="00C10871"/>
    <w:rsid w:val="00C10BB4"/>
    <w:rsid w:val="00C110A2"/>
    <w:rsid w:val="00C11B0F"/>
    <w:rsid w:val="00C11BFD"/>
    <w:rsid w:val="00C13253"/>
    <w:rsid w:val="00C138B1"/>
    <w:rsid w:val="00C163BE"/>
    <w:rsid w:val="00C17556"/>
    <w:rsid w:val="00C1756B"/>
    <w:rsid w:val="00C17921"/>
    <w:rsid w:val="00C20B27"/>
    <w:rsid w:val="00C226E9"/>
    <w:rsid w:val="00C2339D"/>
    <w:rsid w:val="00C244D0"/>
    <w:rsid w:val="00C24DD6"/>
    <w:rsid w:val="00C306AF"/>
    <w:rsid w:val="00C32589"/>
    <w:rsid w:val="00C33D99"/>
    <w:rsid w:val="00C33F4C"/>
    <w:rsid w:val="00C36EC9"/>
    <w:rsid w:val="00C37371"/>
    <w:rsid w:val="00C40CA6"/>
    <w:rsid w:val="00C40E9A"/>
    <w:rsid w:val="00C41233"/>
    <w:rsid w:val="00C42671"/>
    <w:rsid w:val="00C45965"/>
    <w:rsid w:val="00C45B65"/>
    <w:rsid w:val="00C50B81"/>
    <w:rsid w:val="00C52587"/>
    <w:rsid w:val="00C52C46"/>
    <w:rsid w:val="00C53B00"/>
    <w:rsid w:val="00C55B42"/>
    <w:rsid w:val="00C562DB"/>
    <w:rsid w:val="00C571DF"/>
    <w:rsid w:val="00C5788B"/>
    <w:rsid w:val="00C60079"/>
    <w:rsid w:val="00C60BBB"/>
    <w:rsid w:val="00C61212"/>
    <w:rsid w:val="00C62897"/>
    <w:rsid w:val="00C63243"/>
    <w:rsid w:val="00C63E8F"/>
    <w:rsid w:val="00C64FC4"/>
    <w:rsid w:val="00C667FD"/>
    <w:rsid w:val="00C706EE"/>
    <w:rsid w:val="00C728A3"/>
    <w:rsid w:val="00C72A71"/>
    <w:rsid w:val="00C75A4F"/>
    <w:rsid w:val="00C76CFC"/>
    <w:rsid w:val="00C807C9"/>
    <w:rsid w:val="00C813B4"/>
    <w:rsid w:val="00C84748"/>
    <w:rsid w:val="00C84944"/>
    <w:rsid w:val="00C8667E"/>
    <w:rsid w:val="00C90EA7"/>
    <w:rsid w:val="00C919CF"/>
    <w:rsid w:val="00C92143"/>
    <w:rsid w:val="00C9344D"/>
    <w:rsid w:val="00C96883"/>
    <w:rsid w:val="00C97653"/>
    <w:rsid w:val="00C977BC"/>
    <w:rsid w:val="00C97CF4"/>
    <w:rsid w:val="00CA0A38"/>
    <w:rsid w:val="00CA0D1C"/>
    <w:rsid w:val="00CA19CB"/>
    <w:rsid w:val="00CA31F5"/>
    <w:rsid w:val="00CA4197"/>
    <w:rsid w:val="00CA4CE4"/>
    <w:rsid w:val="00CA5565"/>
    <w:rsid w:val="00CB0F02"/>
    <w:rsid w:val="00CB10D9"/>
    <w:rsid w:val="00CB13C7"/>
    <w:rsid w:val="00CB352D"/>
    <w:rsid w:val="00CB40B3"/>
    <w:rsid w:val="00CB4CA6"/>
    <w:rsid w:val="00CB54AC"/>
    <w:rsid w:val="00CB72D4"/>
    <w:rsid w:val="00CB7DED"/>
    <w:rsid w:val="00CC12DA"/>
    <w:rsid w:val="00CC1736"/>
    <w:rsid w:val="00CC2458"/>
    <w:rsid w:val="00CC2A55"/>
    <w:rsid w:val="00CC4140"/>
    <w:rsid w:val="00CC4C6A"/>
    <w:rsid w:val="00CC5855"/>
    <w:rsid w:val="00CC58EE"/>
    <w:rsid w:val="00CC66D4"/>
    <w:rsid w:val="00CC6988"/>
    <w:rsid w:val="00CC7CF6"/>
    <w:rsid w:val="00CD168C"/>
    <w:rsid w:val="00CD1DA4"/>
    <w:rsid w:val="00CD209A"/>
    <w:rsid w:val="00CD3589"/>
    <w:rsid w:val="00CD5B12"/>
    <w:rsid w:val="00CD7785"/>
    <w:rsid w:val="00CD7C6F"/>
    <w:rsid w:val="00CE03D9"/>
    <w:rsid w:val="00CE16EF"/>
    <w:rsid w:val="00CE2032"/>
    <w:rsid w:val="00CE3385"/>
    <w:rsid w:val="00CE462D"/>
    <w:rsid w:val="00CE63B4"/>
    <w:rsid w:val="00CE6EC3"/>
    <w:rsid w:val="00CE79B1"/>
    <w:rsid w:val="00CF05AE"/>
    <w:rsid w:val="00CF0D2E"/>
    <w:rsid w:val="00CF0DC9"/>
    <w:rsid w:val="00CF1F2E"/>
    <w:rsid w:val="00CF292D"/>
    <w:rsid w:val="00CF294D"/>
    <w:rsid w:val="00CF2F2C"/>
    <w:rsid w:val="00CF4349"/>
    <w:rsid w:val="00CF4ECB"/>
    <w:rsid w:val="00CF548F"/>
    <w:rsid w:val="00CF6157"/>
    <w:rsid w:val="00CF64AD"/>
    <w:rsid w:val="00CF681F"/>
    <w:rsid w:val="00CF76DA"/>
    <w:rsid w:val="00D01937"/>
    <w:rsid w:val="00D028F0"/>
    <w:rsid w:val="00D03375"/>
    <w:rsid w:val="00D03984"/>
    <w:rsid w:val="00D043D7"/>
    <w:rsid w:val="00D04A39"/>
    <w:rsid w:val="00D050A0"/>
    <w:rsid w:val="00D0528F"/>
    <w:rsid w:val="00D06EE1"/>
    <w:rsid w:val="00D075B1"/>
    <w:rsid w:val="00D112B3"/>
    <w:rsid w:val="00D112F6"/>
    <w:rsid w:val="00D1163A"/>
    <w:rsid w:val="00D117A4"/>
    <w:rsid w:val="00D14404"/>
    <w:rsid w:val="00D14FAE"/>
    <w:rsid w:val="00D150D8"/>
    <w:rsid w:val="00D20B14"/>
    <w:rsid w:val="00D21DC6"/>
    <w:rsid w:val="00D228A4"/>
    <w:rsid w:val="00D22AD8"/>
    <w:rsid w:val="00D24EA5"/>
    <w:rsid w:val="00D26531"/>
    <w:rsid w:val="00D26569"/>
    <w:rsid w:val="00D27036"/>
    <w:rsid w:val="00D27347"/>
    <w:rsid w:val="00D30C72"/>
    <w:rsid w:val="00D30D7E"/>
    <w:rsid w:val="00D34853"/>
    <w:rsid w:val="00D352B6"/>
    <w:rsid w:val="00D35BD1"/>
    <w:rsid w:val="00D402F5"/>
    <w:rsid w:val="00D40F58"/>
    <w:rsid w:val="00D4155F"/>
    <w:rsid w:val="00D42B56"/>
    <w:rsid w:val="00D42FD5"/>
    <w:rsid w:val="00D450AF"/>
    <w:rsid w:val="00D458BC"/>
    <w:rsid w:val="00D46CED"/>
    <w:rsid w:val="00D474DB"/>
    <w:rsid w:val="00D50F46"/>
    <w:rsid w:val="00D526CC"/>
    <w:rsid w:val="00D53BFB"/>
    <w:rsid w:val="00D54750"/>
    <w:rsid w:val="00D611DB"/>
    <w:rsid w:val="00D6134A"/>
    <w:rsid w:val="00D6767E"/>
    <w:rsid w:val="00D70437"/>
    <w:rsid w:val="00D71DE2"/>
    <w:rsid w:val="00D71FF5"/>
    <w:rsid w:val="00D720B2"/>
    <w:rsid w:val="00D728DA"/>
    <w:rsid w:val="00D75703"/>
    <w:rsid w:val="00D75753"/>
    <w:rsid w:val="00D7688F"/>
    <w:rsid w:val="00D7788B"/>
    <w:rsid w:val="00D80CD5"/>
    <w:rsid w:val="00D811CB"/>
    <w:rsid w:val="00D81B7C"/>
    <w:rsid w:val="00D82007"/>
    <w:rsid w:val="00D8222A"/>
    <w:rsid w:val="00D8228F"/>
    <w:rsid w:val="00D84D51"/>
    <w:rsid w:val="00D86B5D"/>
    <w:rsid w:val="00D8797E"/>
    <w:rsid w:val="00D87F5F"/>
    <w:rsid w:val="00D9080F"/>
    <w:rsid w:val="00D90CA2"/>
    <w:rsid w:val="00D92577"/>
    <w:rsid w:val="00D92B05"/>
    <w:rsid w:val="00D92D15"/>
    <w:rsid w:val="00D94B41"/>
    <w:rsid w:val="00D94B66"/>
    <w:rsid w:val="00D9589F"/>
    <w:rsid w:val="00D95C3D"/>
    <w:rsid w:val="00D9737C"/>
    <w:rsid w:val="00D975C0"/>
    <w:rsid w:val="00DA1373"/>
    <w:rsid w:val="00DA2373"/>
    <w:rsid w:val="00DA2A3F"/>
    <w:rsid w:val="00DA45F2"/>
    <w:rsid w:val="00DA4D04"/>
    <w:rsid w:val="00DA50F8"/>
    <w:rsid w:val="00DA5772"/>
    <w:rsid w:val="00DA6C89"/>
    <w:rsid w:val="00DB099C"/>
    <w:rsid w:val="00DB12C6"/>
    <w:rsid w:val="00DB2586"/>
    <w:rsid w:val="00DB3B1F"/>
    <w:rsid w:val="00DB4F66"/>
    <w:rsid w:val="00DC0978"/>
    <w:rsid w:val="00DC2F22"/>
    <w:rsid w:val="00DC385D"/>
    <w:rsid w:val="00DC41E1"/>
    <w:rsid w:val="00DC526F"/>
    <w:rsid w:val="00DC6A2C"/>
    <w:rsid w:val="00DD184B"/>
    <w:rsid w:val="00DD2248"/>
    <w:rsid w:val="00DD37B4"/>
    <w:rsid w:val="00DD3C44"/>
    <w:rsid w:val="00DD3C8B"/>
    <w:rsid w:val="00DD6953"/>
    <w:rsid w:val="00DE24B4"/>
    <w:rsid w:val="00DE3CB4"/>
    <w:rsid w:val="00DE41EF"/>
    <w:rsid w:val="00DE4280"/>
    <w:rsid w:val="00DE471D"/>
    <w:rsid w:val="00DE6525"/>
    <w:rsid w:val="00DE7F9C"/>
    <w:rsid w:val="00DF0D8D"/>
    <w:rsid w:val="00DF42A1"/>
    <w:rsid w:val="00DF4543"/>
    <w:rsid w:val="00DF4EB5"/>
    <w:rsid w:val="00DF5B75"/>
    <w:rsid w:val="00E019AC"/>
    <w:rsid w:val="00E061E8"/>
    <w:rsid w:val="00E07794"/>
    <w:rsid w:val="00E10120"/>
    <w:rsid w:val="00E1043A"/>
    <w:rsid w:val="00E108D7"/>
    <w:rsid w:val="00E1115E"/>
    <w:rsid w:val="00E114F9"/>
    <w:rsid w:val="00E11723"/>
    <w:rsid w:val="00E1287B"/>
    <w:rsid w:val="00E128AA"/>
    <w:rsid w:val="00E13063"/>
    <w:rsid w:val="00E130E8"/>
    <w:rsid w:val="00E137B8"/>
    <w:rsid w:val="00E13B6D"/>
    <w:rsid w:val="00E14ABE"/>
    <w:rsid w:val="00E1528A"/>
    <w:rsid w:val="00E15AC4"/>
    <w:rsid w:val="00E15B99"/>
    <w:rsid w:val="00E15FCF"/>
    <w:rsid w:val="00E166F2"/>
    <w:rsid w:val="00E16CCF"/>
    <w:rsid w:val="00E1722F"/>
    <w:rsid w:val="00E23245"/>
    <w:rsid w:val="00E23321"/>
    <w:rsid w:val="00E2363A"/>
    <w:rsid w:val="00E24AD4"/>
    <w:rsid w:val="00E254C5"/>
    <w:rsid w:val="00E30AF8"/>
    <w:rsid w:val="00E33401"/>
    <w:rsid w:val="00E33404"/>
    <w:rsid w:val="00E33DA5"/>
    <w:rsid w:val="00E35591"/>
    <w:rsid w:val="00E35686"/>
    <w:rsid w:val="00E374E5"/>
    <w:rsid w:val="00E40573"/>
    <w:rsid w:val="00E4228C"/>
    <w:rsid w:val="00E43D99"/>
    <w:rsid w:val="00E477DF"/>
    <w:rsid w:val="00E50E6F"/>
    <w:rsid w:val="00E51C72"/>
    <w:rsid w:val="00E52A3F"/>
    <w:rsid w:val="00E53546"/>
    <w:rsid w:val="00E55F1F"/>
    <w:rsid w:val="00E57290"/>
    <w:rsid w:val="00E57A19"/>
    <w:rsid w:val="00E57B64"/>
    <w:rsid w:val="00E57CFA"/>
    <w:rsid w:val="00E57D8C"/>
    <w:rsid w:val="00E644F7"/>
    <w:rsid w:val="00E6483D"/>
    <w:rsid w:val="00E64B21"/>
    <w:rsid w:val="00E656E8"/>
    <w:rsid w:val="00E65B14"/>
    <w:rsid w:val="00E66984"/>
    <w:rsid w:val="00E66A81"/>
    <w:rsid w:val="00E70144"/>
    <w:rsid w:val="00E70D6E"/>
    <w:rsid w:val="00E740E8"/>
    <w:rsid w:val="00E744BA"/>
    <w:rsid w:val="00E758BE"/>
    <w:rsid w:val="00E80165"/>
    <w:rsid w:val="00E803F0"/>
    <w:rsid w:val="00E80A01"/>
    <w:rsid w:val="00E82F51"/>
    <w:rsid w:val="00E839D5"/>
    <w:rsid w:val="00E83B6C"/>
    <w:rsid w:val="00E84E19"/>
    <w:rsid w:val="00E913AA"/>
    <w:rsid w:val="00E91BFA"/>
    <w:rsid w:val="00E922BD"/>
    <w:rsid w:val="00E96465"/>
    <w:rsid w:val="00EA0161"/>
    <w:rsid w:val="00EA0268"/>
    <w:rsid w:val="00EA1289"/>
    <w:rsid w:val="00EA19F9"/>
    <w:rsid w:val="00EA2325"/>
    <w:rsid w:val="00EA24A7"/>
    <w:rsid w:val="00EA2664"/>
    <w:rsid w:val="00EA2F64"/>
    <w:rsid w:val="00EA78C9"/>
    <w:rsid w:val="00EA7AF2"/>
    <w:rsid w:val="00EB2144"/>
    <w:rsid w:val="00EB2599"/>
    <w:rsid w:val="00EB3C72"/>
    <w:rsid w:val="00EB4D0E"/>
    <w:rsid w:val="00EB763D"/>
    <w:rsid w:val="00EB7E10"/>
    <w:rsid w:val="00EB7E63"/>
    <w:rsid w:val="00EC00D4"/>
    <w:rsid w:val="00EC544B"/>
    <w:rsid w:val="00EC55A1"/>
    <w:rsid w:val="00EC58FA"/>
    <w:rsid w:val="00EC5C2D"/>
    <w:rsid w:val="00EC5ED4"/>
    <w:rsid w:val="00EC68A1"/>
    <w:rsid w:val="00EC7238"/>
    <w:rsid w:val="00EC75B2"/>
    <w:rsid w:val="00ED010D"/>
    <w:rsid w:val="00ED0427"/>
    <w:rsid w:val="00ED087C"/>
    <w:rsid w:val="00ED129A"/>
    <w:rsid w:val="00ED1F7F"/>
    <w:rsid w:val="00ED5B4E"/>
    <w:rsid w:val="00ED6568"/>
    <w:rsid w:val="00ED6945"/>
    <w:rsid w:val="00ED7C59"/>
    <w:rsid w:val="00EE16D6"/>
    <w:rsid w:val="00EE2856"/>
    <w:rsid w:val="00EE2EFC"/>
    <w:rsid w:val="00EE43B6"/>
    <w:rsid w:val="00EE550B"/>
    <w:rsid w:val="00EE6927"/>
    <w:rsid w:val="00EE7BDC"/>
    <w:rsid w:val="00EF0007"/>
    <w:rsid w:val="00EF1547"/>
    <w:rsid w:val="00EF1A5D"/>
    <w:rsid w:val="00EF1B3E"/>
    <w:rsid w:val="00EF3921"/>
    <w:rsid w:val="00EF3B7C"/>
    <w:rsid w:val="00EF43F7"/>
    <w:rsid w:val="00EF4808"/>
    <w:rsid w:val="00EF65A7"/>
    <w:rsid w:val="00EF76AE"/>
    <w:rsid w:val="00F0130A"/>
    <w:rsid w:val="00F039A7"/>
    <w:rsid w:val="00F04158"/>
    <w:rsid w:val="00F04CB3"/>
    <w:rsid w:val="00F06C87"/>
    <w:rsid w:val="00F06F13"/>
    <w:rsid w:val="00F077D1"/>
    <w:rsid w:val="00F10608"/>
    <w:rsid w:val="00F1271E"/>
    <w:rsid w:val="00F12A88"/>
    <w:rsid w:val="00F14FC8"/>
    <w:rsid w:val="00F1555E"/>
    <w:rsid w:val="00F173FC"/>
    <w:rsid w:val="00F2164E"/>
    <w:rsid w:val="00F21B99"/>
    <w:rsid w:val="00F22647"/>
    <w:rsid w:val="00F23B4F"/>
    <w:rsid w:val="00F23CAF"/>
    <w:rsid w:val="00F243D3"/>
    <w:rsid w:val="00F24548"/>
    <w:rsid w:val="00F25936"/>
    <w:rsid w:val="00F26A70"/>
    <w:rsid w:val="00F27DE8"/>
    <w:rsid w:val="00F3071C"/>
    <w:rsid w:val="00F30C08"/>
    <w:rsid w:val="00F31EC9"/>
    <w:rsid w:val="00F3260F"/>
    <w:rsid w:val="00F326C3"/>
    <w:rsid w:val="00F35F4A"/>
    <w:rsid w:val="00F3773D"/>
    <w:rsid w:val="00F37AAE"/>
    <w:rsid w:val="00F40391"/>
    <w:rsid w:val="00F409A2"/>
    <w:rsid w:val="00F40D2E"/>
    <w:rsid w:val="00F411A3"/>
    <w:rsid w:val="00F41C12"/>
    <w:rsid w:val="00F423C5"/>
    <w:rsid w:val="00F42D5E"/>
    <w:rsid w:val="00F43256"/>
    <w:rsid w:val="00F438A9"/>
    <w:rsid w:val="00F44754"/>
    <w:rsid w:val="00F44D70"/>
    <w:rsid w:val="00F44E16"/>
    <w:rsid w:val="00F454CE"/>
    <w:rsid w:val="00F45729"/>
    <w:rsid w:val="00F46740"/>
    <w:rsid w:val="00F468AA"/>
    <w:rsid w:val="00F47B19"/>
    <w:rsid w:val="00F47D94"/>
    <w:rsid w:val="00F50322"/>
    <w:rsid w:val="00F5101E"/>
    <w:rsid w:val="00F5150D"/>
    <w:rsid w:val="00F51B4A"/>
    <w:rsid w:val="00F523C6"/>
    <w:rsid w:val="00F5341D"/>
    <w:rsid w:val="00F567DB"/>
    <w:rsid w:val="00F56D69"/>
    <w:rsid w:val="00F572F5"/>
    <w:rsid w:val="00F574D9"/>
    <w:rsid w:val="00F6040A"/>
    <w:rsid w:val="00F61C7C"/>
    <w:rsid w:val="00F623EE"/>
    <w:rsid w:val="00F626BE"/>
    <w:rsid w:val="00F62BA1"/>
    <w:rsid w:val="00F62D69"/>
    <w:rsid w:val="00F658D2"/>
    <w:rsid w:val="00F67356"/>
    <w:rsid w:val="00F67698"/>
    <w:rsid w:val="00F701D0"/>
    <w:rsid w:val="00F70BAF"/>
    <w:rsid w:val="00F71A26"/>
    <w:rsid w:val="00F71BF6"/>
    <w:rsid w:val="00F728AF"/>
    <w:rsid w:val="00F730FE"/>
    <w:rsid w:val="00F74068"/>
    <w:rsid w:val="00F74AEA"/>
    <w:rsid w:val="00F76FB5"/>
    <w:rsid w:val="00F77EB1"/>
    <w:rsid w:val="00F803E7"/>
    <w:rsid w:val="00F80DA2"/>
    <w:rsid w:val="00F81866"/>
    <w:rsid w:val="00F8237E"/>
    <w:rsid w:val="00F8296A"/>
    <w:rsid w:val="00F855B0"/>
    <w:rsid w:val="00F862A4"/>
    <w:rsid w:val="00F869B0"/>
    <w:rsid w:val="00F8730B"/>
    <w:rsid w:val="00F87467"/>
    <w:rsid w:val="00F8746B"/>
    <w:rsid w:val="00F918A2"/>
    <w:rsid w:val="00F91957"/>
    <w:rsid w:val="00F91C21"/>
    <w:rsid w:val="00F92113"/>
    <w:rsid w:val="00F9243C"/>
    <w:rsid w:val="00F92F0D"/>
    <w:rsid w:val="00F9313F"/>
    <w:rsid w:val="00F9325A"/>
    <w:rsid w:val="00F94175"/>
    <w:rsid w:val="00F960B3"/>
    <w:rsid w:val="00F9729E"/>
    <w:rsid w:val="00F9730F"/>
    <w:rsid w:val="00FA086F"/>
    <w:rsid w:val="00FA1B55"/>
    <w:rsid w:val="00FA1ECE"/>
    <w:rsid w:val="00FA2CA2"/>
    <w:rsid w:val="00FA366E"/>
    <w:rsid w:val="00FA3DD3"/>
    <w:rsid w:val="00FA41C4"/>
    <w:rsid w:val="00FA6886"/>
    <w:rsid w:val="00FA7C9B"/>
    <w:rsid w:val="00FB0396"/>
    <w:rsid w:val="00FB07CE"/>
    <w:rsid w:val="00FB16C4"/>
    <w:rsid w:val="00FB1888"/>
    <w:rsid w:val="00FB1B5D"/>
    <w:rsid w:val="00FB1ECE"/>
    <w:rsid w:val="00FB2382"/>
    <w:rsid w:val="00FB2431"/>
    <w:rsid w:val="00FB3BBE"/>
    <w:rsid w:val="00FB3E6E"/>
    <w:rsid w:val="00FB622B"/>
    <w:rsid w:val="00FB7EA5"/>
    <w:rsid w:val="00FC5D91"/>
    <w:rsid w:val="00FC6428"/>
    <w:rsid w:val="00FD2076"/>
    <w:rsid w:val="00FD28B0"/>
    <w:rsid w:val="00FD31F1"/>
    <w:rsid w:val="00FD48D1"/>
    <w:rsid w:val="00FD4F21"/>
    <w:rsid w:val="00FD738C"/>
    <w:rsid w:val="00FD74A3"/>
    <w:rsid w:val="00FE147A"/>
    <w:rsid w:val="00FE1FAE"/>
    <w:rsid w:val="00FE2B1D"/>
    <w:rsid w:val="00FE3867"/>
    <w:rsid w:val="00FE4076"/>
    <w:rsid w:val="00FE4507"/>
    <w:rsid w:val="00FE68E1"/>
    <w:rsid w:val="00FF0215"/>
    <w:rsid w:val="00FF2A22"/>
    <w:rsid w:val="00FF32A5"/>
    <w:rsid w:val="00FF37C7"/>
    <w:rsid w:val="00FF4583"/>
    <w:rsid w:val="00FF636C"/>
    <w:rsid w:val="00FF6786"/>
    <w:rsid w:val="00FF7348"/>
    <w:rsid w:val="68771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338</Words>
  <Characters>1930</Characters>
  <Lines>16</Lines>
  <Paragraphs>4</Paragraphs>
  <TotalTime>5</TotalTime>
  <ScaleCrop>false</ScaleCrop>
  <LinksUpToDate>false</LinksUpToDate>
  <CharactersWithSpaces>2264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2024-05-28T07:51:00Z</dcterms:created>
  <dc:creator>华容县妇幼保健计划生育服务中心</dc:creator>
  <cp:lastModifiedBy>Administrator</cp:lastModifiedBy>
  <dcterms:modified xsi:type="dcterms:W3CDTF">2024-05-28T09:16:13Z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8BB7588417274DC6A1F9391EC210A6A7_12</vt:lpwstr>
  </property>
</Properties>
</file>