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51" w:lineRule="auto"/>
        <w:rPr>
          <w:rFonts w:ascii="Arial"/>
          <w:sz w:val="21"/>
        </w:rPr>
      </w:pPr>
      <w:bookmarkStart w:id="0" w:name="_GoBack"/>
      <w:bookmarkEnd w:id="0"/>
    </w:p>
    <w:p>
      <w:pPr>
        <w:spacing w:line="251" w:lineRule="auto"/>
        <w:rPr>
          <w:rFonts w:ascii="Arial"/>
          <w:sz w:val="21"/>
        </w:rPr>
      </w:pPr>
    </w:p>
    <w:p>
      <w:pPr>
        <w:rPr>
          <w:rFonts w:ascii="Arial"/>
          <w:sz w:val="21"/>
        </w:rPr>
      </w:pPr>
    </w:p>
    <w:p>
      <w:pPr>
        <w:pStyle w:val="2"/>
      </w:pPr>
    </w:p>
    <w:p/>
    <w:p/>
    <w:p>
      <w:pPr>
        <w:spacing w:before="1" w:line="183" w:lineRule="auto"/>
        <w:rPr>
          <w:rFonts w:hint="eastAsia" w:ascii="华文中宋" w:hAnsi="华文中宋" w:eastAsia="华文中宋" w:cs="华文中宋"/>
          <w:spacing w:val="-3"/>
          <w:sz w:val="52"/>
          <w:szCs w:val="52"/>
          <w:lang w:eastAsia="zh-CN"/>
        </w:rPr>
      </w:pPr>
      <w:r>
        <w:rPr>
          <w:rFonts w:hint="eastAsia" w:ascii="华文中宋" w:hAnsi="华文中宋" w:eastAsia="华文中宋" w:cs="华文中宋"/>
          <w:spacing w:val="-3"/>
          <w:sz w:val="52"/>
          <w:szCs w:val="52"/>
        </w:rPr>
        <w:t>2023年度</w:t>
      </w:r>
      <w:r>
        <w:rPr>
          <w:rFonts w:hint="eastAsia" w:ascii="华文中宋" w:hAnsi="华文中宋" w:eastAsia="华文中宋" w:cs="华文中宋"/>
          <w:spacing w:val="-3"/>
          <w:sz w:val="52"/>
          <w:szCs w:val="52"/>
          <w:lang w:eastAsia="zh-CN"/>
        </w:rPr>
        <w:t>华容县疾病预防控制中心</w:t>
      </w:r>
    </w:p>
    <w:p>
      <w:pPr>
        <w:spacing w:before="1" w:line="183" w:lineRule="auto"/>
        <w:ind w:firstLine="1542" w:firstLineChars="300"/>
        <w:rPr>
          <w:rFonts w:hint="eastAsia" w:ascii="华文中宋" w:hAnsi="华文中宋" w:eastAsia="华文中宋" w:cs="华文中宋"/>
          <w:sz w:val="52"/>
          <w:szCs w:val="52"/>
        </w:rPr>
      </w:pPr>
      <w:r>
        <w:rPr>
          <w:rFonts w:hint="eastAsia" w:ascii="华文中宋" w:hAnsi="华文中宋" w:eastAsia="华文中宋" w:cs="华文中宋"/>
          <w:spacing w:val="-3"/>
          <w:sz w:val="52"/>
          <w:szCs w:val="52"/>
        </w:rPr>
        <w:t>整体支出绩效自评报告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2"/>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900" w:firstLineChars="3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w:t>
      </w:r>
      <w:r>
        <w:rPr>
          <w:rFonts w:hint="eastAsia" w:ascii="仿宋_GB2312" w:hAnsi="仿宋_GB2312" w:eastAsia="仿宋_GB2312" w:cs="仿宋_GB2312"/>
          <w:spacing w:val="-118"/>
          <w:sz w:val="32"/>
          <w:szCs w:val="32"/>
          <w:u w:val="single" w:color="auto"/>
        </w:rPr>
        <w:t xml:space="preserve"> </w:t>
      </w:r>
      <w:r>
        <w:rPr>
          <w:rFonts w:hint="eastAsia" w:ascii="仿宋_GB2312" w:hAnsi="仿宋_GB2312" w:eastAsia="仿宋_GB2312" w:cs="仿宋_GB2312"/>
          <w:spacing w:val="-75"/>
          <w:sz w:val="32"/>
          <w:szCs w:val="32"/>
          <w:u w:val="single" w:color="auto"/>
        </w:rPr>
        <w:t xml:space="preserve"> </w:t>
      </w:r>
      <w:r>
        <w:rPr>
          <w:rFonts w:hint="eastAsia" w:ascii="仿宋_GB2312" w:hAnsi="仿宋_GB2312" w:eastAsia="仿宋_GB2312" w:cs="仿宋_GB2312"/>
          <w:spacing w:val="-10"/>
          <w:sz w:val="32"/>
          <w:szCs w:val="32"/>
          <w:u w:val="single" w:color="auto"/>
        </w:rPr>
        <w:t>盖章）</w:t>
      </w:r>
      <w:r>
        <w:rPr>
          <w:rFonts w:hint="eastAsia" w:ascii="仿宋_GB2312" w:hAnsi="仿宋_GB2312" w:eastAsia="仿宋_GB2312" w:cs="仿宋_GB2312"/>
          <w:sz w:val="32"/>
          <w:szCs w:val="32"/>
          <w:u w:val="single" w:color="auto"/>
        </w:rPr>
        <w:t xml:space="preserve">       </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ind w:firstLine="4560" w:firstLineChars="1500"/>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8"/>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8"/>
          <w:sz w:val="32"/>
          <w:szCs w:val="32"/>
          <w:lang w:val="en-US" w:eastAsia="zh-CN"/>
        </w:rPr>
        <w:t>23</w:t>
      </w:r>
      <w:r>
        <w:rPr>
          <w:rFonts w:hint="eastAsia" w:ascii="仿宋_GB2312" w:hAnsi="仿宋_GB2312" w:eastAsia="仿宋_GB2312" w:cs="仿宋_GB2312"/>
          <w:spacing w:val="-8"/>
          <w:sz w:val="32"/>
          <w:szCs w:val="32"/>
        </w:rPr>
        <w:t>日</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2"/>
        <w:rPr>
          <w:rFonts w:hint="eastAsia" w:ascii="方正小标宋简体" w:hAnsi="方正小标宋简体" w:eastAsia="方正小标宋简体" w:cs="方正小标宋简体"/>
          <w:spacing w:val="6"/>
          <w:sz w:val="44"/>
          <w:szCs w:val="44"/>
        </w:rPr>
      </w:pPr>
    </w:p>
    <w:p>
      <w:pPr>
        <w:rPr>
          <w:rFonts w:hint="eastAsia" w:ascii="方正小标宋简体" w:hAnsi="方正小标宋简体" w:eastAsia="方正小标宋简体" w:cs="方正小标宋简体"/>
          <w:spacing w:val="6"/>
          <w:sz w:val="44"/>
          <w:szCs w:val="44"/>
        </w:rPr>
      </w:pPr>
    </w:p>
    <w:p>
      <w:pPr>
        <w:pStyle w:val="2"/>
        <w:rPr>
          <w:rFonts w:hint="eastAsia"/>
        </w:rPr>
      </w:pPr>
    </w:p>
    <w:p>
      <w:pPr>
        <w:pStyle w:val="2"/>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Theme="majorEastAsia" w:hAnsiTheme="majorEastAsia" w:eastAsiaTheme="majorEastAsia" w:cstheme="majorEastAsia"/>
          <w:b/>
          <w:bCs/>
          <w:spacing w:val="6"/>
          <w:kern w:val="2"/>
          <w:sz w:val="44"/>
          <w:szCs w:val="44"/>
          <w:lang w:val="en-US" w:eastAsia="zh-CN" w:bidi="ar-SA"/>
        </w:rPr>
      </w:pPr>
      <w:r>
        <w:rPr>
          <w:rFonts w:hint="eastAsia" w:asciiTheme="majorEastAsia" w:hAnsiTheme="majorEastAsia" w:eastAsiaTheme="majorEastAsia" w:cstheme="majorEastAsia"/>
          <w:spacing w:val="6"/>
          <w:kern w:val="2"/>
          <w:sz w:val="44"/>
          <w:szCs w:val="44"/>
          <w:lang w:val="en-US" w:eastAsia="zh-CN" w:bidi="ar-SA"/>
        </w:rPr>
        <w:t>2</w:t>
      </w:r>
      <w:r>
        <w:rPr>
          <w:rFonts w:hint="eastAsia" w:asciiTheme="majorEastAsia" w:hAnsiTheme="majorEastAsia" w:eastAsiaTheme="majorEastAsia" w:cstheme="majorEastAsia"/>
          <w:b/>
          <w:bCs/>
          <w:spacing w:val="6"/>
          <w:kern w:val="2"/>
          <w:sz w:val="44"/>
          <w:szCs w:val="44"/>
          <w:lang w:val="en-US" w:eastAsia="zh-CN" w:bidi="ar-SA"/>
        </w:rPr>
        <w:t>023年度华容县疾病预防控制中心</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Theme="majorEastAsia" w:hAnsiTheme="majorEastAsia" w:eastAsiaTheme="majorEastAsia" w:cstheme="majorEastAsia"/>
          <w:b/>
          <w:bCs/>
          <w:spacing w:val="6"/>
          <w:kern w:val="2"/>
          <w:sz w:val="44"/>
          <w:szCs w:val="44"/>
          <w:lang w:val="en-US" w:eastAsia="zh-CN" w:bidi="ar-SA"/>
        </w:rPr>
      </w:pPr>
      <w:r>
        <w:rPr>
          <w:rFonts w:hint="eastAsia" w:asciiTheme="majorEastAsia" w:hAnsiTheme="majorEastAsia" w:eastAsiaTheme="majorEastAsia" w:cstheme="majorEastAsia"/>
          <w:b/>
          <w:bCs/>
          <w:spacing w:val="6"/>
          <w:kern w:val="2"/>
          <w:sz w:val="44"/>
          <w:szCs w:val="44"/>
          <w:lang w:val="en-US" w:eastAsia="zh-CN" w:bidi="ar-SA"/>
        </w:rPr>
        <w:t>整体支出绩效自评报告</w:t>
      </w:r>
    </w:p>
    <w:p>
      <w:pPr>
        <w:spacing w:line="284" w:lineRule="auto"/>
        <w:rPr>
          <w:rFonts w:ascii="Arial"/>
          <w:sz w:val="21"/>
        </w:rPr>
      </w:pPr>
    </w:p>
    <w:p>
      <w:pPr>
        <w:pStyle w:val="2"/>
      </w:pPr>
    </w:p>
    <w:p>
      <w:pPr>
        <w:numPr>
          <w:ilvl w:val="0"/>
          <w:numId w:val="1"/>
        </w:num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keepNext w:val="0"/>
        <w:keepLines w:val="0"/>
        <w:pageBreakBefore w:val="0"/>
        <w:kinsoku/>
        <w:wordWrap/>
        <w:overflowPunct/>
        <w:topLinePunct w:val="0"/>
        <w:autoSpaceDE/>
        <w:autoSpaceDN/>
        <w:bidi w:val="0"/>
        <w:adjustRightInd/>
        <w:snapToGrid/>
        <w:spacing w:line="600" w:lineRule="exact"/>
        <w:ind w:left="0" w:leftChars="0" w:firstLine="420" w:firstLineChars="200"/>
        <w:textAlignment w:val="auto"/>
        <w:rPr>
          <w:rFonts w:hint="eastAsia" w:ascii="仿宋_GB2312" w:hAnsi="仿宋_GB2312" w:eastAsia="仿宋_GB2312" w:cs="仿宋_GB2312"/>
          <w:color w:val="000000"/>
          <w:sz w:val="32"/>
          <w:szCs w:val="32"/>
          <w:lang w:val="en-US" w:eastAsia="zh-CN"/>
        </w:rPr>
      </w:pPr>
      <w:r>
        <w:rPr>
          <w:rFonts w:hint="eastAsia"/>
          <w:lang w:val="en-US" w:eastAsia="zh-CN"/>
        </w:rPr>
        <w:t xml:space="preserve">  </w:t>
      </w:r>
      <w:r>
        <w:rPr>
          <w:rFonts w:hint="eastAsia" w:ascii="仿宋_GB2312" w:hAnsi="仿宋_GB2312" w:eastAsia="仿宋_GB2312" w:cs="仿宋_GB2312"/>
          <w:color w:val="000000"/>
          <w:sz w:val="32"/>
          <w:szCs w:val="32"/>
          <w:lang w:val="en-US" w:eastAsia="zh-CN"/>
        </w:rPr>
        <w:t>我中心是由政府举办的实施疾病预防控制与公共卫生技术管理和指导的全额拨款事业单位。我们承担着全县疾病预防与控制、突发公共卫生事件应急处置、健康危害因素监测与干预、健康教育与健康促进、实验室检测检验与评价等职责，负责国家基本公共卫生服务中的居民健康档案管理等8类服务项目的技术指导、培训、督导及考核等工作。</w:t>
      </w:r>
    </w:p>
    <w:p>
      <w:pPr>
        <w:keepNext w:val="0"/>
        <w:keepLines w:val="0"/>
        <w:pageBreakBefore w:val="0"/>
        <w:kinsoku/>
        <w:wordWrap/>
        <w:overflowPunct/>
        <w:topLinePunct w:val="0"/>
        <w:autoSpaceDE/>
        <w:autoSpaceDN/>
        <w:bidi w:val="0"/>
        <w:adjustRightInd/>
        <w:snapToGrid/>
        <w:spacing w:line="600" w:lineRule="exact"/>
        <w:ind w:left="0" w:leftChars="0"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color w:val="000000"/>
          <w:sz w:val="32"/>
          <w:szCs w:val="32"/>
          <w:lang w:val="en-US" w:eastAsia="zh-CN"/>
        </w:rPr>
        <w:t>中心占地面积2520㎡，建筑面积4690㎡，其中检验用房1480㎡。我中心设有18个科室：传染病预防与控制科、突发公共卫生事件应急处置办公室、免疫规划科、慢性非传染性疾病预防控制科、结核病预防控制科、艾滋病与性病预防控制科、公共卫生监测科、健康教育与健康促进科、理化检验科、微生物检验科、劳动卫生与职业病预防控制科、质量管理科、财务科、办公室、后勤保障管理科、党建办、疫苗临床研究项目管理办公室、基本公共卫生服务管理办公室。单位现有在岗职工84人（其中在编77人，临聘7人），退休职工37人，现有专业技术人员66人，</w:t>
      </w:r>
      <w:r>
        <w:rPr>
          <w:rFonts w:hint="eastAsia" w:ascii="仿宋_GB2312" w:hAnsi="仿宋_GB2312" w:eastAsia="仿宋_GB2312" w:cs="仿宋_GB2312"/>
          <w:sz w:val="32"/>
          <w:szCs w:val="32"/>
          <w:lang w:val="en-US" w:eastAsia="zh-CN"/>
        </w:rPr>
        <w:t>高级职称10人，中级职称21人，初级职称35人。</w:t>
      </w:r>
    </w:p>
    <w:p>
      <w:pPr>
        <w:pStyle w:val="2"/>
        <w:numPr>
          <w:ilvl w:val="0"/>
          <w:numId w:val="0"/>
        </w:numPr>
        <w:rPr>
          <w:rFonts w:hint="default" w:eastAsia="宋体"/>
          <w:lang w:val="en-US" w:eastAsia="zh-CN"/>
        </w:rPr>
      </w:pPr>
    </w:p>
    <w:p>
      <w:pPr>
        <w:spacing w:before="216" w:line="226" w:lineRule="auto"/>
        <w:ind w:left="648"/>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keepNext w:val="0"/>
        <w:keepLines w:val="0"/>
        <w:pageBreakBefore w:val="0"/>
        <w:kinsoku/>
        <w:wordWrap/>
        <w:overflowPunct/>
        <w:topLinePunct w:val="0"/>
        <w:autoSpaceDE/>
        <w:autoSpaceDN/>
        <w:bidi w:val="0"/>
        <w:adjustRightInd/>
        <w:snapToGrid/>
        <w:spacing w:line="600" w:lineRule="exact"/>
        <w:ind w:left="0" w:leftChars="0" w:firstLine="640" w:firstLineChars="200"/>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2023年我中心整体支出绩效中基本支出合计967.07万元，主要用于人员工资、社会保障缴费、临时工工资以及为中心正常运转、完成日常工作任务而发生的商品和服务支出。其中：工资福利支出854.44万元；商品和服务支出106.43万元，对个人和家庭的补助支出6.2万元。</w:t>
      </w:r>
    </w:p>
    <w:p>
      <w:pPr>
        <w:pStyle w:val="2"/>
        <w:rPr>
          <w:rFonts w:hint="eastAsia"/>
          <w:lang w:val="en-US" w:eastAsia="zh-CN"/>
        </w:rPr>
      </w:pPr>
    </w:p>
    <w:p>
      <w:pPr>
        <w:keepNext w:val="0"/>
        <w:keepLines w:val="0"/>
        <w:pageBreakBefore w:val="0"/>
        <w:kinsoku/>
        <w:wordWrap/>
        <w:overflowPunct/>
        <w:topLinePunct w:val="0"/>
        <w:autoSpaceDE/>
        <w:autoSpaceDN/>
        <w:bidi w:val="0"/>
        <w:adjustRightInd/>
        <w:snapToGrid/>
        <w:spacing w:line="600" w:lineRule="exact"/>
        <w:ind w:left="0" w:leftChars="0" w:firstLine="640" w:firstLineChars="200"/>
        <w:textAlignment w:val="auto"/>
        <w:rPr>
          <w:rFonts w:hint="default"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其中，三公经费支出6.51万元，公务用车购置和维护经费中公车运行维护4.51万元，公务接待费2万元。</w:t>
      </w:r>
    </w:p>
    <w:p>
      <w:pPr>
        <w:pStyle w:val="2"/>
        <w:rPr>
          <w:rFonts w:hint="eastAsia"/>
        </w:rPr>
      </w:pPr>
    </w:p>
    <w:p>
      <w:pPr>
        <w:keepNext w:val="0"/>
        <w:keepLines w:val="0"/>
        <w:pageBreakBefore w:val="0"/>
        <w:widowControl w:val="0"/>
        <w:numPr>
          <w:ilvl w:val="0"/>
          <w:numId w:val="2"/>
        </w:numPr>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项目支出情况</w:t>
      </w:r>
    </w:p>
    <w:p>
      <w:pPr>
        <w:keepNext w:val="0"/>
        <w:keepLines w:val="0"/>
        <w:pageBreakBefore w:val="0"/>
        <w:kinsoku/>
        <w:wordWrap/>
        <w:overflowPunct/>
        <w:topLinePunct w:val="0"/>
        <w:autoSpaceDE/>
        <w:autoSpaceDN/>
        <w:bidi w:val="0"/>
        <w:adjustRightInd/>
        <w:snapToGrid/>
        <w:spacing w:line="600" w:lineRule="exact"/>
        <w:ind w:left="0" w:leftChars="0" w:firstLine="640" w:firstLineChars="200"/>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1、项目资金安排落实、总投入等情况分析</w:t>
      </w:r>
    </w:p>
    <w:p>
      <w:pPr>
        <w:keepNext w:val="0"/>
        <w:keepLines w:val="0"/>
        <w:pageBreakBefore w:val="0"/>
        <w:kinsoku/>
        <w:wordWrap/>
        <w:overflowPunct/>
        <w:topLinePunct w:val="0"/>
        <w:autoSpaceDE/>
        <w:autoSpaceDN/>
        <w:bidi w:val="0"/>
        <w:adjustRightInd/>
        <w:snapToGrid/>
        <w:spacing w:line="600" w:lineRule="exact"/>
        <w:ind w:left="0" w:leftChars="0" w:firstLine="640" w:firstLineChars="200"/>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我中心项目资金均按照月度资金落实重大公共卫生服务、疾控中心改扩建、中小学结核病筛查、从业人员体检、核酸能力提升、尘肺病救治和其他公共卫生支出等方面的支出。</w:t>
      </w:r>
    </w:p>
    <w:p>
      <w:pPr>
        <w:keepNext w:val="0"/>
        <w:keepLines w:val="0"/>
        <w:pageBreakBefore w:val="0"/>
        <w:kinsoku/>
        <w:wordWrap/>
        <w:overflowPunct/>
        <w:topLinePunct w:val="0"/>
        <w:autoSpaceDE/>
        <w:bidi w:val="0"/>
        <w:spacing w:line="600" w:lineRule="exact"/>
        <w:ind w:left="0" w:leftChars="0" w:firstLine="640" w:firstLineChars="200"/>
        <w:textAlignment w:val="auto"/>
        <w:rPr>
          <w:rFonts w:hint="eastAsia" w:ascii="仿宋_GB2312" w:hAnsi="仿宋_GB2312" w:eastAsia="仿宋_GB2312" w:cs="仿宋_GB2312"/>
          <w:color w:val="000000" w:themeColor="text1"/>
          <w:sz w:val="32"/>
          <w:szCs w:val="28"/>
          <w:lang w:val="en-US" w:eastAsia="zh-CN"/>
          <w14:textFill>
            <w14:solidFill>
              <w14:schemeClr w14:val="tx1"/>
            </w14:solidFill>
          </w14:textFill>
        </w:rPr>
      </w:pP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2.专项资金实际使用情况分析</w:t>
      </w:r>
    </w:p>
    <w:p>
      <w:pPr>
        <w:keepNext w:val="0"/>
        <w:keepLines w:val="0"/>
        <w:pageBreakBefore w:val="0"/>
        <w:kinsoku/>
        <w:wordWrap/>
        <w:overflowPunct/>
        <w:topLinePunct w:val="0"/>
        <w:autoSpaceDE/>
        <w:bidi w:val="0"/>
        <w:spacing w:line="600" w:lineRule="exact"/>
        <w:ind w:left="0" w:leftChars="0" w:firstLine="640" w:firstLineChars="200"/>
        <w:textAlignment w:val="auto"/>
        <w:rPr>
          <w:rFonts w:hint="eastAsia" w:ascii="仿宋_GB2312" w:hAnsi="仿宋_GB2312" w:eastAsia="仿宋_GB2312" w:cs="仿宋_GB2312"/>
          <w:color w:val="000000" w:themeColor="text1"/>
          <w:sz w:val="32"/>
          <w:szCs w:val="28"/>
          <w:lang w:val="en-US" w:eastAsia="zh-CN"/>
          <w14:textFill>
            <w14:solidFill>
              <w14:schemeClr w14:val="tx1"/>
            </w14:solidFill>
          </w14:textFill>
        </w:rPr>
      </w:pP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2023年我中心</w:t>
      </w:r>
      <w:r>
        <w:rPr>
          <w:rFonts w:hint="eastAsia" w:ascii="仿宋_GB2312" w:hAnsi="仿宋_GB2312" w:eastAsia="仿宋_GB2312" w:cs="仿宋_GB2312"/>
          <w:color w:val="000000"/>
          <w:sz w:val="32"/>
          <w:szCs w:val="32"/>
          <w:lang w:val="en-US" w:eastAsia="zh-CN"/>
        </w:rPr>
        <w:t>整体支出绩效中项目</w:t>
      </w: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支出合计1685.08万元，重大传染病项目 317.51万元，疾控中心改扩建项目781万元，中小学结核病筛查 45万元，从业人员体检71万元，核酸能力提升460万元，尘肺病救治2.73万元，省补公共卫生项目7.84万元。项目支出主要用于中心防控专项业务工作的开展以及中心实验室建设，其中，商品和服务支出453.48万元，资本性支出1231.6万元。</w:t>
      </w:r>
    </w:p>
    <w:p>
      <w:pPr>
        <w:keepNext w:val="0"/>
        <w:keepLines w:val="0"/>
        <w:pageBreakBefore w:val="0"/>
        <w:kinsoku/>
        <w:wordWrap/>
        <w:overflowPunct/>
        <w:topLinePunct w:val="0"/>
        <w:autoSpaceDE/>
        <w:bidi w:val="0"/>
        <w:spacing w:line="600" w:lineRule="exact"/>
        <w:ind w:left="0" w:leftChars="0" w:firstLine="640" w:firstLineChars="200"/>
        <w:textAlignment w:val="auto"/>
        <w:rPr>
          <w:rFonts w:hint="eastAsia" w:ascii="仿宋_GB2312" w:hAnsi="仿宋_GB2312" w:eastAsia="仿宋_GB2312" w:cs="仿宋_GB2312"/>
          <w:color w:val="000000" w:themeColor="text1"/>
          <w:sz w:val="32"/>
          <w:szCs w:val="28"/>
          <w:lang w:val="en-US" w:eastAsia="zh-CN"/>
          <w14:textFill>
            <w14:solidFill>
              <w14:schemeClr w14:val="tx1"/>
            </w14:solidFill>
          </w14:textFill>
        </w:rPr>
      </w:pP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3、专项资金管理情况分析</w:t>
      </w:r>
    </w:p>
    <w:p>
      <w:pPr>
        <w:pStyle w:val="7"/>
        <w:keepNext w:val="0"/>
        <w:keepLines w:val="0"/>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val="0"/>
        <w:snapToGrid w:val="0"/>
        <w:spacing w:before="0" w:beforeAutospacing="0" w:after="0" w:afterAutospacing="0" w:line="600" w:lineRule="exact"/>
        <w:ind w:left="0" w:leftChars="0" w:right="0" w:firstLine="640" w:firstLineChars="200"/>
        <w:jc w:val="both"/>
        <w:textAlignment w:val="auto"/>
        <w:rPr>
          <w:rFonts w:hint="default" w:ascii="仿宋_GB2312" w:hAnsi="仿宋_GB2312" w:eastAsia="仿宋_GB2312" w:cs="仿宋_GB2312"/>
          <w:color w:val="000000"/>
          <w:kern w:val="2"/>
          <w:sz w:val="32"/>
          <w:szCs w:val="32"/>
          <w:lang w:val="en-US" w:eastAsia="zh-CN" w:bidi="ar-SA"/>
        </w:rPr>
      </w:pPr>
      <w:r>
        <w:rPr>
          <w:rFonts w:hint="default" w:ascii="Times New Roman" w:hAnsi="Times New Roman" w:eastAsia="仿宋_GB2312" w:cs="Times New Roman"/>
          <w:color w:val="auto"/>
          <w:kern w:val="2"/>
          <w:sz w:val="32"/>
          <w:szCs w:val="32"/>
          <w:shd w:val="clear" w:color="auto" w:fill="FFFFFF"/>
          <w:lang w:val="en-US" w:eastAsia="zh-CN" w:bidi="ar-SA"/>
        </w:rPr>
        <w:t>严格按项目资金进行管理，执行相关财务支出管理制度，</w:t>
      </w:r>
      <w:r>
        <w:rPr>
          <w:rFonts w:hint="default" w:ascii="仿宋_GB2312" w:hAnsi="仿宋_GB2312" w:eastAsia="仿宋_GB2312" w:cs="仿宋_GB2312"/>
          <w:color w:val="000000"/>
          <w:kern w:val="2"/>
          <w:sz w:val="32"/>
          <w:szCs w:val="32"/>
          <w:lang w:val="en-US" w:eastAsia="zh-CN" w:bidi="ar-SA"/>
        </w:rPr>
        <w:t>资金管理制度。</w:t>
      </w:r>
      <w:r>
        <w:rPr>
          <w:rFonts w:hint="eastAsia" w:ascii="仿宋_GB2312" w:hAnsi="仿宋_GB2312" w:eastAsia="仿宋_GB2312" w:cs="仿宋_GB2312"/>
          <w:color w:val="000000"/>
          <w:kern w:val="2"/>
          <w:sz w:val="32"/>
          <w:szCs w:val="32"/>
          <w:lang w:val="en-US" w:eastAsia="zh-CN" w:bidi="ar-SA"/>
        </w:rPr>
        <w:t>实行项目绩效考核，加强项目资金专款专用管理，设立专账核算，单位财务加强项目资金日常使用监督。</w:t>
      </w:r>
    </w:p>
    <w:p>
      <w:pPr>
        <w:pStyle w:val="2"/>
        <w:numPr>
          <w:ilvl w:val="0"/>
          <w:numId w:val="0"/>
        </w:numPr>
        <w:rPr>
          <w:rFonts w:hint="eastAsia"/>
        </w:rPr>
      </w:pPr>
    </w:p>
    <w:p>
      <w:pPr>
        <w:spacing w:before="224" w:line="227" w:lineRule="auto"/>
        <w:ind w:left="649"/>
        <w:rPr>
          <w:rFonts w:hint="eastAsia" w:ascii="黑体" w:hAnsi="黑体" w:eastAsia="黑体" w:cs="黑体"/>
          <w:spacing w:val="8"/>
          <w:sz w:val="32"/>
          <w:szCs w:val="32"/>
        </w:rPr>
      </w:pPr>
      <w:r>
        <w:rPr>
          <w:rFonts w:hint="eastAsia" w:ascii="黑体" w:hAnsi="黑体" w:eastAsia="黑体" w:cs="黑体"/>
          <w:spacing w:val="8"/>
          <w:sz w:val="32"/>
          <w:szCs w:val="32"/>
        </w:rPr>
        <w:t>三、政府性基金预算支出情况</w:t>
      </w:r>
    </w:p>
    <w:p>
      <w:pPr>
        <w:spacing w:before="219" w:line="600" w:lineRule="exact"/>
        <w:ind w:left="662"/>
        <w:rPr>
          <w:rFonts w:hint="eastAsia" w:ascii="黑体" w:hAnsi="黑体" w:eastAsia="黑体" w:cs="黑体"/>
          <w:sz w:val="32"/>
          <w:szCs w:val="32"/>
        </w:rPr>
      </w:pPr>
      <w:r>
        <w:rPr>
          <w:rFonts w:hint="eastAsia" w:ascii="黑体" w:hAnsi="黑体" w:eastAsia="黑体" w:cs="黑体"/>
          <w:spacing w:val="7"/>
          <w:position w:val="21"/>
          <w:sz w:val="32"/>
          <w:szCs w:val="32"/>
        </w:rPr>
        <w:t>四、国有资本经营预算支出情况</w:t>
      </w:r>
    </w:p>
    <w:p>
      <w:pPr>
        <w:spacing w:line="227" w:lineRule="auto"/>
        <w:ind w:left="651"/>
        <w:rPr>
          <w:rFonts w:hint="eastAsia" w:ascii="黑体" w:hAnsi="黑体" w:eastAsia="黑体" w:cs="黑体"/>
          <w:sz w:val="32"/>
          <w:szCs w:val="32"/>
        </w:rPr>
      </w:pPr>
      <w:r>
        <w:rPr>
          <w:rFonts w:hint="eastAsia" w:ascii="黑体" w:hAnsi="黑体" w:eastAsia="黑体" w:cs="黑体"/>
          <w:spacing w:val="8"/>
          <w:sz w:val="32"/>
          <w:szCs w:val="32"/>
        </w:rPr>
        <w:t>五、社会保险基金预算支出情况</w:t>
      </w:r>
    </w:p>
    <w:p>
      <w:pPr>
        <w:keepNext w:val="0"/>
        <w:keepLines w:val="0"/>
        <w:pageBreakBefore w:val="0"/>
        <w:kinsoku/>
        <w:wordWrap/>
        <w:overflowPunct/>
        <w:topLinePunct w:val="0"/>
        <w:autoSpaceDE/>
        <w:bidi w:val="0"/>
        <w:adjustRightInd w:val="0"/>
        <w:snapToGrid w:val="0"/>
        <w:spacing w:line="600" w:lineRule="exact"/>
        <w:ind w:left="974" w:leftChars="304" w:hanging="336" w:hangingChars="100"/>
        <w:jc w:val="left"/>
        <w:textAlignment w:val="auto"/>
        <w:rPr>
          <w:rFonts w:hint="eastAsia" w:ascii="仿宋_GB2312" w:hAnsi="仿宋_GB2312" w:eastAsia="仿宋_GB2312" w:cs="仿宋_GB2312"/>
          <w:color w:val="000000"/>
          <w:kern w:val="2"/>
          <w:sz w:val="32"/>
          <w:szCs w:val="32"/>
          <w:lang w:val="en-US" w:eastAsia="zh-CN" w:bidi="ar-SA"/>
        </w:rPr>
      </w:pPr>
      <w:r>
        <w:rPr>
          <w:rFonts w:hint="eastAsia" w:ascii="黑体" w:hAnsi="黑体" w:eastAsia="黑体" w:cs="黑体"/>
          <w:spacing w:val="8"/>
          <w:sz w:val="32"/>
          <w:szCs w:val="32"/>
        </w:rPr>
        <w:t>六、部门整体支出绩效情况</w:t>
      </w:r>
      <w:r>
        <w:rPr>
          <w:rFonts w:hint="eastAsia" w:ascii="黑体" w:hAnsi="黑体" w:eastAsia="黑体" w:cs="黑体"/>
          <w:spacing w:val="8"/>
          <w:sz w:val="32"/>
          <w:szCs w:val="32"/>
          <w:lang w:val="en-US" w:eastAsia="zh-CN"/>
        </w:rPr>
        <w:t xml:space="preserve">                      </w:t>
      </w:r>
      <w:r>
        <w:rPr>
          <w:rFonts w:hint="eastAsia" w:ascii="仿宋_GB2312" w:hAnsi="仿宋_GB2312" w:eastAsia="仿宋_GB2312" w:cs="仿宋_GB2312"/>
          <w:color w:val="000000"/>
          <w:kern w:val="2"/>
          <w:sz w:val="32"/>
          <w:szCs w:val="32"/>
          <w:lang w:val="en-US" w:eastAsia="zh-CN" w:bidi="ar-SA"/>
        </w:rPr>
        <w:t>1、部门整体收支情况：</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（1）收入情况：全年收入合计2652.15 万元，财政补助收入2652.15万元。</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themeColor="text1"/>
          <w:sz w:val="32"/>
          <w:szCs w:val="28"/>
          <w:lang w:val="en-US" w:eastAsia="zh-CN"/>
          <w14:textFill>
            <w14:solidFill>
              <w14:schemeClr w14:val="tx1"/>
            </w14:solidFill>
          </w14:textFill>
        </w:rPr>
      </w:pPr>
      <w:r>
        <w:rPr>
          <w:rFonts w:hint="eastAsia" w:ascii="仿宋_GB2312" w:hAnsi="仿宋_GB2312" w:eastAsia="仿宋_GB2312" w:cs="仿宋_GB2312"/>
          <w:color w:val="000000"/>
          <w:kern w:val="2"/>
          <w:sz w:val="32"/>
          <w:szCs w:val="32"/>
          <w:lang w:val="en-US" w:eastAsia="zh-CN" w:bidi="ar-SA"/>
        </w:rPr>
        <w:t>（2）支出情况：一般公共预算支出 2192.15万元。基本支出</w:t>
      </w:r>
      <w:r>
        <w:rPr>
          <w:rFonts w:hint="eastAsia" w:ascii="仿宋_GB2312" w:hAnsi="仿宋_GB2312" w:eastAsia="仿宋_GB2312" w:cs="仿宋_GB2312"/>
          <w:color w:val="000000"/>
          <w:sz w:val="32"/>
          <w:szCs w:val="32"/>
          <w:lang w:val="en-US" w:eastAsia="zh-CN"/>
        </w:rPr>
        <w:t>967.07</w:t>
      </w:r>
      <w:r>
        <w:rPr>
          <w:rFonts w:hint="eastAsia" w:ascii="仿宋_GB2312" w:hAnsi="仿宋_GB2312" w:eastAsia="仿宋_GB2312" w:cs="仿宋_GB2312"/>
          <w:color w:val="000000"/>
          <w:kern w:val="2"/>
          <w:sz w:val="32"/>
          <w:szCs w:val="32"/>
          <w:lang w:val="en-US" w:eastAsia="zh-CN" w:bidi="ar-SA"/>
        </w:rPr>
        <w:t>万元，其中：工资福利支出</w:t>
      </w:r>
      <w:r>
        <w:rPr>
          <w:rFonts w:hint="eastAsia" w:ascii="仿宋_GB2312" w:hAnsi="仿宋_GB2312" w:eastAsia="仿宋_GB2312" w:cs="仿宋_GB2312"/>
          <w:color w:val="000000"/>
          <w:sz w:val="32"/>
          <w:szCs w:val="32"/>
          <w:lang w:val="en-US" w:eastAsia="zh-CN"/>
        </w:rPr>
        <w:t>854.44</w:t>
      </w:r>
      <w:r>
        <w:rPr>
          <w:rFonts w:hint="eastAsia" w:ascii="仿宋_GB2312" w:hAnsi="仿宋_GB2312" w:eastAsia="仿宋_GB2312" w:cs="仿宋_GB2312"/>
          <w:color w:val="000000"/>
          <w:kern w:val="2"/>
          <w:sz w:val="32"/>
          <w:szCs w:val="32"/>
          <w:lang w:val="en-US" w:eastAsia="zh-CN" w:bidi="ar-SA"/>
        </w:rPr>
        <w:t>万元，商品和服务支出</w:t>
      </w:r>
      <w:r>
        <w:rPr>
          <w:rFonts w:hint="eastAsia" w:ascii="仿宋_GB2312" w:hAnsi="仿宋_GB2312" w:eastAsia="仿宋_GB2312" w:cs="仿宋_GB2312"/>
          <w:color w:val="000000"/>
          <w:sz w:val="32"/>
          <w:szCs w:val="32"/>
          <w:lang w:val="en-US" w:eastAsia="zh-CN"/>
        </w:rPr>
        <w:t>106.43</w:t>
      </w:r>
      <w:r>
        <w:rPr>
          <w:rFonts w:hint="eastAsia" w:ascii="仿宋_GB2312" w:hAnsi="仿宋_GB2312" w:eastAsia="仿宋_GB2312" w:cs="仿宋_GB2312"/>
          <w:color w:val="000000"/>
          <w:kern w:val="2"/>
          <w:sz w:val="32"/>
          <w:szCs w:val="32"/>
          <w:lang w:val="en-US" w:eastAsia="zh-CN" w:bidi="ar-SA"/>
        </w:rPr>
        <w:t>万元，对个人和家庭的补助支出6.2万元；项目支出</w:t>
      </w: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1685.08</w:t>
      </w:r>
      <w:r>
        <w:rPr>
          <w:rFonts w:hint="eastAsia" w:ascii="仿宋_GB2312" w:hAnsi="仿宋_GB2312" w:eastAsia="仿宋_GB2312" w:cs="仿宋_GB2312"/>
          <w:color w:val="000000"/>
          <w:kern w:val="2"/>
          <w:sz w:val="32"/>
          <w:szCs w:val="32"/>
          <w:lang w:val="en-US" w:eastAsia="zh-CN" w:bidi="ar-SA"/>
        </w:rPr>
        <w:t>万元，其中：</w:t>
      </w:r>
      <w:r>
        <w:rPr>
          <w:rFonts w:hint="eastAsia" w:ascii="仿宋_GB2312" w:hAnsi="仿宋_GB2312" w:eastAsia="仿宋_GB2312" w:cs="仿宋_GB2312"/>
          <w:color w:val="000000" w:themeColor="text1"/>
          <w:sz w:val="32"/>
          <w:szCs w:val="28"/>
          <w:lang w:val="en-US" w:eastAsia="zh-CN"/>
          <w14:textFill>
            <w14:solidFill>
              <w14:schemeClr w14:val="tx1"/>
            </w14:solidFill>
          </w14:textFill>
        </w:rPr>
        <w:t>商品和服务支出453.48万元，资本性支出1231.6万元。</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2、三公经费支出情况：2023年“三公”经费” 支出6.51万元。其中：公务用车运行维护费</w:t>
      </w:r>
      <w:r>
        <w:rPr>
          <w:rFonts w:hint="eastAsia" w:ascii="仿宋_GB2312" w:hAnsi="仿宋_GB2312" w:eastAsia="仿宋_GB2312" w:cs="仿宋_GB2312"/>
          <w:color w:val="000000"/>
          <w:sz w:val="32"/>
          <w:szCs w:val="32"/>
          <w:lang w:val="en-US" w:eastAsia="zh-CN"/>
        </w:rPr>
        <w:t>4.51</w:t>
      </w:r>
      <w:r>
        <w:rPr>
          <w:rFonts w:hint="eastAsia" w:ascii="仿宋_GB2312" w:hAnsi="仿宋_GB2312" w:eastAsia="仿宋_GB2312" w:cs="仿宋_GB2312"/>
          <w:color w:val="000000"/>
          <w:kern w:val="2"/>
          <w:sz w:val="32"/>
          <w:szCs w:val="32"/>
          <w:lang w:val="en-US" w:eastAsia="zh-CN" w:bidi="ar-SA"/>
        </w:rPr>
        <w:t>万元，公务接待费2万元。</w:t>
      </w:r>
    </w:p>
    <w:p>
      <w:pPr>
        <w:spacing w:line="227" w:lineRule="auto"/>
        <w:ind w:left="643"/>
        <w:rPr>
          <w:rFonts w:hint="eastAsia" w:ascii="黑体" w:hAnsi="黑体" w:eastAsia="黑体" w:cs="黑体"/>
          <w:spacing w:val="8"/>
          <w:sz w:val="32"/>
          <w:szCs w:val="32"/>
          <w:lang w:val="en-US" w:eastAsia="zh-CN"/>
        </w:rPr>
      </w:pPr>
      <w:r>
        <w:rPr>
          <w:rFonts w:hint="eastAsia" w:ascii="黑体" w:hAnsi="黑体" w:eastAsia="黑体" w:cs="黑体"/>
          <w:spacing w:val="8"/>
          <w:sz w:val="32"/>
          <w:szCs w:val="32"/>
          <w:lang w:val="en-US" w:eastAsia="zh-CN"/>
        </w:rPr>
        <w:t xml:space="preserve">七、存在的问题及原因分析 </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主要存在专技人员比例不足、人员年龄、性别比例不合理，人才留不住等问题。近年来我们想尽办法从各大高校招聘引进专业技术人员，给他们免费解决食宿问题，但由于薪酬待遇低、激励机制不健全、发展空间小等原因，很难留住人才。目前中心人才断层、专业技术人员缺乏等问题日益严重，现有的专业技术队伍远远不能满足新形势下疾控工作需要。</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项目经费拨付不够及时，导致有些工作无法开展。</w:t>
      </w:r>
    </w:p>
    <w:p>
      <w:pPr>
        <w:numPr>
          <w:ilvl w:val="0"/>
          <w:numId w:val="3"/>
        </w:numPr>
        <w:spacing w:line="227" w:lineRule="auto"/>
        <w:ind w:left="643"/>
        <w:rPr>
          <w:rFonts w:hint="eastAsia" w:ascii="黑体" w:hAnsi="黑体" w:eastAsia="黑体" w:cs="黑体"/>
          <w:spacing w:val="8"/>
          <w:sz w:val="32"/>
          <w:szCs w:val="32"/>
        </w:rPr>
      </w:pPr>
      <w:r>
        <w:rPr>
          <w:rFonts w:hint="eastAsia" w:ascii="黑体" w:hAnsi="黑体" w:eastAsia="黑体" w:cs="黑体"/>
          <w:spacing w:val="8"/>
          <w:sz w:val="32"/>
          <w:szCs w:val="32"/>
        </w:rPr>
        <w:t>下一步改进措施</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对绩效评价工作“谁使用、谁评价”的原则执行不够到位。  今后我中心将更加细致地制定绩效目标，进一步严肃财经纪律，让项目资金按计划落实到实处。</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保障职工待遇，提高职工工作积极性；加强疾控人员队伍建设，增加人员编制。</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default"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加强项目经费拨付的及时性；</w:t>
      </w:r>
    </w:p>
    <w:p>
      <w:pPr>
        <w:numPr>
          <w:ilvl w:val="0"/>
          <w:numId w:val="3"/>
        </w:numPr>
        <w:spacing w:before="219" w:line="600" w:lineRule="exact"/>
        <w:ind w:left="643" w:leftChars="0" w:firstLine="0" w:firstLineChars="0"/>
        <w:rPr>
          <w:rFonts w:hint="eastAsia" w:ascii="黑体" w:hAnsi="黑体" w:eastAsia="黑体" w:cs="黑体"/>
          <w:spacing w:val="8"/>
          <w:position w:val="21"/>
          <w:sz w:val="32"/>
          <w:szCs w:val="32"/>
        </w:rPr>
      </w:pPr>
      <w:r>
        <w:rPr>
          <w:rFonts w:hint="eastAsia" w:ascii="黑体" w:hAnsi="黑体" w:eastAsia="黑体" w:cs="黑体"/>
          <w:spacing w:val="9"/>
          <w:position w:val="21"/>
          <w:sz w:val="32"/>
          <w:szCs w:val="32"/>
        </w:rPr>
        <w:t>部门整体支出绩效自评结果拟应用和公开</w:t>
      </w:r>
      <w:r>
        <w:rPr>
          <w:rFonts w:hint="eastAsia" w:ascii="黑体" w:hAnsi="黑体" w:eastAsia="黑体" w:cs="黑体"/>
          <w:spacing w:val="8"/>
          <w:position w:val="21"/>
          <w:sz w:val="32"/>
          <w:szCs w:val="32"/>
        </w:rPr>
        <w:t>情况</w:t>
      </w:r>
    </w:p>
    <w:p>
      <w:pPr>
        <w:keepNext w:val="0"/>
        <w:keepLines w:val="0"/>
        <w:pageBreakBefore w:val="0"/>
        <w:kinsoku/>
        <w:wordWrap/>
        <w:overflowPunct/>
        <w:topLinePunct w:val="0"/>
        <w:autoSpaceDE/>
        <w:bidi w:val="0"/>
        <w:adjustRightInd w:val="0"/>
        <w:snapToGrid w:val="0"/>
        <w:spacing w:line="600" w:lineRule="exact"/>
        <w:ind w:left="0" w:leftChars="0" w:firstLine="640" w:firstLineChars="200"/>
        <w:textAlignment w:val="auto"/>
        <w:rPr>
          <w:rFonts w:hint="eastAsia" w:ascii="仿宋_GB2312" w:hAnsi="仿宋_GB2312" w:eastAsia="仿宋_GB2312" w:cs="仿宋_GB2312"/>
          <w:color w:val="000000"/>
          <w:kern w:val="2"/>
          <w:sz w:val="32"/>
          <w:szCs w:val="32"/>
          <w:lang w:val="en-US" w:eastAsia="zh-CN" w:bidi="ar-SA"/>
        </w:rPr>
      </w:pPr>
      <w:r>
        <w:rPr>
          <w:rFonts w:hint="eastAsia" w:ascii="仿宋_GB2312" w:hAnsi="仿宋_GB2312" w:eastAsia="仿宋_GB2312" w:cs="仿宋_GB2312"/>
          <w:color w:val="000000"/>
          <w:kern w:val="2"/>
          <w:sz w:val="32"/>
          <w:szCs w:val="32"/>
          <w:lang w:val="en-US" w:eastAsia="zh-CN" w:bidi="ar-SA"/>
        </w:rPr>
        <w:t>均已按要求进行公开</w:t>
      </w:r>
    </w:p>
    <w:p>
      <w:pPr>
        <w:numPr>
          <w:ilvl w:val="0"/>
          <w:numId w:val="0"/>
        </w:numPr>
        <w:spacing w:before="219" w:line="600" w:lineRule="exact"/>
        <w:ind w:left="643" w:leftChars="0"/>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rPr>
          <w:rFonts w:ascii="黑体" w:hAnsi="黑体" w:eastAsia="黑体" w:cs="黑体"/>
          <w:spacing w:val="-3"/>
          <w:sz w:val="31"/>
          <w:szCs w:val="31"/>
        </w:rPr>
      </w:pPr>
      <w:r>
        <w:rPr>
          <w:rFonts w:ascii="黑体" w:hAnsi="黑体" w:eastAsia="黑体" w:cs="黑体"/>
          <w:spacing w:val="-3"/>
          <w:sz w:val="31"/>
          <w:szCs w:val="31"/>
        </w:rPr>
        <w:br w:type="page"/>
      </w:r>
    </w:p>
    <w:p>
      <w:pPr>
        <w:jc w:val="both"/>
        <w:rPr>
          <w:rFonts w:hint="default" w:ascii="Times New Roman" w:hAnsi="Times New Roman" w:eastAsia="方正小标宋_GBK" w:cs="Times New Roman"/>
          <w:sz w:val="52"/>
          <w:szCs w:val="52"/>
        </w:rPr>
        <w:sectPr>
          <w:footerReference r:id="rId3" w:type="default"/>
          <w:pgSz w:w="11905" w:h="16838"/>
          <w:pgMar w:top="1984" w:right="1701" w:bottom="1984" w:left="1701" w:header="850" w:footer="992" w:gutter="0"/>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华文中宋" w:hAnsi="华文中宋" w:eastAsia="华文中宋" w:cs="华文中宋"/>
          <w:spacing w:val="6"/>
          <w:sz w:val="44"/>
          <w:szCs w:val="44"/>
        </w:rPr>
      </w:pPr>
      <w:r>
        <w:rPr>
          <w:rFonts w:hint="eastAsia" w:ascii="华文中宋" w:hAnsi="华文中宋" w:eastAsia="华文中宋" w:cs="华文中宋"/>
          <w:spacing w:val="6"/>
          <w:sz w:val="44"/>
          <w:szCs w:val="44"/>
        </w:rPr>
        <w:t>2023年度部门整体支出绩效自评表</w:t>
      </w:r>
    </w:p>
    <w:p>
      <w:pPr>
        <w:spacing w:line="132" w:lineRule="exact"/>
      </w:pPr>
    </w:p>
    <w:tbl>
      <w:tblPr>
        <w:tblStyle w:val="15"/>
        <w:tblW w:w="508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13"/>
        <w:gridCol w:w="985"/>
        <w:gridCol w:w="973"/>
        <w:gridCol w:w="16"/>
        <w:gridCol w:w="1211"/>
        <w:gridCol w:w="925"/>
        <w:gridCol w:w="960"/>
        <w:gridCol w:w="686"/>
        <w:gridCol w:w="712"/>
        <w:gridCol w:w="13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1" w:hRule="atLeast"/>
          <w:jc w:val="center"/>
        </w:trPr>
        <w:tc>
          <w:tcPr>
            <w:tcW w:w="1601" w:type="pct"/>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3398" w:type="pct"/>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华容县疾病预防控制中心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470" w:type="pct"/>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131"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08"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131"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708"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1027.49</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2652.15</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rPr>
            </w:pPr>
            <w:r>
              <w:rPr>
                <w:rFonts w:hint="eastAsia" w:asciiTheme="minorEastAsia" w:hAnsiTheme="minorEastAsia" w:eastAsiaTheme="minorEastAsia" w:cstheme="minorEastAsia"/>
                <w:sz w:val="21"/>
                <w:szCs w:val="21"/>
                <w:lang w:val="en-US" w:eastAsia="zh-CN"/>
              </w:rPr>
              <w:t>2652.15</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2652.15</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967.07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政府性基金拨款：</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项目支出：</w:t>
            </w:r>
            <w:r>
              <w:rPr>
                <w:rFonts w:hint="eastAsia" w:asciiTheme="minorEastAsia" w:hAnsiTheme="minorEastAsia" w:eastAsiaTheme="minorEastAsia" w:cstheme="minorEastAsia"/>
                <w:sz w:val="21"/>
                <w:szCs w:val="21"/>
                <w:lang w:val="en-US" w:eastAsia="zh-CN"/>
              </w:rPr>
              <w:t>1685.08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纳入专户管理的非税收入拨款：</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2373" w:type="pct"/>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70" w:type="pct"/>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73" w:type="pct"/>
            <w:gridSpan w:val="5"/>
            <w:vAlign w:val="center"/>
          </w:tcPr>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常规免疫：安全注射率100%；建证建卡率98%以上；适龄儿童常规免疫接种率达90%以上；</w:t>
            </w:r>
          </w:p>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严重精神障碍者规范管理率</w:t>
            </w:r>
          </w:p>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水质采样完成率100%。</w:t>
            </w:r>
          </w:p>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高危人群干预：干预暗娼，为性病门诊就诊者提供综合干预服务12000人；</w:t>
            </w:r>
          </w:p>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传染病和突发公共卫生事件报告率、报告及时率98%；</w:t>
            </w:r>
          </w:p>
          <w:p>
            <w:pPr>
              <w:keepNext w:val="0"/>
              <w:keepLines w:val="0"/>
              <w:pageBreakBefore w:val="0"/>
              <w:widowControl w:val="0"/>
              <w:numPr>
                <w:ilvl w:val="0"/>
                <w:numId w:val="4"/>
              </w:numPr>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结核病疑似患者追踪、转诊到位95%；结核病患者密切接触者筛查95%；患者成功治疗90%</w:t>
            </w:r>
            <w:r>
              <w:rPr>
                <w:rFonts w:hint="eastAsia" w:asciiTheme="minorEastAsia" w:hAnsiTheme="minorEastAsia" w:eastAsiaTheme="minorEastAsia" w:cstheme="minorEastAsia"/>
                <w:sz w:val="21"/>
                <w:szCs w:val="21"/>
                <w:lang w:eastAsia="zh-CN"/>
              </w:rPr>
              <w:t>；</w:t>
            </w:r>
          </w:p>
          <w:p>
            <w:pPr>
              <w:pStyle w:val="2"/>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eastAsiaTheme="minorEastAsia" w:cstheme="minorEastAsia"/>
                <w:sz w:val="21"/>
                <w:szCs w:val="21"/>
              </w:rPr>
              <w:t>保障</w:t>
            </w:r>
            <w:r>
              <w:rPr>
                <w:rFonts w:hint="eastAsia" w:asciiTheme="minorEastAsia" w:hAnsiTheme="minorEastAsia" w:eastAsiaTheme="minorEastAsia" w:cstheme="minorEastAsia"/>
                <w:sz w:val="21"/>
                <w:szCs w:val="21"/>
                <w:lang w:eastAsia="zh-CN"/>
              </w:rPr>
              <w:t>县</w:t>
            </w:r>
            <w:r>
              <w:rPr>
                <w:rFonts w:hint="eastAsia" w:asciiTheme="minorEastAsia" w:hAnsiTheme="minorEastAsia" w:eastAsiaTheme="minorEastAsia" w:cstheme="minorEastAsia"/>
                <w:sz w:val="21"/>
                <w:szCs w:val="21"/>
              </w:rPr>
              <w:t>疾控中心的正常运</w:t>
            </w:r>
            <w:r>
              <w:rPr>
                <w:rFonts w:hint="eastAsia" w:asciiTheme="minorEastAsia" w:hAnsiTheme="minorEastAsia" w:eastAsiaTheme="minorEastAsia" w:cstheme="minorEastAsia"/>
                <w:sz w:val="21"/>
                <w:szCs w:val="21"/>
                <w:lang w:eastAsia="zh-CN"/>
              </w:rPr>
              <w:t>转。</w:t>
            </w:r>
          </w:p>
        </w:tc>
        <w:tc>
          <w:tcPr>
            <w:tcW w:w="2155" w:type="pct"/>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各项指标均已完成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0" w:hRule="atLeast"/>
          <w:jc w:val="center"/>
        </w:trPr>
        <w:tc>
          <w:tcPr>
            <w:tcW w:w="470" w:type="pct"/>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569" w:type="pct"/>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71" w:type="pct"/>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2"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1.成立传染病防治领导小组和卫生应急办公室1个；2、开展食品风险安全监测2次；3、饮用水测4次；4、完成HIV抗体检测、提供免费咨询检测138003人；5、制定监测防治方案</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完成全部工作90%以上</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95%</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按各项工作实施方案指标要求完成</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≥90%</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≥90%</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年内按时点分项开展并完成工作</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按时点开始并完成工作</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均按时完成</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569" w:type="pct"/>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kern w:val="0"/>
                <w:sz w:val="21"/>
                <w:szCs w:val="21"/>
              </w:rPr>
            </w:pPr>
            <w:r>
              <w:rPr>
                <w:rFonts w:hint="eastAsia" w:ascii="宋体" w:hAnsi="宋体"/>
                <w:kern w:val="0"/>
                <w:sz w:val="21"/>
                <w:szCs w:val="21"/>
              </w:rPr>
              <w:t>通过基本公共卫生服务提高居民健康管理意识。</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kern w:val="0"/>
                <w:sz w:val="21"/>
                <w:szCs w:val="21"/>
              </w:rPr>
            </w:pPr>
            <w:r>
              <w:rPr>
                <w:rFonts w:hint="eastAsia" w:ascii="宋体" w:hAnsi="宋体"/>
                <w:kern w:val="0"/>
                <w:sz w:val="21"/>
                <w:szCs w:val="21"/>
              </w:rPr>
              <w:t>通过基本公共卫生服务提高居民健康管理意识。</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kern w:val="0"/>
                <w:sz w:val="21"/>
                <w:szCs w:val="21"/>
              </w:rPr>
            </w:pPr>
            <w:r>
              <w:rPr>
                <w:rFonts w:hint="eastAsia" w:ascii="宋体" w:hAnsi="宋体"/>
                <w:kern w:val="0"/>
                <w:sz w:val="21"/>
                <w:szCs w:val="21"/>
              </w:rPr>
              <w:t>通过基本公共卫生服务提高居民健康管理意识。</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宋体" w:hAnsi="宋体"/>
                <w:kern w:val="0"/>
                <w:sz w:val="21"/>
                <w:szCs w:val="21"/>
              </w:rPr>
              <w:t>通过基本公共卫生服务提高居民健康管理意识。</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restart"/>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571" w:type="pct"/>
            <w:gridSpan w:val="2"/>
            <w:vMerge w:val="restart"/>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699" w:type="pct"/>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社会公众和受益群众的满意程度95%</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95%</w:t>
            </w:r>
            <w:r>
              <w:rPr>
                <w:rFonts w:hint="eastAsia" w:asciiTheme="minorEastAsia" w:hAnsiTheme="minorEastAsia" w:eastAsiaTheme="minorEastAsia" w:cstheme="minorEastAsia"/>
                <w:sz w:val="21"/>
                <w:szCs w:val="21"/>
                <w:lang w:eastAsia="zh-CN"/>
              </w:rPr>
              <w:t>　</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≥9</w:t>
            </w: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eastAsiaTheme="minorEastAsia" w:cstheme="minorEastAsia"/>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vMerge w:val="continue"/>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699" w:type="pct"/>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宋体" w:hAnsi="宋体"/>
                <w:kern w:val="0"/>
                <w:sz w:val="24"/>
              </w:rPr>
              <w:t>上级主管部门满意度</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95%</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95%</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571" w:type="pct"/>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699" w:type="pct"/>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eastAsia="zh-CN"/>
              </w:rPr>
              <w:t>保障部门和项目的正常运行</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≤2652.15</w:t>
            </w:r>
            <w:r>
              <w:rPr>
                <w:rFonts w:hint="eastAsia" w:asciiTheme="minorEastAsia" w:hAnsiTheme="minorEastAsia" w:eastAsiaTheme="minorEastAsia" w:cstheme="minorEastAsia"/>
                <w:sz w:val="18"/>
                <w:szCs w:val="18"/>
                <w:lang w:val="en-US" w:eastAsia="zh-CN"/>
              </w:rPr>
              <w:t>万元</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2652.15</w:t>
            </w:r>
            <w:r>
              <w:rPr>
                <w:rFonts w:hint="eastAsia" w:asciiTheme="minorEastAsia" w:hAnsiTheme="minorEastAsia" w:eastAsiaTheme="minorEastAsia" w:cstheme="minorEastAsia"/>
                <w:sz w:val="18"/>
                <w:szCs w:val="18"/>
                <w:lang w:val="en-US" w:eastAsia="zh-CN"/>
              </w:rPr>
              <w:t>万元</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699" w:type="pct"/>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增强居民健康意识，减少疾病发生和传播</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5</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5</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70" w:type="pct"/>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9" w:type="pct"/>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71" w:type="pct"/>
            <w:gridSpan w:val="2"/>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699" w:type="pct"/>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增强居民健康意识，减少疾病发生和传播</w:t>
            </w:r>
          </w:p>
        </w:tc>
        <w:tc>
          <w:tcPr>
            <w:tcW w:w="533"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552"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eastAsia="zh-CN"/>
              </w:rPr>
              <w:t>基本达标</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5</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5</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3396" w:type="pct"/>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396"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411"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794" w:type="pc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r>
        <w:rPr>
          <w:rFonts w:hint="eastAsia"/>
        </w:rPr>
        <w:t>填表人：</w:t>
      </w:r>
      <w:r>
        <w:rPr>
          <w:rFonts w:hint="eastAsia"/>
          <w:lang w:val="en-US" w:eastAsia="zh-CN"/>
        </w:rPr>
        <w:t xml:space="preserve">     </w:t>
      </w:r>
      <w:r>
        <w:rPr>
          <w:rFonts w:hint="eastAsia"/>
        </w:rPr>
        <w:t xml:space="preserve">     填报日期：         联系电话：           单位负责人签字：</w:t>
      </w:r>
    </w:p>
    <w:p>
      <w:pPr>
        <w:rPr>
          <w:rFonts w:hint="eastAsia"/>
        </w:rPr>
      </w:pPr>
    </w:p>
    <w:p>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eastAsia" w:ascii="黑体" w:hAnsi="黑体" w:eastAsia="黑体" w:cs="黑体"/>
          <w:sz w:val="21"/>
          <w:szCs w:val="21"/>
          <w:lang w:val="en-US" w:eastAsia="zh-CN"/>
        </w:rPr>
      </w:pPr>
    </w:p>
    <w:sectPr>
      <w:footerReference r:id="rId4"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E1A7927-F9CD-424A-A114-32540DF809AB}"/>
  </w:font>
  <w:font w:name="Arial">
    <w:panose1 w:val="020B0604020202020204"/>
    <w:charset w:val="01"/>
    <w:family w:val="swiss"/>
    <w:pitch w:val="default"/>
    <w:sig w:usb0="E0002AFF" w:usb1="C0007843" w:usb2="00000009" w:usb3="00000000" w:csb0="400001FF" w:csb1="FFFF0000"/>
    <w:embedRegular r:id="rId2" w:fontKey="{BEC3C7F1-97E3-4A62-9181-98EE0B819756}"/>
  </w:font>
  <w:font w:name="黑体">
    <w:panose1 w:val="02010609060101010101"/>
    <w:charset w:val="86"/>
    <w:family w:val="auto"/>
    <w:pitch w:val="default"/>
    <w:sig w:usb0="800002BF" w:usb1="38CF7CFA" w:usb2="00000016" w:usb3="00000000" w:csb0="00040001" w:csb1="00000000"/>
    <w:embedRegular r:id="rId3" w:fontKey="{646423A7-BA5F-4454-98A8-3F2BCDAFC7FE}"/>
  </w:font>
  <w:font w:name="Courier New">
    <w:panose1 w:val="02070309020205020404"/>
    <w:charset w:val="01"/>
    <w:family w:val="modern"/>
    <w:pitch w:val="default"/>
    <w:sig w:usb0="E0002AFF" w:usb1="C0007843" w:usb2="00000009" w:usb3="00000000" w:csb0="400001FF" w:csb1="FFFF0000"/>
    <w:embedRegular r:id="rId4" w:fontKey="{345E6A92-34B8-41D2-BC4A-945576230584}"/>
  </w:font>
  <w:font w:name="Symbol">
    <w:panose1 w:val="05050102010706020507"/>
    <w:charset w:val="02"/>
    <w:family w:val="roman"/>
    <w:pitch w:val="default"/>
    <w:sig w:usb0="00000000" w:usb1="00000000" w:usb2="00000000" w:usb3="00000000" w:csb0="80000000" w:csb1="00000000"/>
    <w:embedRegular r:id="rId5" w:fontKey="{22114DE3-5FC6-4AC6-B92F-51B4A43BF4AB}"/>
  </w:font>
  <w:font w:name="Calibri">
    <w:panose1 w:val="020F0502020204030204"/>
    <w:charset w:val="00"/>
    <w:family w:val="swiss"/>
    <w:pitch w:val="default"/>
    <w:sig w:usb0="E00002FF" w:usb1="4000ACFF" w:usb2="00000001" w:usb3="00000000" w:csb0="2000019F" w:csb1="00000000"/>
    <w:embedRegular r:id="rId6" w:fontKey="{3FA4993A-8CFC-4109-91E7-8566AE690ACF}"/>
  </w:font>
  <w:font w:name="仿宋">
    <w:panose1 w:val="02010609060101010101"/>
    <w:charset w:val="86"/>
    <w:family w:val="auto"/>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embedRegular r:id="rId7" w:fontKey="{9A75BC81-430B-450B-B382-360849790F06}"/>
  </w:font>
  <w:font w:name="仿宋_GB2312">
    <w:panose1 w:val="02010609030101010101"/>
    <w:charset w:val="86"/>
    <w:family w:val="auto"/>
    <w:pitch w:val="default"/>
    <w:sig w:usb0="00000001" w:usb1="080E0000" w:usb2="00000000" w:usb3="00000000" w:csb0="00040000" w:csb1="00000000"/>
    <w:embedRegular r:id="rId8" w:fontKey="{F4EA8ED1-8B14-46CE-8FD2-0DA06EB2F015}"/>
  </w:font>
  <w:font w:name="方正小标宋简体">
    <w:panose1 w:val="02000000000000000000"/>
    <w:charset w:val="86"/>
    <w:family w:val="auto"/>
    <w:pitch w:val="default"/>
    <w:sig w:usb0="00000001" w:usb1="08000000" w:usb2="00000000" w:usb3="00000000" w:csb0="00040000" w:csb1="00000000"/>
    <w:embedRegular r:id="rId9" w:fontKey="{5F0ADE8F-0C23-4068-B82C-FF488993085F}"/>
  </w:font>
  <w:font w:name="楷体_GB2312">
    <w:panose1 w:val="02010609030101010101"/>
    <w:charset w:val="86"/>
    <w:family w:val="auto"/>
    <w:pitch w:val="default"/>
    <w:sig w:usb0="00000001" w:usb1="080E0000" w:usb2="00000000" w:usb3="00000000" w:csb0="00040000" w:csb1="00000000"/>
    <w:embedRegular r:id="rId10" w:fontKey="{683EA41B-E45B-4FF9-9291-7A932B144BCF}"/>
  </w:font>
  <w:font w:name="方正小标宋_GBK">
    <w:panose1 w:val="03000509000000000000"/>
    <w:charset w:val="86"/>
    <w:family w:val="script"/>
    <w:pitch w:val="default"/>
    <w:sig w:usb0="00000001" w:usb1="080E0000" w:usb2="00000000" w:usb3="00000000" w:csb0="00040000" w:csb1="00000000"/>
    <w:embedRegular r:id="rId11" w:fontKey="{78EE5A6D-D8BF-4AB5-8830-5524A286E561}"/>
  </w:font>
  <w:font w:name="华文仿宋">
    <w:panose1 w:val="02010600040101010101"/>
    <w:charset w:val="86"/>
    <w:family w:val="auto"/>
    <w:pitch w:val="default"/>
    <w:sig w:usb0="00000287" w:usb1="080F0000" w:usb2="00000000" w:usb3="00000000" w:csb0="0004009F" w:csb1="DFD70000"/>
    <w:embedRegular r:id="rId12" w:fontKey="{940DCC3D-7AAC-4517-BBA7-D39E86C4290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8576"/>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288FB3E"/>
    <w:multiLevelType w:val="singleLevel"/>
    <w:tmpl w:val="A288FB3E"/>
    <w:lvl w:ilvl="0" w:tentative="0">
      <w:start w:val="1"/>
      <w:numFmt w:val="chineseCounting"/>
      <w:suff w:val="nothing"/>
      <w:lvlText w:val="%1、"/>
      <w:lvlJc w:val="left"/>
      <w:rPr>
        <w:rFonts w:hint="eastAsia"/>
      </w:rPr>
    </w:lvl>
  </w:abstractNum>
  <w:abstractNum w:abstractNumId="1">
    <w:nsid w:val="CA8F1186"/>
    <w:multiLevelType w:val="singleLevel"/>
    <w:tmpl w:val="CA8F1186"/>
    <w:lvl w:ilvl="0" w:tentative="0">
      <w:start w:val="8"/>
      <w:numFmt w:val="chineseCounting"/>
      <w:suff w:val="nothing"/>
      <w:lvlText w:val="%1、"/>
      <w:lvlJc w:val="left"/>
      <w:rPr>
        <w:rFonts w:hint="eastAsia"/>
      </w:rPr>
    </w:lvl>
  </w:abstractNum>
  <w:abstractNum w:abstractNumId="2">
    <w:nsid w:val="E28C9D96"/>
    <w:multiLevelType w:val="singleLevel"/>
    <w:tmpl w:val="E28C9D96"/>
    <w:lvl w:ilvl="0" w:tentative="0">
      <w:start w:val="2"/>
      <w:numFmt w:val="chineseCounting"/>
      <w:suff w:val="nothing"/>
      <w:lvlText w:val="（%1）"/>
      <w:lvlJc w:val="left"/>
      <w:rPr>
        <w:rFonts w:hint="eastAsia"/>
      </w:rPr>
    </w:lvl>
  </w:abstractNum>
  <w:abstractNum w:abstractNumId="3">
    <w:nsid w:val="770F8C8A"/>
    <w:multiLevelType w:val="singleLevel"/>
    <w:tmpl w:val="770F8C8A"/>
    <w:lvl w:ilvl="0" w:tentative="0">
      <w:start w:val="1"/>
      <w:numFmt w:val="decimal"/>
      <w:suff w:val="nothing"/>
      <w:lvlText w:val="%1、"/>
      <w:lvlJc w:val="left"/>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FiOWNiYzg3ODAxM2UzZDI3YzI5NWU4MTUxZmQ0MmI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6107C9"/>
    <w:rsid w:val="40C451A5"/>
    <w:rsid w:val="40C671E5"/>
    <w:rsid w:val="41051ABE"/>
    <w:rsid w:val="4156470B"/>
    <w:rsid w:val="41943ACE"/>
    <w:rsid w:val="42521D88"/>
    <w:rsid w:val="425D4066"/>
    <w:rsid w:val="430118BA"/>
    <w:rsid w:val="43173FD4"/>
    <w:rsid w:val="43954FC6"/>
    <w:rsid w:val="43B27D8E"/>
    <w:rsid w:val="44143822"/>
    <w:rsid w:val="443F2778"/>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AEE7C38"/>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2F6650"/>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54AE0"/>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qFormat/>
    <w:uiPriority w:val="99"/>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footnote text"/>
    <w:basedOn w:val="1"/>
    <w:next w:val="1"/>
    <w:qFormat/>
    <w:uiPriority w:val="0"/>
    <w:pPr>
      <w:snapToGrid w:val="0"/>
      <w:jc w:val="left"/>
    </w:pPr>
    <w:rPr>
      <w:sz w:val="18"/>
      <w:szCs w:val="18"/>
    </w:r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2"/>
    <w:qFormat/>
    <w:uiPriority w:val="99"/>
    <w:pPr>
      <w:tabs>
        <w:tab w:val="center" w:pos="4153"/>
        <w:tab w:val="right" w:pos="8306"/>
      </w:tabs>
      <w:snapToGrid w:val="0"/>
      <w:jc w:val="left"/>
    </w:pPr>
    <w:rPr>
      <w:sz w:val="18"/>
      <w:szCs w:val="18"/>
    </w:rPr>
  </w:style>
  <w:style w:type="paragraph" w:styleId="6">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qFormat/>
    <w:uiPriority w:val="0"/>
    <w:pPr>
      <w:spacing w:before="0" w:beforeAutospacing="1" w:after="0" w:afterAutospacing="1"/>
      <w:ind w:left="0" w:right="0"/>
      <w:jc w:val="left"/>
    </w:pPr>
    <w:rPr>
      <w:kern w:val="0"/>
      <w:sz w:val="24"/>
      <w:lang w:val="en-US" w:eastAsia="zh-CN" w:bidi="ar"/>
    </w:rPr>
  </w:style>
  <w:style w:type="table" w:styleId="9">
    <w:name w:val="Table Grid"/>
    <w:basedOn w:val="8"/>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Footer Char"/>
    <w:basedOn w:val="10"/>
    <w:link w:val="5"/>
    <w:semiHidden/>
    <w:qFormat/>
    <w:uiPriority w:val="99"/>
    <w:rPr>
      <w:sz w:val="18"/>
      <w:szCs w:val="18"/>
    </w:rPr>
  </w:style>
  <w:style w:type="character" w:customStyle="1" w:styleId="13">
    <w:name w:val="Header Char"/>
    <w:basedOn w:val="10"/>
    <w:link w:val="6"/>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TotalTime>1</TotalTime>
  <ScaleCrop>false</ScaleCrop>
  <LinksUpToDate>false</LinksUpToDate>
  <CharactersWithSpaces>4995</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WPS_1640949061</cp:lastModifiedBy>
  <cp:lastPrinted>2024-05-27T07:20:43Z</cp:lastPrinted>
  <dcterms:modified xsi:type="dcterms:W3CDTF">2024-05-27T07:20:49Z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KSOSaveFontToCloudKey">
    <vt:lpwstr>386772509_embed</vt:lpwstr>
  </property>
  <property fmtid="{D5CDD505-2E9C-101B-9397-08002B2CF9AE}" pid="4" name="ICV">
    <vt:lpwstr>F96CC6F13C934D6E834055B675BCA8AB_13</vt:lpwstr>
  </property>
</Properties>
</file>