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default" w:ascii="Times New Roman" w:hAnsi="Times New Roman" w:eastAsia="方正小标宋_GBK" w:cs="Times New Roman"/>
          <w:sz w:val="52"/>
          <w:szCs w:val="52"/>
        </w:rPr>
      </w:pPr>
    </w:p>
    <w:p>
      <w:pPr>
        <w:pStyle w:val="2"/>
        <w:rPr>
          <w:rFonts w:hint="default"/>
        </w:rPr>
      </w:pPr>
    </w:p>
    <w:p>
      <w:pPr>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202</w:t>
      </w:r>
      <w:r>
        <w:rPr>
          <w:rFonts w:hint="eastAsia" w:ascii="方正小标宋简体" w:hAnsi="方正小标宋简体" w:eastAsia="方正小标宋简体" w:cs="方正小标宋简体"/>
          <w:sz w:val="44"/>
          <w:szCs w:val="44"/>
          <w:lang w:val="en-US" w:eastAsia="zh-CN"/>
        </w:rPr>
        <w:t>3</w:t>
      </w:r>
      <w:r>
        <w:rPr>
          <w:rFonts w:hint="eastAsia" w:ascii="方正小标宋简体" w:hAnsi="方正小标宋简体" w:eastAsia="方正小标宋简体" w:cs="方正小标宋简体"/>
          <w:sz w:val="44"/>
          <w:szCs w:val="44"/>
        </w:rPr>
        <w:t>年度</w:t>
      </w:r>
      <w:r>
        <w:rPr>
          <w:rFonts w:hint="eastAsia" w:ascii="方正小标宋简体" w:hAnsi="方正小标宋简体" w:eastAsia="方正小标宋简体" w:cs="方正小标宋简体"/>
          <w:sz w:val="44"/>
          <w:szCs w:val="44"/>
          <w:lang w:eastAsia="zh-CN"/>
        </w:rPr>
        <w:t>华容县公安局</w:t>
      </w:r>
      <w:r>
        <w:rPr>
          <w:rFonts w:hint="eastAsia" w:ascii="方正小标宋简体" w:hAnsi="方正小标宋简体" w:eastAsia="方正小标宋简体" w:cs="方正小标宋简体"/>
          <w:sz w:val="44"/>
          <w:szCs w:val="44"/>
        </w:rPr>
        <w:t>整体支出</w:t>
      </w:r>
    </w:p>
    <w:p>
      <w:pPr>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绩效自评报告</w:t>
      </w:r>
    </w:p>
    <w:p>
      <w:pPr>
        <w:jc w:val="center"/>
        <w:rPr>
          <w:rFonts w:hint="default" w:ascii="Times New Roman" w:hAnsi="Times New Roman" w:eastAsia="方正小标宋_GBK" w:cs="Times New Roman"/>
          <w:b/>
          <w:sz w:val="52"/>
          <w:szCs w:val="52"/>
        </w:rPr>
      </w:pPr>
    </w:p>
    <w:p>
      <w:pPr>
        <w:jc w:val="center"/>
        <w:rPr>
          <w:rFonts w:hint="default" w:ascii="Times New Roman" w:hAnsi="Times New Roman" w:eastAsia="楷体_GB2312" w:cs="Times New Roman"/>
          <w:b/>
          <w:sz w:val="32"/>
          <w:szCs w:val="32"/>
        </w:rPr>
      </w:pPr>
    </w:p>
    <w:p>
      <w:pPr>
        <w:jc w:val="center"/>
        <w:rPr>
          <w:rFonts w:hint="default" w:ascii="Times New Roman" w:hAnsi="Times New Roman" w:eastAsia="楷体_GB2312" w:cs="Times New Roman"/>
          <w:b/>
          <w:sz w:val="32"/>
          <w:szCs w:val="32"/>
        </w:rPr>
      </w:pPr>
    </w:p>
    <w:p>
      <w:pPr>
        <w:jc w:val="center"/>
        <w:rPr>
          <w:rFonts w:hint="default" w:ascii="Times New Roman" w:hAnsi="Times New Roman" w:eastAsia="楷体_GB2312" w:cs="Times New Roman"/>
          <w:b/>
          <w:sz w:val="32"/>
          <w:szCs w:val="32"/>
        </w:rPr>
      </w:pPr>
    </w:p>
    <w:p>
      <w:pPr>
        <w:jc w:val="center"/>
        <w:rPr>
          <w:rFonts w:hint="default" w:ascii="Times New Roman" w:hAnsi="Times New Roman" w:eastAsia="楷体_GB2312" w:cs="Times New Roman"/>
          <w:b/>
          <w:sz w:val="32"/>
          <w:szCs w:val="32"/>
        </w:rPr>
      </w:pPr>
    </w:p>
    <w:p>
      <w:pPr>
        <w:jc w:val="center"/>
        <w:rPr>
          <w:rFonts w:hint="default" w:ascii="Times New Roman" w:hAnsi="Times New Roman" w:eastAsia="楷体_GB2312" w:cs="Times New Roman"/>
          <w:b/>
          <w:sz w:val="32"/>
          <w:szCs w:val="32"/>
        </w:rPr>
      </w:pPr>
    </w:p>
    <w:p>
      <w:pPr>
        <w:pStyle w:val="2"/>
        <w:rPr>
          <w:rFonts w:hint="default" w:ascii="Times New Roman" w:hAnsi="Times New Roman" w:eastAsia="楷体_GB2312" w:cs="Times New Roman"/>
          <w:b/>
          <w:sz w:val="32"/>
          <w:szCs w:val="32"/>
        </w:rPr>
      </w:pPr>
    </w:p>
    <w:p>
      <w:pPr>
        <w:pStyle w:val="3"/>
        <w:rPr>
          <w:rFonts w:hint="default"/>
        </w:rPr>
      </w:pPr>
    </w:p>
    <w:p>
      <w:pPr>
        <w:jc w:val="center"/>
        <w:rPr>
          <w:rFonts w:hint="default" w:ascii="Times New Roman" w:hAnsi="Times New Roman" w:eastAsia="楷体_GB2312" w:cs="Times New Roman"/>
          <w:b/>
          <w:sz w:val="32"/>
          <w:szCs w:val="32"/>
        </w:rPr>
      </w:pPr>
    </w:p>
    <w:p>
      <w:pPr>
        <w:jc w:val="center"/>
        <w:rPr>
          <w:rFonts w:hint="default" w:ascii="Times New Roman" w:hAnsi="Times New Roman" w:eastAsia="黑体" w:cs="Times New Roman"/>
          <w:sz w:val="32"/>
          <w:szCs w:val="32"/>
        </w:rPr>
      </w:pPr>
    </w:p>
    <w:p>
      <w:pPr>
        <w:jc w:val="center"/>
        <w:rPr>
          <w:rFonts w:hint="default" w:ascii="Times New Roman" w:hAnsi="Times New Roman" w:eastAsia="黑体" w:cs="Times New Roman"/>
          <w:sz w:val="32"/>
          <w:szCs w:val="32"/>
        </w:rPr>
      </w:pPr>
    </w:p>
    <w:p>
      <w:pPr>
        <w:jc w:val="center"/>
        <w:rPr>
          <w:rFonts w:hint="default" w:ascii="Times New Roman" w:hAnsi="Times New Roman" w:eastAsia="黑体" w:cs="Times New Roman"/>
          <w:sz w:val="32"/>
          <w:szCs w:val="32"/>
        </w:rPr>
      </w:pPr>
    </w:p>
    <w:p>
      <w:pPr>
        <w:jc w:val="center"/>
        <w:rPr>
          <w:rFonts w:hint="default" w:ascii="Times New Roman" w:hAnsi="Times New Roman" w:eastAsia="黑体" w:cs="Times New Roman"/>
          <w:sz w:val="32"/>
          <w:szCs w:val="32"/>
        </w:rPr>
      </w:pPr>
    </w:p>
    <w:p>
      <w:pPr>
        <w:jc w:val="both"/>
        <w:rPr>
          <w:rFonts w:hint="default" w:ascii="Times New Roman" w:hAnsi="Times New Roman" w:eastAsia="黑体" w:cs="Times New Roman"/>
          <w:sz w:val="32"/>
          <w:szCs w:val="32"/>
        </w:rPr>
      </w:pPr>
    </w:p>
    <w:p>
      <w:pPr>
        <w:jc w:val="both"/>
        <w:rPr>
          <w:rFonts w:hint="default" w:ascii="Times New Roman" w:hAnsi="Times New Roman" w:eastAsia="黑体" w:cs="Times New Roman"/>
          <w:sz w:val="32"/>
          <w:szCs w:val="32"/>
        </w:rPr>
      </w:pPr>
    </w:p>
    <w:p>
      <w:pPr>
        <w:spacing w:line="600" w:lineRule="exact"/>
        <w:jc w:val="center"/>
        <w:rPr>
          <w:rFonts w:hint="eastAsia"/>
          <w:lang w:eastAsia="zh-CN"/>
        </w:rPr>
      </w:pPr>
      <w:r>
        <w:rPr>
          <w:rFonts w:hint="default" w:ascii="Times New Roman" w:hAnsi="Times New Roman" w:eastAsia="仿宋_GB2312" w:cs="Times New Roman"/>
          <w:sz w:val="32"/>
          <w:szCs w:val="32"/>
        </w:rPr>
        <w:t>部门（单位）名称：</w:t>
      </w:r>
      <w:r>
        <w:rPr>
          <w:rFonts w:hint="eastAsia" w:eastAsia="仿宋_GB2312" w:cs="Times New Roman"/>
          <w:sz w:val="32"/>
          <w:szCs w:val="32"/>
          <w:u w:val="single"/>
          <w:lang w:eastAsia="zh-CN"/>
        </w:rPr>
        <w:t>华容县公安局</w:t>
      </w:r>
    </w:p>
    <w:p>
      <w:pPr>
        <w:spacing w:line="600" w:lineRule="exact"/>
        <w:jc w:val="center"/>
        <w:rPr>
          <w:rFonts w:hint="default" w:ascii="Times New Roman" w:hAnsi="Times New Roman" w:eastAsia="楷体_GB2312" w:cs="Times New Roman"/>
          <w:sz w:val="32"/>
          <w:szCs w:val="32"/>
        </w:rPr>
      </w:pPr>
      <w:r>
        <w:rPr>
          <w:rFonts w:hint="eastAsia" w:eastAsia="楷体_GB2312" w:cs="Times New Roman"/>
          <w:sz w:val="32"/>
          <w:szCs w:val="32"/>
          <w:lang w:val="en-US" w:eastAsia="zh-CN"/>
        </w:rPr>
        <w:t>2024</w:t>
      </w:r>
      <w:r>
        <w:rPr>
          <w:rFonts w:hint="default" w:ascii="Times New Roman" w:hAnsi="Times New Roman" w:eastAsia="楷体_GB2312" w:cs="Times New Roman"/>
          <w:sz w:val="32"/>
          <w:szCs w:val="32"/>
        </w:rPr>
        <w:t>年</w:t>
      </w:r>
      <w:bookmarkStart w:id="0" w:name="_GoBack"/>
      <w:bookmarkEnd w:id="0"/>
      <w:r>
        <w:rPr>
          <w:rFonts w:hint="eastAsia" w:eastAsia="楷体_GB2312" w:cs="Times New Roman"/>
          <w:sz w:val="32"/>
          <w:szCs w:val="32"/>
          <w:lang w:val="en-US" w:eastAsia="zh-CN"/>
        </w:rPr>
        <w:t>5</w:t>
      </w:r>
      <w:r>
        <w:rPr>
          <w:rFonts w:hint="default" w:ascii="Times New Roman" w:hAnsi="Times New Roman" w:eastAsia="楷体_GB2312" w:cs="Times New Roman"/>
          <w:sz w:val="32"/>
          <w:szCs w:val="32"/>
        </w:rPr>
        <w:t>月</w:t>
      </w:r>
      <w:r>
        <w:rPr>
          <w:rFonts w:hint="eastAsia" w:eastAsia="楷体_GB2312" w:cs="Times New Roman"/>
          <w:sz w:val="32"/>
          <w:szCs w:val="32"/>
          <w:lang w:val="en-US" w:eastAsia="zh-CN"/>
        </w:rPr>
        <w:t>28</w:t>
      </w:r>
      <w:r>
        <w:rPr>
          <w:rFonts w:hint="default" w:ascii="Times New Roman" w:hAnsi="Times New Roman" w:eastAsia="楷体_GB2312" w:cs="Times New Roman"/>
          <w:sz w:val="32"/>
          <w:szCs w:val="32"/>
        </w:rPr>
        <w:t>日</w:t>
      </w:r>
    </w:p>
    <w:p>
      <w:pPr>
        <w:keepNext w:val="0"/>
        <w:keepLines w:val="0"/>
        <w:pageBreakBefore w:val="0"/>
        <w:kinsoku/>
        <w:wordWrap/>
        <w:overflowPunct/>
        <w:topLinePunct w:val="0"/>
        <w:autoSpaceDE/>
        <w:autoSpaceDN/>
        <w:bidi w:val="0"/>
        <w:adjustRightInd/>
        <w:snapToGrid/>
        <w:spacing w:line="610" w:lineRule="exact"/>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202</w:t>
      </w:r>
      <w:r>
        <w:rPr>
          <w:rFonts w:hint="eastAsia" w:ascii="方正小标宋简体" w:hAnsi="方正小标宋简体" w:eastAsia="方正小标宋简体" w:cs="方正小标宋简体"/>
          <w:sz w:val="44"/>
          <w:szCs w:val="44"/>
          <w:lang w:val="en-US" w:eastAsia="zh-CN"/>
        </w:rPr>
        <w:t>3</w:t>
      </w:r>
      <w:r>
        <w:rPr>
          <w:rFonts w:hint="eastAsia" w:ascii="方正小标宋简体" w:hAnsi="方正小标宋简体" w:eastAsia="方正小标宋简体" w:cs="方正小标宋简体"/>
          <w:sz w:val="44"/>
          <w:szCs w:val="44"/>
        </w:rPr>
        <w:t>年度</w:t>
      </w:r>
      <w:r>
        <w:rPr>
          <w:rFonts w:hint="eastAsia" w:ascii="方正小标宋简体" w:hAnsi="方正小标宋简体" w:eastAsia="方正小标宋简体" w:cs="方正小标宋简体"/>
          <w:sz w:val="44"/>
          <w:szCs w:val="44"/>
          <w:lang w:eastAsia="zh-CN"/>
        </w:rPr>
        <w:t>华容县公安局</w:t>
      </w:r>
      <w:r>
        <w:rPr>
          <w:rFonts w:hint="eastAsia" w:ascii="方正小标宋简体" w:hAnsi="方正小标宋简体" w:eastAsia="方正小标宋简体" w:cs="方正小标宋简体"/>
          <w:sz w:val="44"/>
          <w:szCs w:val="44"/>
        </w:rPr>
        <w:t>整体支出</w:t>
      </w:r>
    </w:p>
    <w:p>
      <w:pPr>
        <w:keepNext w:val="0"/>
        <w:keepLines w:val="0"/>
        <w:pageBreakBefore w:val="0"/>
        <w:kinsoku/>
        <w:wordWrap/>
        <w:overflowPunct/>
        <w:topLinePunct w:val="0"/>
        <w:autoSpaceDE/>
        <w:autoSpaceDN/>
        <w:bidi w:val="0"/>
        <w:adjustRightInd/>
        <w:snapToGrid/>
        <w:spacing w:line="610" w:lineRule="exact"/>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绩效自评报告</w:t>
      </w:r>
    </w:p>
    <w:p>
      <w:pPr>
        <w:keepNext w:val="0"/>
        <w:keepLines w:val="0"/>
        <w:pageBreakBefore w:val="0"/>
        <w:kinsoku/>
        <w:wordWrap/>
        <w:overflowPunct/>
        <w:topLinePunct w:val="0"/>
        <w:autoSpaceDE/>
        <w:autoSpaceDN/>
        <w:bidi w:val="0"/>
        <w:adjustRightInd/>
        <w:snapToGrid/>
        <w:spacing w:line="610" w:lineRule="exact"/>
        <w:ind w:firstLine="640" w:firstLineChars="200"/>
        <w:jc w:val="both"/>
        <w:textAlignment w:val="auto"/>
        <w:rPr>
          <w:rFonts w:hint="default" w:ascii="Times New Roman" w:hAnsi="Times New Roman" w:eastAsia="仿宋_GB2312" w:cs="Times New Roman"/>
          <w:sz w:val="32"/>
          <w:szCs w:val="32"/>
        </w:rPr>
      </w:pPr>
    </w:p>
    <w:p>
      <w:pPr>
        <w:keepNext w:val="0"/>
        <w:keepLines w:val="0"/>
        <w:pageBreakBefore w:val="0"/>
        <w:numPr>
          <w:ilvl w:val="0"/>
          <w:numId w:val="1"/>
        </w:numPr>
        <w:kinsoku/>
        <w:wordWrap/>
        <w:overflowPunct/>
        <w:topLinePunct w:val="0"/>
        <w:autoSpaceDE/>
        <w:autoSpaceDN/>
        <w:bidi w:val="0"/>
        <w:adjustRightInd/>
        <w:snapToGrid/>
        <w:spacing w:line="610" w:lineRule="exact"/>
        <w:ind w:firstLine="640" w:firstLineChars="200"/>
        <w:jc w:val="both"/>
        <w:textAlignment w:val="auto"/>
        <w:rPr>
          <w:rFonts w:hint="default" w:ascii="Times New Roman" w:hAnsi="Times New Roman" w:eastAsia="黑体" w:cs="Times New Roman"/>
          <w:sz w:val="32"/>
          <w:szCs w:val="32"/>
        </w:rPr>
      </w:pPr>
      <w:r>
        <w:rPr>
          <w:rFonts w:hint="default" w:ascii="Times New Roman" w:hAnsi="Times New Roman" w:eastAsia="黑体" w:cs="Times New Roman"/>
          <w:sz w:val="32"/>
          <w:szCs w:val="32"/>
        </w:rPr>
        <w:t>部门（单位）基本情况</w:t>
      </w:r>
    </w:p>
    <w:p>
      <w:pPr>
        <w:pStyle w:val="5"/>
        <w:ind w:firstLine="560" w:firstLineChars="200"/>
        <w:rPr>
          <w:rFonts w:hint="default" w:ascii="仿宋" w:hAnsi="仿宋" w:eastAsia="仿宋" w:cs="仿宋"/>
          <w:b w:val="0"/>
          <w:color w:val="000000"/>
          <w:kern w:val="2"/>
          <w:sz w:val="28"/>
          <w:szCs w:val="28"/>
          <w:lang w:val="en-US" w:eastAsia="zh-CN" w:bidi="ar-SA"/>
        </w:rPr>
      </w:pPr>
      <w:r>
        <w:rPr>
          <w:rFonts w:hint="eastAsia" w:ascii="仿宋" w:hAnsi="仿宋" w:eastAsia="仿宋" w:cs="仿宋"/>
          <w:b w:val="0"/>
          <w:color w:val="000000"/>
          <w:kern w:val="2"/>
          <w:sz w:val="28"/>
          <w:szCs w:val="28"/>
          <w:lang w:val="en-US" w:eastAsia="zh-CN" w:bidi="ar-SA"/>
        </w:rPr>
        <w:t>华容县公安局现有行政政法编制330人，实有在职人员312人，退休人员130人，遗孀6人,协辅警、一村一辅警及退伍老兵484人。小车51台，电动巡逻车3台。公安机关是政府的重要组成部分，是国家的行政机关，同时它又担负着刑事案件的侦查任务，因而它又是国家的司法机关之一。公安机关是政府的一个职能部门，依法管理社会治安，行使国家的行政权，同时公安机关又依法侦查刑事案件，行使国家的司法权。公安机关的性质具有双重性，既有行使性又有司法性。公安机关的职责是：1、预防、制止和侦查违法犯罪活动；2、防范、打击恐怖活动；维护社会治安秩序，制止危害社会治安秩序的行为；3、管理交通、消防、危险物品；4、管理户口、公民身份证、国籍、入境事务和外国人在中国境内居留、旅行的有关事务。本年度主要工作内容是：1.维护政治稳定 化解涉稳风险；2.做好主责主业 严打违法犯罪；3.维护大局稳定 护航社会发展；4.夯实基层基础 筑牢战斗堡垒；5.完善队伍建设 提振基层活力。</w:t>
      </w:r>
    </w:p>
    <w:p>
      <w:pPr>
        <w:pStyle w:val="15"/>
        <w:keepNext w:val="0"/>
        <w:keepLines w:val="0"/>
        <w:pageBreakBefore w:val="0"/>
        <w:widowControl/>
        <w:numPr>
          <w:ilvl w:val="0"/>
          <w:numId w:val="1"/>
        </w:numPr>
        <w:kinsoku/>
        <w:wordWrap/>
        <w:overflowPunct/>
        <w:topLinePunct w:val="0"/>
        <w:autoSpaceDE/>
        <w:autoSpaceDN/>
        <w:bidi w:val="0"/>
        <w:adjustRightInd/>
        <w:snapToGrid/>
        <w:spacing w:line="610" w:lineRule="exact"/>
        <w:ind w:left="0" w:leftChars="0" w:firstLine="640" w:firstLineChars="200"/>
        <w:jc w:val="both"/>
        <w:textAlignment w:val="auto"/>
        <w:rPr>
          <w:rFonts w:hint="default" w:ascii="Times New Roman" w:hAnsi="Times New Roman" w:eastAsia="黑体" w:cs="Times New Roman"/>
          <w:kern w:val="2"/>
          <w:sz w:val="32"/>
          <w:szCs w:val="32"/>
          <w:lang w:val="en-US" w:eastAsia="zh-CN" w:bidi="ar-SA"/>
        </w:rPr>
      </w:pPr>
      <w:r>
        <w:rPr>
          <w:rFonts w:hint="default" w:ascii="Times New Roman" w:hAnsi="Times New Roman" w:eastAsia="黑体" w:cs="Times New Roman"/>
          <w:kern w:val="2"/>
          <w:sz w:val="32"/>
          <w:szCs w:val="32"/>
          <w:lang w:val="en-US" w:eastAsia="zh-CN" w:bidi="ar-SA"/>
        </w:rPr>
        <w:t>基本支出情况</w:t>
      </w:r>
    </w:p>
    <w:p>
      <w:pPr>
        <w:ind w:firstLine="560" w:firstLineChars="200"/>
        <w:rPr>
          <w:rFonts w:hint="default" w:ascii="Times New Roman" w:hAnsi="Times New Roman" w:eastAsia="黑体" w:cs="Times New Roman"/>
          <w:color w:val="auto"/>
          <w:kern w:val="2"/>
          <w:sz w:val="28"/>
          <w:szCs w:val="28"/>
          <w:lang w:val="en-US" w:eastAsia="zh-CN" w:bidi="ar-SA"/>
        </w:rPr>
      </w:pPr>
      <w:r>
        <w:rPr>
          <w:rFonts w:hint="eastAsia" w:ascii="仿宋" w:hAnsi="仿宋" w:eastAsia="仿宋" w:cs="仿宋"/>
          <w:color w:val="auto"/>
          <w:sz w:val="28"/>
          <w:szCs w:val="28"/>
        </w:rPr>
        <w:t>202</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rPr>
        <w:t>年度财政收入总计</w:t>
      </w:r>
      <w:r>
        <w:rPr>
          <w:rFonts w:hint="eastAsia" w:ascii="仿宋" w:hAnsi="仿宋" w:eastAsia="仿宋" w:cs="仿宋"/>
          <w:color w:val="auto"/>
          <w:sz w:val="28"/>
          <w:szCs w:val="28"/>
          <w:lang w:val="en-US" w:eastAsia="zh-CN"/>
        </w:rPr>
        <w:t>11414.35</w:t>
      </w:r>
      <w:r>
        <w:rPr>
          <w:rFonts w:hint="eastAsia" w:ascii="仿宋" w:hAnsi="仿宋" w:eastAsia="仿宋" w:cs="仿宋"/>
          <w:color w:val="auto"/>
          <w:sz w:val="28"/>
          <w:szCs w:val="28"/>
        </w:rPr>
        <w:t>万元，其中一般性公共预算财政拨款</w:t>
      </w:r>
      <w:r>
        <w:rPr>
          <w:rFonts w:hint="eastAsia" w:ascii="仿宋" w:hAnsi="仿宋" w:eastAsia="仿宋" w:cs="仿宋"/>
          <w:color w:val="auto"/>
          <w:sz w:val="28"/>
          <w:szCs w:val="28"/>
          <w:lang w:val="en-US" w:eastAsia="zh-CN"/>
        </w:rPr>
        <w:t>11402.08</w:t>
      </w:r>
      <w:r>
        <w:rPr>
          <w:rFonts w:hint="eastAsia" w:ascii="仿宋" w:hAnsi="仿宋" w:eastAsia="仿宋" w:cs="仿宋"/>
          <w:color w:val="auto"/>
          <w:sz w:val="28"/>
          <w:szCs w:val="28"/>
        </w:rPr>
        <w:t>万元，上年度结余</w:t>
      </w:r>
      <w:r>
        <w:rPr>
          <w:rFonts w:hint="eastAsia" w:ascii="仿宋" w:hAnsi="仿宋" w:eastAsia="仿宋" w:cs="仿宋"/>
          <w:color w:val="auto"/>
          <w:sz w:val="28"/>
          <w:szCs w:val="28"/>
          <w:lang w:val="en-US" w:eastAsia="zh-CN"/>
        </w:rPr>
        <w:t>12.27万元</w:t>
      </w:r>
      <w:r>
        <w:rPr>
          <w:rFonts w:hint="eastAsia" w:ascii="仿宋" w:hAnsi="仿宋" w:eastAsia="仿宋" w:cs="仿宋"/>
          <w:color w:val="auto"/>
          <w:sz w:val="28"/>
          <w:szCs w:val="28"/>
        </w:rPr>
        <w:t>。支出总计</w:t>
      </w:r>
      <w:r>
        <w:rPr>
          <w:rFonts w:hint="eastAsia" w:ascii="仿宋" w:hAnsi="仿宋" w:eastAsia="仿宋" w:cs="仿宋"/>
          <w:color w:val="auto"/>
          <w:sz w:val="28"/>
          <w:szCs w:val="28"/>
          <w:lang w:val="en-US" w:eastAsia="zh-CN"/>
        </w:rPr>
        <w:t>11414.35</w:t>
      </w:r>
      <w:r>
        <w:rPr>
          <w:rFonts w:hint="eastAsia" w:ascii="仿宋" w:hAnsi="仿宋" w:eastAsia="仿宋" w:cs="仿宋"/>
          <w:color w:val="auto"/>
          <w:sz w:val="28"/>
          <w:szCs w:val="28"/>
        </w:rPr>
        <w:t>万元，其中人员支出</w:t>
      </w:r>
      <w:r>
        <w:rPr>
          <w:rFonts w:hint="eastAsia" w:ascii="仿宋" w:hAnsi="仿宋" w:eastAsia="仿宋" w:cs="仿宋"/>
          <w:color w:val="auto"/>
          <w:sz w:val="28"/>
          <w:szCs w:val="28"/>
          <w:lang w:val="en-US" w:eastAsia="zh-CN"/>
        </w:rPr>
        <w:t>7521.59</w:t>
      </w:r>
      <w:r>
        <w:rPr>
          <w:rFonts w:hint="eastAsia" w:ascii="仿宋" w:hAnsi="仿宋" w:eastAsia="仿宋" w:cs="仿宋"/>
          <w:color w:val="auto"/>
          <w:sz w:val="28"/>
          <w:szCs w:val="28"/>
        </w:rPr>
        <w:t>万元，公用支出</w:t>
      </w:r>
      <w:r>
        <w:rPr>
          <w:rFonts w:hint="eastAsia" w:ascii="仿宋" w:hAnsi="仿宋" w:eastAsia="仿宋" w:cs="仿宋"/>
          <w:color w:val="auto"/>
          <w:sz w:val="28"/>
          <w:szCs w:val="28"/>
          <w:lang w:val="en-US" w:eastAsia="zh-CN"/>
        </w:rPr>
        <w:t>2449.93</w:t>
      </w:r>
      <w:r>
        <w:rPr>
          <w:rFonts w:hint="eastAsia" w:ascii="仿宋" w:hAnsi="仿宋" w:eastAsia="仿宋" w:cs="仿宋"/>
          <w:color w:val="auto"/>
          <w:sz w:val="28"/>
          <w:szCs w:val="28"/>
        </w:rPr>
        <w:t>万元，</w:t>
      </w:r>
      <w:r>
        <w:rPr>
          <w:rFonts w:hint="eastAsia" w:ascii="仿宋" w:hAnsi="仿宋" w:eastAsia="仿宋" w:cs="仿宋"/>
          <w:color w:val="auto"/>
          <w:sz w:val="28"/>
          <w:szCs w:val="28"/>
          <w:lang w:eastAsia="zh-CN"/>
        </w:rPr>
        <w:t>项目支出</w:t>
      </w:r>
      <w:r>
        <w:rPr>
          <w:rFonts w:hint="eastAsia" w:ascii="仿宋" w:hAnsi="仿宋" w:eastAsia="仿宋" w:cs="仿宋"/>
          <w:color w:val="auto"/>
          <w:sz w:val="28"/>
          <w:szCs w:val="28"/>
          <w:lang w:val="en-US" w:eastAsia="zh-CN"/>
        </w:rPr>
        <w:t>1437.47万元</w:t>
      </w:r>
      <w:r>
        <w:rPr>
          <w:rFonts w:hint="eastAsia" w:ascii="仿宋" w:hAnsi="仿宋" w:eastAsia="仿宋" w:cs="仿宋"/>
          <w:color w:val="auto"/>
          <w:sz w:val="28"/>
          <w:szCs w:val="28"/>
          <w:lang w:eastAsia="zh-CN"/>
        </w:rPr>
        <w:t>，年度结余</w:t>
      </w:r>
      <w:r>
        <w:rPr>
          <w:rFonts w:hint="eastAsia" w:ascii="仿宋" w:hAnsi="仿宋" w:eastAsia="仿宋" w:cs="仿宋"/>
          <w:color w:val="auto"/>
          <w:sz w:val="28"/>
          <w:szCs w:val="28"/>
          <w:lang w:val="en-US" w:eastAsia="zh-CN"/>
        </w:rPr>
        <w:t>5.36万元</w:t>
      </w:r>
      <w:r>
        <w:rPr>
          <w:rFonts w:hint="eastAsia" w:ascii="仿宋" w:hAnsi="仿宋" w:eastAsia="仿宋" w:cs="仿宋"/>
          <w:color w:val="auto"/>
          <w:sz w:val="28"/>
          <w:szCs w:val="28"/>
        </w:rPr>
        <w:t>。</w:t>
      </w:r>
    </w:p>
    <w:p>
      <w:pPr>
        <w:pStyle w:val="15"/>
        <w:keepNext w:val="0"/>
        <w:keepLines w:val="0"/>
        <w:pageBreakBefore w:val="0"/>
        <w:widowControl/>
        <w:numPr>
          <w:ilvl w:val="0"/>
          <w:numId w:val="1"/>
        </w:numPr>
        <w:kinsoku/>
        <w:wordWrap/>
        <w:overflowPunct/>
        <w:topLinePunct w:val="0"/>
        <w:autoSpaceDE/>
        <w:autoSpaceDN/>
        <w:bidi w:val="0"/>
        <w:adjustRightInd/>
        <w:snapToGrid/>
        <w:spacing w:line="610" w:lineRule="exact"/>
        <w:ind w:left="0" w:leftChars="0" w:firstLine="640" w:firstLineChars="200"/>
        <w:jc w:val="both"/>
        <w:textAlignment w:val="auto"/>
        <w:rPr>
          <w:rFonts w:hint="default" w:ascii="Times New Roman" w:hAnsi="Times New Roman" w:eastAsia="黑体" w:cs="Times New Roman"/>
          <w:color w:val="auto"/>
          <w:kern w:val="2"/>
          <w:sz w:val="32"/>
          <w:szCs w:val="32"/>
          <w:lang w:val="en-US" w:eastAsia="zh-CN" w:bidi="ar-SA"/>
        </w:rPr>
      </w:pPr>
      <w:r>
        <w:rPr>
          <w:rFonts w:hint="default" w:ascii="Times New Roman" w:hAnsi="Times New Roman" w:eastAsia="黑体" w:cs="Times New Roman"/>
          <w:color w:val="auto"/>
          <w:kern w:val="2"/>
          <w:sz w:val="32"/>
          <w:szCs w:val="32"/>
          <w:lang w:val="en-US" w:eastAsia="zh-CN" w:bidi="ar-SA"/>
        </w:rPr>
        <w:t>项目支出情况</w:t>
      </w:r>
    </w:p>
    <w:p>
      <w:pPr>
        <w:pStyle w:val="15"/>
        <w:keepNext w:val="0"/>
        <w:keepLines w:val="0"/>
        <w:pageBreakBefore w:val="0"/>
        <w:widowControl/>
        <w:numPr>
          <w:ilvl w:val="0"/>
          <w:numId w:val="0"/>
        </w:numPr>
        <w:kinsoku/>
        <w:wordWrap/>
        <w:overflowPunct/>
        <w:topLinePunct w:val="0"/>
        <w:autoSpaceDE/>
        <w:autoSpaceDN/>
        <w:bidi w:val="0"/>
        <w:adjustRightInd/>
        <w:snapToGrid/>
        <w:spacing w:line="610" w:lineRule="exact"/>
        <w:ind w:firstLine="560" w:firstLineChars="200"/>
        <w:jc w:val="both"/>
        <w:textAlignment w:val="auto"/>
        <w:rPr>
          <w:rFonts w:hint="default" w:ascii="仿宋" w:hAnsi="仿宋" w:eastAsia="仿宋" w:cs="仿宋"/>
          <w:color w:val="auto"/>
          <w:kern w:val="2"/>
          <w:sz w:val="32"/>
          <w:szCs w:val="32"/>
          <w:lang w:val="en-US" w:eastAsia="zh-CN" w:bidi="ar-SA"/>
        </w:rPr>
      </w:pPr>
      <w:r>
        <w:rPr>
          <w:rFonts w:hint="eastAsia" w:ascii="仿宋" w:hAnsi="仿宋" w:eastAsia="仿宋" w:cs="仿宋"/>
          <w:color w:val="auto"/>
          <w:kern w:val="2"/>
          <w:sz w:val="28"/>
          <w:szCs w:val="28"/>
          <w:lang w:val="en-US" w:eastAsia="zh-CN" w:bidi="ar-SA"/>
        </w:rPr>
        <w:t>项目支出1437.47万元，其中警犬基地建设工程1.16万元，公安业务技术用房建设201万元，鲇鱼须派出所建设254.19万元，专项资金896.28万元，注滋口派出所作战指挥系统9.82万元，操军派出所房屋维修11.21万元，万庾派出所建设63.81万元。</w:t>
      </w:r>
    </w:p>
    <w:p>
      <w:pPr>
        <w:keepNext w:val="0"/>
        <w:keepLines w:val="0"/>
        <w:pageBreakBefore w:val="0"/>
        <w:widowControl/>
        <w:numPr>
          <w:ilvl w:val="0"/>
          <w:numId w:val="1"/>
        </w:numPr>
        <w:kinsoku/>
        <w:wordWrap/>
        <w:overflowPunct/>
        <w:topLinePunct w:val="0"/>
        <w:autoSpaceDE/>
        <w:autoSpaceDN/>
        <w:bidi w:val="0"/>
        <w:adjustRightInd/>
        <w:snapToGrid/>
        <w:spacing w:line="610" w:lineRule="exact"/>
        <w:ind w:left="0" w:leftChars="0" w:firstLine="640" w:firstLineChars="200"/>
        <w:jc w:val="both"/>
        <w:textAlignment w:val="auto"/>
        <w:rPr>
          <w:rFonts w:hint="default" w:ascii="Times New Roman" w:hAnsi="Times New Roman" w:eastAsia="黑体" w:cs="Times New Roman"/>
          <w:sz w:val="32"/>
          <w:szCs w:val="32"/>
        </w:rPr>
      </w:pPr>
      <w:r>
        <w:rPr>
          <w:rFonts w:hint="default" w:ascii="Times New Roman" w:hAnsi="Times New Roman" w:eastAsia="黑体" w:cs="Times New Roman"/>
          <w:sz w:val="32"/>
          <w:szCs w:val="32"/>
        </w:rPr>
        <w:t>部门整体支出绩效情况</w:t>
      </w:r>
    </w:p>
    <w:p>
      <w:pPr>
        <w:ind w:firstLine="560" w:firstLineChars="200"/>
        <w:rPr>
          <w:rFonts w:hint="eastAsia" w:ascii="仿宋" w:hAnsi="仿宋" w:eastAsia="仿宋" w:cs="仿宋"/>
          <w:color w:val="000000"/>
          <w:sz w:val="28"/>
          <w:szCs w:val="28"/>
        </w:rPr>
      </w:pPr>
      <w:r>
        <w:rPr>
          <w:rFonts w:hint="eastAsia" w:ascii="仿宋" w:hAnsi="仿宋" w:eastAsia="仿宋" w:cs="仿宋"/>
          <w:color w:val="000000"/>
          <w:sz w:val="28"/>
          <w:szCs w:val="28"/>
        </w:rPr>
        <w:t>202</w:t>
      </w:r>
      <w:r>
        <w:rPr>
          <w:rFonts w:hint="eastAsia" w:ascii="仿宋" w:hAnsi="仿宋" w:eastAsia="仿宋" w:cs="仿宋"/>
          <w:color w:val="000000"/>
          <w:sz w:val="28"/>
          <w:szCs w:val="28"/>
          <w:lang w:val="en-US" w:eastAsia="zh-CN"/>
        </w:rPr>
        <w:t>3</w:t>
      </w:r>
      <w:r>
        <w:rPr>
          <w:rFonts w:hint="eastAsia" w:ascii="仿宋" w:hAnsi="仿宋" w:eastAsia="仿宋" w:cs="仿宋"/>
          <w:color w:val="000000"/>
          <w:sz w:val="28"/>
          <w:szCs w:val="28"/>
        </w:rPr>
        <w:t>年工作总结如下：</w:t>
      </w:r>
    </w:p>
    <w:p>
      <w:pPr>
        <w:ind w:firstLine="560" w:firstLineChars="200"/>
        <w:rPr>
          <w:rFonts w:hint="eastAsia" w:ascii="仿宋" w:hAnsi="仿宋" w:eastAsia="仿宋" w:cs="仿宋"/>
          <w:color w:val="000000"/>
          <w:sz w:val="28"/>
          <w:szCs w:val="28"/>
          <w:lang w:val="en-US" w:eastAsia="zh-CN"/>
        </w:rPr>
      </w:pPr>
      <w:r>
        <w:rPr>
          <w:rFonts w:hint="eastAsia" w:ascii="仿宋" w:hAnsi="仿宋" w:eastAsia="仿宋" w:cs="仿宋"/>
          <w:color w:val="000000"/>
          <w:sz w:val="28"/>
          <w:szCs w:val="28"/>
          <w:lang w:val="en-US" w:eastAsia="zh-CN"/>
        </w:rPr>
        <w:t>（一）维护政治稳定 化解涉稳风险</w:t>
      </w:r>
    </w:p>
    <w:p>
      <w:pPr>
        <w:ind w:firstLine="560" w:firstLineChars="200"/>
        <w:rPr>
          <w:rFonts w:hint="eastAsia" w:ascii="仿宋" w:hAnsi="仿宋" w:eastAsia="仿宋" w:cs="仿宋"/>
          <w:color w:val="000000"/>
          <w:sz w:val="28"/>
          <w:szCs w:val="28"/>
          <w:lang w:val="en-US" w:eastAsia="zh-CN"/>
        </w:rPr>
      </w:pPr>
      <w:r>
        <w:rPr>
          <w:rFonts w:hint="eastAsia" w:ascii="仿宋" w:hAnsi="仿宋" w:eastAsia="仿宋" w:cs="仿宋"/>
          <w:color w:val="000000"/>
          <w:sz w:val="28"/>
          <w:szCs w:val="28"/>
          <w:lang w:val="en-US" w:eastAsia="zh-CN"/>
        </w:rPr>
        <w:t>一是捍卫政治安全。通过情报信息的反馈、分析、上报，为党委政府当好参谋，制止群体性上访事件，处置涉政案事件，打击境外宗教渗透及网上“非法”传教案件。二是加强情报预警。密切监测网上敏感案事件、社会焦点热点问题及群体网上舆情动态，强化应对处置工作，杜绝了串联、炒作情况的发生。做到了“华容不出事，华容人不外出滋事”。</w:t>
      </w:r>
    </w:p>
    <w:p>
      <w:pPr>
        <w:ind w:firstLine="560" w:firstLineChars="200"/>
        <w:rPr>
          <w:rFonts w:hint="eastAsia" w:ascii="仿宋" w:hAnsi="仿宋" w:eastAsia="仿宋" w:cs="仿宋"/>
          <w:color w:val="000000"/>
          <w:sz w:val="28"/>
          <w:szCs w:val="28"/>
          <w:lang w:val="en-US" w:eastAsia="zh-CN"/>
        </w:rPr>
      </w:pPr>
      <w:r>
        <w:rPr>
          <w:rFonts w:hint="eastAsia" w:ascii="仿宋" w:hAnsi="仿宋" w:eastAsia="仿宋" w:cs="仿宋"/>
          <w:color w:val="000000"/>
          <w:sz w:val="28"/>
          <w:szCs w:val="28"/>
          <w:lang w:val="en-US" w:eastAsia="zh-CN"/>
        </w:rPr>
        <w:t>（二）做好主责主业 严打违法犯罪</w:t>
      </w:r>
    </w:p>
    <w:p>
      <w:pPr>
        <w:ind w:firstLine="560" w:firstLineChars="200"/>
        <w:rPr>
          <w:rFonts w:hint="eastAsia" w:ascii="仿宋" w:hAnsi="仿宋" w:eastAsia="仿宋" w:cs="仿宋"/>
          <w:color w:val="000000"/>
          <w:sz w:val="28"/>
          <w:szCs w:val="28"/>
          <w:lang w:val="en-US" w:eastAsia="zh-CN"/>
        </w:rPr>
      </w:pPr>
      <w:r>
        <w:rPr>
          <w:rFonts w:hint="eastAsia" w:ascii="仿宋" w:hAnsi="仿宋" w:eastAsia="仿宋" w:cs="仿宋"/>
          <w:color w:val="000000"/>
          <w:sz w:val="28"/>
          <w:szCs w:val="28"/>
          <w:lang w:val="en-US" w:eastAsia="zh-CN"/>
        </w:rPr>
        <w:t>一是快侦快破严重暴力犯罪案件。今年以来，我县快侦快破故意杀人、故意伤害等严重刑事犯罪案件。二是纵深推进常态化扫黑除恶斗争。全面贯彻落实《反有组织犯罪法》《公安机关反有组织犯罪工作规定》及相关配套法律制度，深入开展常态化扫黑除恶斗争。三是打击电信网络诈骗开创新局面。</w:t>
      </w:r>
      <w:r>
        <w:rPr>
          <w:rFonts w:hint="eastAsia" w:ascii="仿宋" w:hAnsi="仿宋" w:eastAsia="仿宋" w:cs="仿宋"/>
          <w:color w:val="000000"/>
          <w:sz w:val="28"/>
          <w:szCs w:val="28"/>
          <w:lang w:eastAsia="zh-CN"/>
        </w:rPr>
        <w:t>在资金预警劝阻方面，做实预警反制，</w:t>
      </w:r>
      <w:r>
        <w:rPr>
          <w:rFonts w:hint="eastAsia" w:ascii="仿宋" w:hAnsi="仿宋" w:eastAsia="仿宋" w:cs="仿宋"/>
          <w:color w:val="000000"/>
          <w:sz w:val="28"/>
          <w:szCs w:val="28"/>
          <w:lang w:val="en-US" w:eastAsia="zh-CN"/>
        </w:rPr>
        <w:t>全面落实潜在受害人保护措施。四是毒品管控常抓不懈。加强宣传和监管职能，在“6.26”国际禁毒日期间，我局联合县禁毒办举办了宣传“全民禁毒你我他，禁毒宣传进万家”主题教育活动，大大加强了广大人民群众的拒毒意识。同时加强对易制毒企业单位及重点娱乐场所管控力度。</w:t>
      </w:r>
    </w:p>
    <w:p>
      <w:pPr>
        <w:ind w:firstLine="560" w:firstLineChars="200"/>
        <w:rPr>
          <w:rFonts w:hint="eastAsia" w:ascii="仿宋" w:hAnsi="仿宋" w:eastAsia="仿宋" w:cs="仿宋"/>
          <w:color w:val="000000"/>
          <w:sz w:val="28"/>
          <w:szCs w:val="28"/>
          <w:lang w:val="en-US" w:eastAsia="zh-CN"/>
        </w:rPr>
      </w:pPr>
      <w:r>
        <w:rPr>
          <w:rFonts w:hint="eastAsia" w:ascii="仿宋" w:hAnsi="仿宋" w:eastAsia="仿宋" w:cs="仿宋"/>
          <w:color w:val="000000"/>
          <w:sz w:val="28"/>
          <w:szCs w:val="28"/>
          <w:lang w:val="en-US" w:eastAsia="zh-CN"/>
        </w:rPr>
        <w:t>（三）维护大局稳定 护航社会发展</w:t>
      </w:r>
    </w:p>
    <w:p>
      <w:pPr>
        <w:ind w:firstLine="560" w:firstLineChars="200"/>
        <w:rPr>
          <w:rFonts w:hint="eastAsia" w:ascii="仿宋" w:hAnsi="仿宋" w:eastAsia="仿宋" w:cs="仿宋"/>
          <w:color w:val="000000"/>
          <w:sz w:val="28"/>
          <w:szCs w:val="28"/>
          <w:lang w:val="en-US" w:eastAsia="zh-CN"/>
        </w:rPr>
      </w:pPr>
      <w:r>
        <w:rPr>
          <w:rFonts w:hint="eastAsia" w:ascii="仿宋" w:hAnsi="仿宋" w:eastAsia="仿宋" w:cs="仿宋"/>
          <w:color w:val="000000"/>
          <w:sz w:val="28"/>
          <w:szCs w:val="28"/>
          <w:lang w:val="en-US" w:eastAsia="zh-CN"/>
        </w:rPr>
        <w:t>一是优化营商环境。今年的“华茂非吸”“盛大金禧”等涉众型经济案件涉及人数多，涉案资金大，我局迅速成立专案组，最大力度为人民群众追赃挽损。二是加强涉枪涉爆管理。切实提高涉危涉爆安全生产系数，一是着重加强全县易制爆危险化学品的治安管控工作。2023年来，我局结合打击整治枪爆违法犯罪专项行动和县安全生产监督管理局联动，进一步澄清了全县易制爆单位。二是深入开展了“缉枪治爆”、“安全生产隐患大排查”，对涉枪爆及违反危险物品安全管理规定的进行严厉查处。全县通过村场广播、拉横幅、电子显示屏、发放《打击涉枪涉爆等违法犯罪的通告》等进行了广泛地宣传发动，做到了深入人心，取得了较好效果。三是推进交通问题整治。</w:t>
      </w:r>
    </w:p>
    <w:p>
      <w:pPr>
        <w:ind w:firstLine="560" w:firstLineChars="200"/>
        <w:rPr>
          <w:rFonts w:hint="eastAsia" w:ascii="仿宋" w:hAnsi="仿宋" w:eastAsia="仿宋" w:cs="仿宋"/>
          <w:color w:val="000000"/>
          <w:sz w:val="28"/>
          <w:szCs w:val="28"/>
          <w:lang w:val="en-US" w:eastAsia="zh-CN"/>
        </w:rPr>
      </w:pPr>
      <w:r>
        <w:rPr>
          <w:rFonts w:hint="eastAsia" w:ascii="仿宋" w:hAnsi="仿宋" w:eastAsia="仿宋" w:cs="仿宋"/>
          <w:color w:val="000000"/>
          <w:sz w:val="28"/>
          <w:szCs w:val="28"/>
          <w:lang w:val="en-US" w:eastAsia="zh-CN"/>
        </w:rPr>
        <w:t>（四）夯实基层基础 筑牢战斗堡垒</w:t>
      </w:r>
    </w:p>
    <w:p>
      <w:pPr>
        <w:ind w:firstLine="560" w:firstLineChars="200"/>
        <w:rPr>
          <w:rFonts w:hint="eastAsia" w:ascii="仿宋" w:hAnsi="仿宋" w:eastAsia="仿宋" w:cs="仿宋"/>
          <w:color w:val="000000"/>
          <w:sz w:val="28"/>
          <w:szCs w:val="28"/>
          <w:lang w:val="en-US" w:eastAsia="zh-CN"/>
        </w:rPr>
      </w:pPr>
      <w:r>
        <w:rPr>
          <w:rFonts w:hint="eastAsia" w:ascii="仿宋" w:hAnsi="仿宋" w:eastAsia="仿宋" w:cs="仿宋"/>
          <w:color w:val="000000"/>
          <w:sz w:val="28"/>
          <w:szCs w:val="28"/>
          <w:lang w:val="en-US" w:eastAsia="zh-CN"/>
        </w:rPr>
        <w:t>一是执法办案体质区改造项目稳步推进。执法办案区提质增效改造项目按时间节点如期建设中，目前已完成执法办案管理区可行性研究批复和概算批复，完成施工图纸设计和预算编制，正在进行财政评审。二是加快基础用房建设。公安业务技术用房室外配套附属工程二期建设项目已结转为2023年度重点建设项目,第一季度已完成初步设计方案，报政府常务会议决议，启动、完成立项批复的所有前期手续。鲇鱼须派出所建设项目已完成100%主体工程建设，正在启动配套设施建设。城东派出所建设项目建设用地正在审批中。</w:t>
      </w:r>
    </w:p>
    <w:p>
      <w:pPr>
        <w:ind w:firstLine="560" w:firstLineChars="200"/>
        <w:rPr>
          <w:rFonts w:hint="eastAsia" w:ascii="仿宋" w:hAnsi="仿宋" w:eastAsia="仿宋" w:cs="仿宋"/>
          <w:color w:val="000000"/>
          <w:sz w:val="28"/>
          <w:szCs w:val="28"/>
          <w:lang w:val="en-US" w:eastAsia="zh-CN"/>
        </w:rPr>
      </w:pPr>
      <w:r>
        <w:rPr>
          <w:rFonts w:hint="eastAsia" w:ascii="仿宋" w:hAnsi="仿宋" w:eastAsia="仿宋" w:cs="仿宋"/>
          <w:color w:val="000000"/>
          <w:sz w:val="28"/>
          <w:szCs w:val="28"/>
          <w:lang w:val="en-US" w:eastAsia="zh-CN"/>
        </w:rPr>
        <w:t>（五）完善队伍建设 提振基层活力</w:t>
      </w:r>
    </w:p>
    <w:p>
      <w:pPr>
        <w:ind w:firstLine="560" w:firstLineChars="200"/>
        <w:rPr>
          <w:rFonts w:hint="eastAsia" w:ascii="仿宋" w:hAnsi="仿宋" w:eastAsia="仿宋" w:cs="仿宋"/>
          <w:color w:val="000000"/>
          <w:sz w:val="28"/>
          <w:szCs w:val="28"/>
          <w:lang w:val="en-US" w:eastAsia="zh-CN"/>
        </w:rPr>
      </w:pPr>
      <w:r>
        <w:rPr>
          <w:rFonts w:hint="eastAsia" w:ascii="仿宋" w:hAnsi="仿宋" w:eastAsia="仿宋" w:cs="仿宋"/>
          <w:color w:val="000000"/>
          <w:sz w:val="28"/>
          <w:szCs w:val="28"/>
          <w:lang w:val="en-US" w:eastAsia="zh-CN"/>
        </w:rPr>
        <w:t>一是加强思想政治引领。本年度我局组织局党委会、民主生活会，撰写华容县公安局领导班子运行及队伍建设情况汇报等党委班子相关报告，编印党委发文，组织第一议题学习，理论学习中心组学习。同时，积极深入学习宣传贯彻习近平总书记给中国人民公安大学在读英烈子女重要回信精神，局党委成立了相关工作领导小组，并在党委会第一议题、中心组（扩大）集体学习上进行了学习和宣传。同时组织局属各单位积极组织全警以座谈会的形式原原本本学习，进一步掀起学习热潮。二是队伍活力持续提升。组织完成了全年的中层干部考核、公务员日常考核和公务员年度考核工作。三是完善激励优抚机制。完成了市公安局“净风3号”专项表彰奖励呈报工作、“警务评议”专项表彰奖励呈报工作、“基础信息采集攻坚”专项表彰奖励呈报工作、援疆专项表彰奖励呈报工作、“岳阳市公安机关关于省运会安全保卫”专项表彰奖励呈报工作、完成县委政法委“双十佳”表彰奖励的推报和评选工作以及日常表彰奖励的推报和评选工作。</w:t>
      </w:r>
    </w:p>
    <w:p>
      <w:pPr>
        <w:pStyle w:val="15"/>
        <w:keepNext w:val="0"/>
        <w:keepLines w:val="0"/>
        <w:pageBreakBefore w:val="0"/>
        <w:widowControl/>
        <w:kinsoku/>
        <w:wordWrap/>
        <w:overflowPunct/>
        <w:topLinePunct w:val="0"/>
        <w:autoSpaceDE/>
        <w:autoSpaceDN/>
        <w:bidi w:val="0"/>
        <w:adjustRightInd/>
        <w:snapToGrid/>
        <w:spacing w:line="610" w:lineRule="exact"/>
        <w:ind w:firstLine="640" w:firstLineChars="200"/>
        <w:jc w:val="both"/>
        <w:textAlignment w:val="auto"/>
        <w:rPr>
          <w:rFonts w:hint="default" w:ascii="Times New Roman" w:hAnsi="Times New Roman" w:eastAsia="黑体" w:cs="Times New Roman"/>
          <w:sz w:val="32"/>
          <w:szCs w:val="32"/>
        </w:rPr>
      </w:pPr>
      <w:r>
        <w:rPr>
          <w:rFonts w:hint="eastAsia" w:ascii="Times New Roman" w:hAnsi="Times New Roman" w:eastAsia="黑体" w:cs="Times New Roman"/>
          <w:sz w:val="32"/>
          <w:szCs w:val="32"/>
          <w:lang w:eastAsia="zh-CN"/>
        </w:rPr>
        <w:t>五</w:t>
      </w:r>
      <w:r>
        <w:rPr>
          <w:rFonts w:hint="default" w:ascii="Times New Roman" w:hAnsi="Times New Roman" w:eastAsia="黑体" w:cs="Times New Roman"/>
          <w:sz w:val="32"/>
          <w:szCs w:val="32"/>
        </w:rPr>
        <w:t>、存在的问题及原因分析</w:t>
      </w: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在预算执行过程中存在执行偏离绩效目标的情况，主要体现在以下几个方面：</w:t>
      </w: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（一）预算完成率有待提高。由于部分项目资金、结余资金下达时间较晚未能及时使用拨付，有关项目工作开展时间较晚、结算支出时间滞后导致预算完成率较低，有待进一步提高。</w:t>
      </w: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二）预算绩效管理工作有待健全。对于预算绩效管理工作重视不够，对于预算绩效管理的计划性不足，我局配套的工作机制还不成熟，相应的预算绩效管理办法还在制定中。在预算执行过程中，绩效管理的参与性不足。</w:t>
      </w:r>
    </w:p>
    <w:p>
      <w:pPr>
        <w:keepNext w:val="0"/>
        <w:keepLines w:val="0"/>
        <w:pageBreakBefore w:val="0"/>
        <w:widowControl/>
        <w:numPr>
          <w:ilvl w:val="0"/>
          <w:numId w:val="0"/>
        </w:numPr>
        <w:kinsoku/>
        <w:wordWrap/>
        <w:overflowPunct/>
        <w:topLinePunct w:val="0"/>
        <w:autoSpaceDE/>
        <w:autoSpaceDN/>
        <w:bidi w:val="0"/>
        <w:adjustRightInd/>
        <w:snapToGrid/>
        <w:spacing w:line="610" w:lineRule="exact"/>
        <w:ind w:leftChars="200"/>
        <w:jc w:val="both"/>
        <w:textAlignment w:val="auto"/>
        <w:rPr>
          <w:rFonts w:hint="default" w:ascii="Times New Roman" w:hAnsi="Times New Roman" w:eastAsia="黑体" w:cs="Times New Roman"/>
          <w:sz w:val="32"/>
          <w:szCs w:val="32"/>
        </w:rPr>
      </w:pPr>
      <w:r>
        <w:rPr>
          <w:rFonts w:hint="eastAsia" w:eastAsia="黑体" w:cs="Times New Roman"/>
          <w:sz w:val="32"/>
          <w:szCs w:val="32"/>
          <w:lang w:eastAsia="zh-CN"/>
        </w:rPr>
        <w:t>六、</w:t>
      </w:r>
      <w:r>
        <w:rPr>
          <w:rFonts w:hint="default" w:ascii="Times New Roman" w:hAnsi="Times New Roman" w:eastAsia="黑体" w:cs="Times New Roman"/>
          <w:sz w:val="32"/>
          <w:szCs w:val="32"/>
        </w:rPr>
        <w:t>下一步改进措施</w:t>
      </w: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560" w:firstLineChars="200"/>
        <w:jc w:val="both"/>
        <w:textAlignment w:val="auto"/>
        <w:rPr>
          <w:rFonts w:hint="default" w:ascii="仿宋" w:hAnsi="仿宋" w:eastAsia="仿宋" w:cs="仿宋"/>
          <w:sz w:val="28"/>
          <w:szCs w:val="28"/>
        </w:rPr>
      </w:pPr>
      <w:r>
        <w:rPr>
          <w:rFonts w:hint="default" w:ascii="仿宋" w:hAnsi="仿宋" w:eastAsia="仿宋" w:cs="仿宋"/>
          <w:sz w:val="28"/>
          <w:szCs w:val="28"/>
        </w:rPr>
        <w:t>一是把预算管理纳入项目管理体系，把预算编制与预算的执行工作贯穿于项目执行的全过程；二是加强与财政部门的沟通衔接，及时了解财政、财务规章制度，约束财经纪律，特别是对与当前财政经济环境不适用的事项，要及时征求财政意见，提供充分理由说服党委暂缓或停止事项；三是对业务类项目要实行深度整合，除财政据实核定项外，根据大类业务设立项目，既确保资金使用，又能应对年中临时新增业务。</w:t>
      </w:r>
    </w:p>
    <w:p>
      <w:pPr>
        <w:keepNext w:val="0"/>
        <w:keepLines w:val="0"/>
        <w:pageBreakBefore w:val="0"/>
        <w:widowControl/>
        <w:kinsoku/>
        <w:wordWrap/>
        <w:overflowPunct/>
        <w:topLinePunct w:val="0"/>
        <w:autoSpaceDE/>
        <w:autoSpaceDN/>
        <w:bidi w:val="0"/>
        <w:adjustRightInd/>
        <w:snapToGrid/>
        <w:spacing w:line="610" w:lineRule="exact"/>
        <w:ind w:firstLine="640" w:firstLineChars="200"/>
        <w:jc w:val="both"/>
        <w:textAlignment w:val="auto"/>
        <w:rPr>
          <w:rFonts w:hint="default" w:ascii="Times New Roman" w:hAnsi="Times New Roman" w:eastAsia="仿宋_GB2312" w:cs="Times New Roman"/>
          <w:sz w:val="32"/>
          <w:szCs w:val="32"/>
        </w:rPr>
      </w:pPr>
      <w:r>
        <w:rPr>
          <w:rFonts w:hint="eastAsia" w:eastAsia="黑体" w:cs="Times New Roman"/>
          <w:sz w:val="32"/>
          <w:szCs w:val="32"/>
          <w:lang w:eastAsia="zh-CN"/>
        </w:rPr>
        <w:t>七</w:t>
      </w:r>
      <w:r>
        <w:rPr>
          <w:rFonts w:hint="default" w:ascii="Times New Roman" w:hAnsi="Times New Roman" w:eastAsia="黑体" w:cs="Times New Roman"/>
          <w:sz w:val="32"/>
          <w:szCs w:val="32"/>
        </w:rPr>
        <w:t>、其他需要说明的情况</w:t>
      </w:r>
    </w:p>
    <w:p>
      <w:pPr>
        <w:widowControl/>
        <w:shd w:val="clear" w:color="auto" w:fill="FFFFFF"/>
        <w:spacing w:line="480" w:lineRule="auto"/>
        <w:ind w:firstLine="560" w:firstLineChars="200"/>
        <w:jc w:val="left"/>
        <w:rPr>
          <w:rFonts w:hint="eastAsia" w:ascii="新宋体" w:hAnsi="新宋体" w:eastAsia="新宋体" w:cs="新宋体"/>
          <w:sz w:val="28"/>
          <w:szCs w:val="28"/>
          <w:lang w:val="en-US" w:eastAsia="zh-CN"/>
        </w:rPr>
        <w:sectPr>
          <w:footerReference r:id="rId3" w:type="default"/>
          <w:pgSz w:w="11906" w:h="16838"/>
          <w:pgMar w:top="1701" w:right="1417" w:bottom="1417" w:left="1417" w:header="851" w:footer="992" w:gutter="0"/>
          <w:pgBorders>
            <w:top w:val="none" w:sz="0" w:space="0"/>
            <w:left w:val="none" w:sz="0" w:space="0"/>
            <w:bottom w:val="none" w:sz="0" w:space="0"/>
            <w:right w:val="none" w:sz="0" w:space="0"/>
          </w:pgBorders>
          <w:cols w:space="0" w:num="1"/>
          <w:rtlGutter w:val="0"/>
          <w:docGrid w:type="lines" w:linePitch="312" w:charSpace="0"/>
        </w:sectPr>
      </w:pPr>
      <w:r>
        <w:rPr>
          <w:rFonts w:hint="eastAsia" w:ascii="仿宋" w:hAnsi="仿宋" w:eastAsia="仿宋" w:cs="仿宋"/>
          <w:sz w:val="28"/>
          <w:szCs w:val="28"/>
          <w:lang w:val="en-US" w:eastAsia="zh-CN"/>
        </w:rPr>
        <w:t>无</w:t>
      </w:r>
    </w:p>
    <w:p>
      <w:pPr>
        <w:rPr>
          <w:rFonts w:hint="eastAsia"/>
          <w:lang w:val="en-US" w:eastAsia="zh-CN"/>
        </w:rPr>
      </w:pPr>
    </w:p>
    <w:sectPr>
      <w:pgSz w:w="11906" w:h="16838"/>
      <w:pgMar w:top="1984" w:right="1701" w:bottom="1984" w:left="1701" w:header="851" w:footer="992" w:gutter="0"/>
      <w:pgBorders>
        <w:top w:val="none" w:sz="0" w:space="0"/>
        <w:left w:val="none" w:sz="0" w:space="0"/>
        <w:bottom w:val="none" w:sz="0" w:space="0"/>
        <w:right w:val="none" w:sz="0" w:space="0"/>
      </w:pgBorders>
      <w:cols w:space="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945B07B7-0097-4DC9-AAC2-132D211FD564}"/>
  </w:font>
  <w:font w:name="Arial">
    <w:panose1 w:val="020B0604020202020204"/>
    <w:charset w:val="01"/>
    <w:family w:val="swiss"/>
    <w:pitch w:val="default"/>
    <w:sig w:usb0="E0002AFF" w:usb1="C0007843" w:usb2="00000009" w:usb3="00000000" w:csb0="400001FF" w:csb1="FFFF0000"/>
    <w:embedRegular r:id="rId2" w:fontKey="{147AAFE8-78AD-48EE-82E4-091A05252480}"/>
  </w:font>
  <w:font w:name="黑体">
    <w:panose1 w:val="02010609060101010101"/>
    <w:charset w:val="86"/>
    <w:family w:val="auto"/>
    <w:pitch w:val="default"/>
    <w:sig w:usb0="800002BF" w:usb1="38CF7CFA" w:usb2="00000016" w:usb3="00000000" w:csb0="00040001" w:csb1="00000000"/>
    <w:embedRegular r:id="rId3" w:fontKey="{BF9FFF33-35B6-40F3-AB6F-7AC66846F8E3}"/>
  </w:font>
  <w:font w:name="Courier New">
    <w:panose1 w:val="02070309020205020404"/>
    <w:charset w:val="01"/>
    <w:family w:val="modern"/>
    <w:pitch w:val="default"/>
    <w:sig w:usb0="E0002AFF" w:usb1="C0007843" w:usb2="00000009" w:usb3="00000000" w:csb0="400001FF" w:csb1="FFFF0000"/>
    <w:embedRegular r:id="rId4" w:fontKey="{268D48F0-803B-4455-8289-3BA72BB48CC4}"/>
  </w:font>
  <w:font w:name="Symbol">
    <w:panose1 w:val="05050102010706020507"/>
    <w:charset w:val="02"/>
    <w:family w:val="roman"/>
    <w:pitch w:val="default"/>
    <w:sig w:usb0="00000000" w:usb1="00000000" w:usb2="00000000" w:usb3="00000000" w:csb0="80000000" w:csb1="00000000"/>
    <w:embedRegular r:id="rId5" w:fontKey="{C8A46FC4-6931-4FCC-8CBA-D4F05D688BC5}"/>
  </w:font>
  <w:font w:name="Calibri">
    <w:panose1 w:val="020F0502020204030204"/>
    <w:charset w:val="00"/>
    <w:family w:val="swiss"/>
    <w:pitch w:val="default"/>
    <w:sig w:usb0="E00002FF" w:usb1="4000ACFF" w:usb2="00000001" w:usb3="00000000" w:csb0="2000019F" w:csb1="00000000"/>
    <w:embedRegular r:id="rId6" w:fontKey="{708030BF-A913-47FC-B827-A3943D6EC77A}"/>
  </w:font>
  <w:font w:name="微软雅黑">
    <w:panose1 w:val="020B0503020204020204"/>
    <w:charset w:val="86"/>
    <w:family w:val="swiss"/>
    <w:pitch w:val="default"/>
    <w:sig w:usb0="80000287" w:usb1="280F3C52" w:usb2="00000016" w:usb3="00000000" w:csb0="0004001F" w:csb1="00000000"/>
    <w:embedRegular r:id="rId7" w:fontKey="{6F48E2A2-60F9-4FDB-A64D-76E4412BF06D}"/>
  </w:font>
  <w:font w:name="楷体_GB2312">
    <w:panose1 w:val="02010609030101010101"/>
    <w:charset w:val="86"/>
    <w:family w:val="auto"/>
    <w:pitch w:val="default"/>
    <w:sig w:usb0="00000000" w:usb1="00000000" w:usb2="00000000" w:usb3="00000000" w:csb0="00000000" w:csb1="00000000"/>
    <w:embedRegular r:id="rId8" w:fontKey="{C3EE8D81-5949-404B-80A1-1A7972647D93}"/>
  </w:font>
  <w:font w:name="方正小标宋_GBK">
    <w:panose1 w:val="03000509000000000000"/>
    <w:charset w:val="86"/>
    <w:family w:val="script"/>
    <w:pitch w:val="default"/>
    <w:sig w:usb0="00000000" w:usb1="00000000" w:usb2="00000000" w:usb3="00000000" w:csb0="00000000" w:csb1="00000000"/>
    <w:embedRegular r:id="rId9" w:fontKey="{63B41A89-A4D0-4FD6-9EA2-0200B00F4C2E}"/>
  </w:font>
  <w:font w:name="方正小标宋简体">
    <w:panose1 w:val="03000509000000000000"/>
    <w:charset w:val="86"/>
    <w:family w:val="auto"/>
    <w:pitch w:val="default"/>
    <w:sig w:usb0="00000000" w:usb1="00000000" w:usb2="00000000" w:usb3="00000000" w:csb0="00000000" w:csb1="00000000"/>
    <w:embedRegular r:id="rId10" w:fontKey="{F7216546-8A90-44B0-A425-D97A02C4727E}"/>
  </w:font>
  <w:font w:name="仿宋_GB2312">
    <w:panose1 w:val="02010609030101010101"/>
    <w:charset w:val="86"/>
    <w:family w:val="auto"/>
    <w:pitch w:val="default"/>
    <w:sig w:usb0="00000000" w:usb1="00000000" w:usb2="00000000" w:usb3="00000000" w:csb0="00000000" w:csb1="00000000"/>
    <w:embedRegular r:id="rId11" w:fontKey="{70ABD6CB-424B-4DFF-8F10-4B6694EFD0E9}"/>
  </w:font>
  <w:font w:name="仿宋">
    <w:panose1 w:val="02010609060101010101"/>
    <w:charset w:val="86"/>
    <w:family w:val="auto"/>
    <w:pitch w:val="default"/>
    <w:sig w:usb0="800002BF" w:usb1="38CF7CFA" w:usb2="00000016" w:usb3="00000000" w:csb0="00040001" w:csb1="00000000"/>
    <w:embedRegular r:id="rId12" w:fontKey="{B5E31A9A-7683-428A-855C-0F391A9D17D3}"/>
  </w:font>
  <w:font w:name="新宋体">
    <w:panose1 w:val="02010609030101010101"/>
    <w:charset w:val="86"/>
    <w:family w:val="auto"/>
    <w:pitch w:val="default"/>
    <w:sig w:usb0="00000003" w:usb1="288F0000" w:usb2="00000006" w:usb3="00000000" w:csb0="00040001" w:csb1="00000000"/>
    <w:embedRegular r:id="rId13" w:fontKey="{2064FA7A-B976-422A-BF7F-D3B6EC3E121B}"/>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jc w:val="right"/>
      <w:rPr>
        <w:rFonts w:ascii="仿宋_GB2312" w:eastAsia="仿宋_GB2312"/>
        <w:sz w:val="28"/>
        <w:szCs w:val="28"/>
      </w:rPr>
    </w:pPr>
    <w: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pStyle w:val="6"/>
                            <w:jc w:val="right"/>
                          </w:pPr>
                          <w:r>
                            <w:rPr>
                              <w:rFonts w:ascii="仿宋_GB2312" w:eastAsia="仿宋_GB2312"/>
                              <w:sz w:val="28"/>
                              <w:szCs w:val="28"/>
                            </w:rPr>
                            <w:t>-</w:t>
                          </w:r>
                          <w:r>
                            <w:rPr>
                              <w:rFonts w:ascii="仿宋_GB2312" w:eastAsia="仿宋_GB2312"/>
                              <w:sz w:val="28"/>
                              <w:szCs w:val="28"/>
                            </w:rPr>
                            <w:fldChar w:fldCharType="begin"/>
                          </w:r>
                          <w:r>
                            <w:rPr>
                              <w:rFonts w:ascii="仿宋_GB2312" w:eastAsia="仿宋_GB2312"/>
                              <w:sz w:val="28"/>
                              <w:szCs w:val="28"/>
                            </w:rPr>
                            <w:instrText xml:space="preserve"> PAGE   \* MERGEFORMAT </w:instrText>
                          </w:r>
                          <w:r>
                            <w:rPr>
                              <w:rFonts w:ascii="仿宋_GB2312" w:eastAsia="仿宋_GB2312"/>
                              <w:sz w:val="28"/>
                              <w:szCs w:val="28"/>
                            </w:rPr>
                            <w:fldChar w:fldCharType="separate"/>
                          </w:r>
                          <w:r>
                            <w:rPr>
                              <w:rFonts w:ascii="仿宋_GB2312" w:eastAsia="仿宋_GB2312"/>
                              <w:sz w:val="28"/>
                              <w:szCs w:val="28"/>
                              <w:lang w:val="zh-CN"/>
                            </w:rPr>
                            <w:t>1</w:t>
                          </w:r>
                          <w:r>
                            <w:rPr>
                              <w:rFonts w:ascii="仿宋_GB2312" w:eastAsia="仿宋_GB2312"/>
                              <w:sz w:val="28"/>
                              <w:szCs w:val="28"/>
                            </w:rPr>
                            <w:fldChar w:fldCharType="end"/>
                          </w:r>
                          <w:r>
                            <w:rPr>
                              <w:rFonts w:ascii="仿宋_GB2312" w:eastAsia="仿宋_GB2312"/>
                              <w:sz w:val="28"/>
                              <w:szCs w:val="28"/>
                            </w:rPr>
                            <w:t>-</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s0lY7tAAAAAFAQAADwAAAAAA&#10;AAABACAAAAAiAAAAZHJzL2Rvd25yZXYueG1sUEsBAhQAFAAAAAgAh07iQA4bVggbAgAAIQQAAA4A&#10;AAAAAAAAAQAgAAAAHwEAAGRycy9lMm9Eb2MueG1sUEsFBgAAAAAGAAYAWQEAAKwFAAAAAA==&#10;">
              <v:fill on="f" focussize="0,0"/>
              <v:stroke on="f" weight="0.5pt"/>
              <v:imagedata o:title=""/>
              <o:lock v:ext="edit" aspectratio="f"/>
              <v:textbox inset="0mm,0mm,0mm,0mm" style="mso-fit-shape-to-text:t;">
                <w:txbxContent>
                  <w:p>
                    <w:pPr>
                      <w:pStyle w:val="6"/>
                      <w:jc w:val="right"/>
                    </w:pPr>
                    <w:r>
                      <w:rPr>
                        <w:rFonts w:ascii="仿宋_GB2312" w:eastAsia="仿宋_GB2312"/>
                        <w:sz w:val="28"/>
                        <w:szCs w:val="28"/>
                      </w:rPr>
                      <w:t>-</w:t>
                    </w:r>
                    <w:r>
                      <w:rPr>
                        <w:rFonts w:ascii="仿宋_GB2312" w:eastAsia="仿宋_GB2312"/>
                        <w:sz w:val="28"/>
                        <w:szCs w:val="28"/>
                      </w:rPr>
                      <w:fldChar w:fldCharType="begin"/>
                    </w:r>
                    <w:r>
                      <w:rPr>
                        <w:rFonts w:ascii="仿宋_GB2312" w:eastAsia="仿宋_GB2312"/>
                        <w:sz w:val="28"/>
                        <w:szCs w:val="28"/>
                      </w:rPr>
                      <w:instrText xml:space="preserve"> PAGE   \* MERGEFORMAT </w:instrText>
                    </w:r>
                    <w:r>
                      <w:rPr>
                        <w:rFonts w:ascii="仿宋_GB2312" w:eastAsia="仿宋_GB2312"/>
                        <w:sz w:val="28"/>
                        <w:szCs w:val="28"/>
                      </w:rPr>
                      <w:fldChar w:fldCharType="separate"/>
                    </w:r>
                    <w:r>
                      <w:rPr>
                        <w:rFonts w:ascii="仿宋_GB2312" w:eastAsia="仿宋_GB2312"/>
                        <w:sz w:val="28"/>
                        <w:szCs w:val="28"/>
                        <w:lang w:val="zh-CN"/>
                      </w:rPr>
                      <w:t>1</w:t>
                    </w:r>
                    <w:r>
                      <w:rPr>
                        <w:rFonts w:ascii="仿宋_GB2312" w:eastAsia="仿宋_GB2312"/>
                        <w:sz w:val="28"/>
                        <w:szCs w:val="28"/>
                      </w:rPr>
                      <w:fldChar w:fldCharType="end"/>
                    </w:r>
                    <w:r>
                      <w:rPr>
                        <w:rFonts w:ascii="仿宋_GB2312" w:eastAsia="仿宋_GB2312"/>
                        <w:sz w:val="28"/>
                        <w:szCs w:val="28"/>
                      </w:rPr>
                      <w:t>-</w:t>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76D343A"/>
    <w:multiLevelType w:val="singleLevel"/>
    <w:tmpl w:val="776D343A"/>
    <w:lvl w:ilvl="0" w:tentative="0">
      <w:start w:val="1"/>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TrueType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noLineBreaksAfter w:lang="zh-CN" w:val="$([{£¥·‘“〈《「『【〔〖〝﹙﹛﹝＄（．［｛￡￥"/>
  <w:noLineBreaksBefore w:lang="zh-CN" w:val="!%),.:;&gt;?]}¢¨°·ˇˉ―‖’”…‰′″›℃∶、。〃〉》」』】〕〗〞︶︺︾﹀﹄﹚﹜﹞！＂％＇），．：；？］｀｜｝～￠"/>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GQ5YTI5YWM5OTRkOWI0MDc5NDJhYzEzNTcyNDlhZTAifQ=="/>
  </w:docVars>
  <w:rsids>
    <w:rsidRoot w:val="0CCB7736"/>
    <w:rsid w:val="00047FEF"/>
    <w:rsid w:val="000A3906"/>
    <w:rsid w:val="001776F1"/>
    <w:rsid w:val="00220996"/>
    <w:rsid w:val="00551209"/>
    <w:rsid w:val="006C4C35"/>
    <w:rsid w:val="006F0A16"/>
    <w:rsid w:val="00773328"/>
    <w:rsid w:val="00821883"/>
    <w:rsid w:val="00917857"/>
    <w:rsid w:val="00A755C2"/>
    <w:rsid w:val="016A347B"/>
    <w:rsid w:val="01A07EE9"/>
    <w:rsid w:val="01A213F5"/>
    <w:rsid w:val="021A2AA6"/>
    <w:rsid w:val="02A76FE8"/>
    <w:rsid w:val="02B50488"/>
    <w:rsid w:val="03212724"/>
    <w:rsid w:val="0338470A"/>
    <w:rsid w:val="034822A9"/>
    <w:rsid w:val="036B0EE0"/>
    <w:rsid w:val="03D86621"/>
    <w:rsid w:val="040B7E59"/>
    <w:rsid w:val="04237FBF"/>
    <w:rsid w:val="04D15EA8"/>
    <w:rsid w:val="04EE6171"/>
    <w:rsid w:val="05322D41"/>
    <w:rsid w:val="05395EA9"/>
    <w:rsid w:val="062C3EBE"/>
    <w:rsid w:val="06CC14DF"/>
    <w:rsid w:val="09005685"/>
    <w:rsid w:val="0ABD557B"/>
    <w:rsid w:val="0B382DFB"/>
    <w:rsid w:val="0B7075FC"/>
    <w:rsid w:val="0BBB5A8D"/>
    <w:rsid w:val="0C104906"/>
    <w:rsid w:val="0C1F169F"/>
    <w:rsid w:val="0C9956D0"/>
    <w:rsid w:val="0CCB7736"/>
    <w:rsid w:val="0D9E0E8D"/>
    <w:rsid w:val="0DB6645F"/>
    <w:rsid w:val="0E29521B"/>
    <w:rsid w:val="0E5D61F3"/>
    <w:rsid w:val="0E71598A"/>
    <w:rsid w:val="0E981CDD"/>
    <w:rsid w:val="0EA8090F"/>
    <w:rsid w:val="0EAB7397"/>
    <w:rsid w:val="0EF755B3"/>
    <w:rsid w:val="0F016F26"/>
    <w:rsid w:val="0F17035E"/>
    <w:rsid w:val="0F4E168D"/>
    <w:rsid w:val="0F5A7D06"/>
    <w:rsid w:val="0F805BB0"/>
    <w:rsid w:val="10286EA8"/>
    <w:rsid w:val="10E00D07"/>
    <w:rsid w:val="113228CF"/>
    <w:rsid w:val="11404466"/>
    <w:rsid w:val="11963ADD"/>
    <w:rsid w:val="11EB0F5C"/>
    <w:rsid w:val="11F20483"/>
    <w:rsid w:val="11F5637E"/>
    <w:rsid w:val="12E71C37"/>
    <w:rsid w:val="130D6AD6"/>
    <w:rsid w:val="132014C0"/>
    <w:rsid w:val="136F31F8"/>
    <w:rsid w:val="138750E0"/>
    <w:rsid w:val="13CE0573"/>
    <w:rsid w:val="14B47060"/>
    <w:rsid w:val="14DA56A9"/>
    <w:rsid w:val="15103705"/>
    <w:rsid w:val="15195C1C"/>
    <w:rsid w:val="15A620D3"/>
    <w:rsid w:val="165C7D88"/>
    <w:rsid w:val="16A3369E"/>
    <w:rsid w:val="178536BD"/>
    <w:rsid w:val="183C7AED"/>
    <w:rsid w:val="18455DE3"/>
    <w:rsid w:val="184914BA"/>
    <w:rsid w:val="189541C2"/>
    <w:rsid w:val="190450BC"/>
    <w:rsid w:val="19516372"/>
    <w:rsid w:val="19575CC2"/>
    <w:rsid w:val="196878DD"/>
    <w:rsid w:val="19A80228"/>
    <w:rsid w:val="1A101464"/>
    <w:rsid w:val="1AB74849"/>
    <w:rsid w:val="1AC52FF2"/>
    <w:rsid w:val="1AD5193C"/>
    <w:rsid w:val="1AE6175D"/>
    <w:rsid w:val="1AF150EA"/>
    <w:rsid w:val="1B1520C7"/>
    <w:rsid w:val="1B742AA7"/>
    <w:rsid w:val="1C7E21FA"/>
    <w:rsid w:val="1C807869"/>
    <w:rsid w:val="1CA34935"/>
    <w:rsid w:val="1D5A640E"/>
    <w:rsid w:val="1F326D2F"/>
    <w:rsid w:val="1F7640EC"/>
    <w:rsid w:val="200E30DD"/>
    <w:rsid w:val="20963402"/>
    <w:rsid w:val="20BF0C17"/>
    <w:rsid w:val="20D76C5F"/>
    <w:rsid w:val="21057490"/>
    <w:rsid w:val="214A230E"/>
    <w:rsid w:val="21B052C4"/>
    <w:rsid w:val="22FF5445"/>
    <w:rsid w:val="237153DF"/>
    <w:rsid w:val="238D0E57"/>
    <w:rsid w:val="23BA140E"/>
    <w:rsid w:val="23BF65FD"/>
    <w:rsid w:val="24256710"/>
    <w:rsid w:val="2484192C"/>
    <w:rsid w:val="24D87D5C"/>
    <w:rsid w:val="2504590B"/>
    <w:rsid w:val="251E7983"/>
    <w:rsid w:val="260D5D83"/>
    <w:rsid w:val="26287046"/>
    <w:rsid w:val="26BC2CF5"/>
    <w:rsid w:val="26FB5F75"/>
    <w:rsid w:val="284A2254"/>
    <w:rsid w:val="28B7684E"/>
    <w:rsid w:val="28EC02A0"/>
    <w:rsid w:val="28F3607F"/>
    <w:rsid w:val="292F1467"/>
    <w:rsid w:val="29786927"/>
    <w:rsid w:val="297B51B4"/>
    <w:rsid w:val="29AD4752"/>
    <w:rsid w:val="29E40467"/>
    <w:rsid w:val="29F527E2"/>
    <w:rsid w:val="2BF23F1F"/>
    <w:rsid w:val="2BF35971"/>
    <w:rsid w:val="2C487650"/>
    <w:rsid w:val="2C714FB9"/>
    <w:rsid w:val="2C8F3CFF"/>
    <w:rsid w:val="2D59118C"/>
    <w:rsid w:val="2E387BE0"/>
    <w:rsid w:val="2E4F43C0"/>
    <w:rsid w:val="2EB10CD1"/>
    <w:rsid w:val="2EB863F3"/>
    <w:rsid w:val="2EC7368E"/>
    <w:rsid w:val="2F4169CD"/>
    <w:rsid w:val="2FAF1579"/>
    <w:rsid w:val="30665D87"/>
    <w:rsid w:val="309E5DF9"/>
    <w:rsid w:val="30FB4B41"/>
    <w:rsid w:val="31231172"/>
    <w:rsid w:val="31621165"/>
    <w:rsid w:val="31F976B0"/>
    <w:rsid w:val="32031BF6"/>
    <w:rsid w:val="323C5548"/>
    <w:rsid w:val="32D37C06"/>
    <w:rsid w:val="33100CD1"/>
    <w:rsid w:val="33AB2047"/>
    <w:rsid w:val="33C97A16"/>
    <w:rsid w:val="34811767"/>
    <w:rsid w:val="35EB0277"/>
    <w:rsid w:val="36BE29A0"/>
    <w:rsid w:val="373575AF"/>
    <w:rsid w:val="37450F88"/>
    <w:rsid w:val="376C6DA6"/>
    <w:rsid w:val="37D6106F"/>
    <w:rsid w:val="37DA16C9"/>
    <w:rsid w:val="38733035"/>
    <w:rsid w:val="38F862EB"/>
    <w:rsid w:val="39343807"/>
    <w:rsid w:val="39575428"/>
    <w:rsid w:val="39887BBC"/>
    <w:rsid w:val="39A30714"/>
    <w:rsid w:val="3A53023B"/>
    <w:rsid w:val="3AF42D2D"/>
    <w:rsid w:val="3B3A041F"/>
    <w:rsid w:val="3BAE6BF9"/>
    <w:rsid w:val="3BB96FA3"/>
    <w:rsid w:val="3C986B0F"/>
    <w:rsid w:val="3CA55B2C"/>
    <w:rsid w:val="3CB81EF7"/>
    <w:rsid w:val="3CCA47F2"/>
    <w:rsid w:val="3CDE0708"/>
    <w:rsid w:val="3D5877DF"/>
    <w:rsid w:val="3DB314AC"/>
    <w:rsid w:val="3DC55CAA"/>
    <w:rsid w:val="3DC97AC7"/>
    <w:rsid w:val="3DD556CA"/>
    <w:rsid w:val="3DE55917"/>
    <w:rsid w:val="3F450429"/>
    <w:rsid w:val="3F6E703A"/>
    <w:rsid w:val="3FE66C97"/>
    <w:rsid w:val="40226C80"/>
    <w:rsid w:val="40C451A5"/>
    <w:rsid w:val="40E4355C"/>
    <w:rsid w:val="41113762"/>
    <w:rsid w:val="414C0992"/>
    <w:rsid w:val="4156470B"/>
    <w:rsid w:val="41943ACE"/>
    <w:rsid w:val="41B75F32"/>
    <w:rsid w:val="421B1376"/>
    <w:rsid w:val="425D4066"/>
    <w:rsid w:val="4287765A"/>
    <w:rsid w:val="43173FD4"/>
    <w:rsid w:val="4324736C"/>
    <w:rsid w:val="433439D3"/>
    <w:rsid w:val="43AE1C92"/>
    <w:rsid w:val="44143822"/>
    <w:rsid w:val="44654A12"/>
    <w:rsid w:val="457C5F26"/>
    <w:rsid w:val="46C029FF"/>
    <w:rsid w:val="46FC7035"/>
    <w:rsid w:val="47A74408"/>
    <w:rsid w:val="47DC05C3"/>
    <w:rsid w:val="47FA4A2D"/>
    <w:rsid w:val="481D7C52"/>
    <w:rsid w:val="499D79A3"/>
    <w:rsid w:val="49AD3161"/>
    <w:rsid w:val="49CF255F"/>
    <w:rsid w:val="4A817083"/>
    <w:rsid w:val="4B2C33B4"/>
    <w:rsid w:val="4B2C5DCD"/>
    <w:rsid w:val="4B365E88"/>
    <w:rsid w:val="4B7D1173"/>
    <w:rsid w:val="4C150E22"/>
    <w:rsid w:val="4C4B0500"/>
    <w:rsid w:val="4C6A38FC"/>
    <w:rsid w:val="4CE74BC3"/>
    <w:rsid w:val="4CF5000E"/>
    <w:rsid w:val="4D511F65"/>
    <w:rsid w:val="4D8A1296"/>
    <w:rsid w:val="4DB17672"/>
    <w:rsid w:val="4E5826F1"/>
    <w:rsid w:val="4E8C0012"/>
    <w:rsid w:val="504F5345"/>
    <w:rsid w:val="506D4C65"/>
    <w:rsid w:val="509176A4"/>
    <w:rsid w:val="50AC44C4"/>
    <w:rsid w:val="50DB45B4"/>
    <w:rsid w:val="50EA6DB9"/>
    <w:rsid w:val="51CA7471"/>
    <w:rsid w:val="51D7216C"/>
    <w:rsid w:val="51E87298"/>
    <w:rsid w:val="521C2FA3"/>
    <w:rsid w:val="522529B2"/>
    <w:rsid w:val="5238100D"/>
    <w:rsid w:val="524208A8"/>
    <w:rsid w:val="52E6551B"/>
    <w:rsid w:val="53057C75"/>
    <w:rsid w:val="534A4241"/>
    <w:rsid w:val="53523659"/>
    <w:rsid w:val="53904B5B"/>
    <w:rsid w:val="53910AF4"/>
    <w:rsid w:val="53EF1781"/>
    <w:rsid w:val="54ED078B"/>
    <w:rsid w:val="555952B3"/>
    <w:rsid w:val="556B5A36"/>
    <w:rsid w:val="55AF40BB"/>
    <w:rsid w:val="5621222A"/>
    <w:rsid w:val="56442904"/>
    <w:rsid w:val="565B7789"/>
    <w:rsid w:val="56F72F7C"/>
    <w:rsid w:val="57141D7F"/>
    <w:rsid w:val="58521CEC"/>
    <w:rsid w:val="586243BF"/>
    <w:rsid w:val="58FD3402"/>
    <w:rsid w:val="59C87E7A"/>
    <w:rsid w:val="5A4F4D45"/>
    <w:rsid w:val="5A976584"/>
    <w:rsid w:val="5AAF7799"/>
    <w:rsid w:val="5AB91364"/>
    <w:rsid w:val="5B5C1753"/>
    <w:rsid w:val="5BB415A0"/>
    <w:rsid w:val="5BB81397"/>
    <w:rsid w:val="5E134100"/>
    <w:rsid w:val="5E5554D0"/>
    <w:rsid w:val="5F7A1C50"/>
    <w:rsid w:val="5FA22BD3"/>
    <w:rsid w:val="5FD77320"/>
    <w:rsid w:val="601C4AB5"/>
    <w:rsid w:val="60BE691E"/>
    <w:rsid w:val="610A7809"/>
    <w:rsid w:val="61444403"/>
    <w:rsid w:val="615D013F"/>
    <w:rsid w:val="619B7044"/>
    <w:rsid w:val="62265BDF"/>
    <w:rsid w:val="628369A8"/>
    <w:rsid w:val="62E1699A"/>
    <w:rsid w:val="63086891"/>
    <w:rsid w:val="64147F0D"/>
    <w:rsid w:val="64CC439C"/>
    <w:rsid w:val="64D157F0"/>
    <w:rsid w:val="64D66362"/>
    <w:rsid w:val="64F00E64"/>
    <w:rsid w:val="65860217"/>
    <w:rsid w:val="663C1249"/>
    <w:rsid w:val="66767F92"/>
    <w:rsid w:val="667E0AA1"/>
    <w:rsid w:val="67B1200C"/>
    <w:rsid w:val="68FB17C3"/>
    <w:rsid w:val="692559DD"/>
    <w:rsid w:val="695F12F9"/>
    <w:rsid w:val="695F172B"/>
    <w:rsid w:val="69636C3A"/>
    <w:rsid w:val="69CF7B2C"/>
    <w:rsid w:val="6A0B0004"/>
    <w:rsid w:val="6A825AF9"/>
    <w:rsid w:val="6B076970"/>
    <w:rsid w:val="6B5742DF"/>
    <w:rsid w:val="6B71724E"/>
    <w:rsid w:val="6BA1010E"/>
    <w:rsid w:val="6C146FD5"/>
    <w:rsid w:val="6CE42C45"/>
    <w:rsid w:val="6CE47E41"/>
    <w:rsid w:val="6CED5810"/>
    <w:rsid w:val="6CF92413"/>
    <w:rsid w:val="6DFE5E04"/>
    <w:rsid w:val="6E134587"/>
    <w:rsid w:val="6E87203D"/>
    <w:rsid w:val="6F114EAB"/>
    <w:rsid w:val="6F9278BB"/>
    <w:rsid w:val="6FBA24DC"/>
    <w:rsid w:val="70157969"/>
    <w:rsid w:val="70455E31"/>
    <w:rsid w:val="71267C32"/>
    <w:rsid w:val="71572F19"/>
    <w:rsid w:val="719B7427"/>
    <w:rsid w:val="72322B7A"/>
    <w:rsid w:val="724A6793"/>
    <w:rsid w:val="7292312C"/>
    <w:rsid w:val="741F26FA"/>
    <w:rsid w:val="74470DF8"/>
    <w:rsid w:val="74C421FA"/>
    <w:rsid w:val="74D86CE9"/>
    <w:rsid w:val="75A46F7D"/>
    <w:rsid w:val="75FD1676"/>
    <w:rsid w:val="76014288"/>
    <w:rsid w:val="766A6EFA"/>
    <w:rsid w:val="777A1B97"/>
    <w:rsid w:val="791C5CFD"/>
    <w:rsid w:val="799536BA"/>
    <w:rsid w:val="79D87D78"/>
    <w:rsid w:val="7AD50531"/>
    <w:rsid w:val="7B170752"/>
    <w:rsid w:val="7B8F681B"/>
    <w:rsid w:val="7BEB73BB"/>
    <w:rsid w:val="7C651C53"/>
    <w:rsid w:val="7C774FAB"/>
    <w:rsid w:val="7C7C6973"/>
    <w:rsid w:val="7C905DE8"/>
    <w:rsid w:val="7CEF7F94"/>
    <w:rsid w:val="7D747F0D"/>
    <w:rsid w:val="7D841512"/>
    <w:rsid w:val="7DD465A6"/>
    <w:rsid w:val="7DD96C0E"/>
    <w:rsid w:val="7E474F7B"/>
    <w:rsid w:val="7E8F7AC1"/>
    <w:rsid w:val="7FB843B2"/>
    <w:rsid w:val="7FF20A60"/>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微软雅黑"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semiHidden="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qFormat="1" w:unhideWhenUsed="0" w:uiPriority="0" w:semiHidden="0" w:name="toc 5"/>
    <w:lsdException w:uiPriority="39" w:name="toc 6"/>
    <w:lsdException w:uiPriority="39" w:name="toc 7"/>
    <w:lsdException w:uiPriority="39" w:name="toc 8"/>
    <w:lsdException w:uiPriority="39" w:name="toc 9"/>
    <w:lsdException w:uiPriority="99" w:name="Normal Indent"/>
    <w:lsdException w:qFormat="1" w:unhideWhenUsed="0" w:uiPriority="0" w:semiHidden="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nhideWhenUsed="0" w:uiPriority="99"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4">
    <w:name w:val="heading 1"/>
    <w:basedOn w:val="1"/>
    <w:next w:val="1"/>
    <w:qFormat/>
    <w:locked/>
    <w:uiPriority w:val="0"/>
    <w:pPr>
      <w:keepNext/>
      <w:keepLines/>
      <w:outlineLvl w:val="0"/>
    </w:pPr>
    <w:rPr>
      <w:rFonts w:eastAsia="黑体"/>
      <w:bCs/>
      <w:kern w:val="44"/>
      <w:szCs w:val="44"/>
    </w:rPr>
  </w:style>
  <w:style w:type="paragraph" w:styleId="5">
    <w:name w:val="heading 3"/>
    <w:basedOn w:val="1"/>
    <w:next w:val="1"/>
    <w:unhideWhenUsed/>
    <w:qFormat/>
    <w:locked/>
    <w:uiPriority w:val="0"/>
    <w:pPr>
      <w:keepNext/>
      <w:keepLines/>
      <w:spacing w:beforeLines="0" w:beforeAutospacing="0" w:afterLines="0" w:afterAutospacing="0" w:line="240" w:lineRule="auto"/>
      <w:outlineLvl w:val="2"/>
    </w:pPr>
    <w:rPr>
      <w:rFonts w:eastAsia="楷体_GB2312"/>
      <w:b/>
    </w:rPr>
  </w:style>
  <w:style w:type="character" w:default="1" w:styleId="9">
    <w:name w:val="Default Paragraph Font"/>
    <w:semiHidden/>
    <w:qFormat/>
    <w:uiPriority w:val="99"/>
  </w:style>
  <w:style w:type="table" w:default="1" w:styleId="11">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eastAsia="Times New Roman" w:cs="Times New Roman"/>
      <w:sz w:val="20"/>
      <w:szCs w:val="20"/>
    </w:rPr>
    <w:tblPr>
      <w:tblLayout w:type="fixed"/>
      <w:tblCellMar>
        <w:top w:w="0" w:type="dxa"/>
        <w:left w:w="108" w:type="dxa"/>
        <w:bottom w:w="0" w:type="dxa"/>
        <w:right w:w="108" w:type="dxa"/>
      </w:tblCellMar>
    </w:tblPr>
  </w:style>
  <w:style w:type="paragraph" w:styleId="2">
    <w:name w:val="Body Text"/>
    <w:basedOn w:val="1"/>
    <w:next w:val="3"/>
    <w:qFormat/>
    <w:uiPriority w:val="0"/>
    <w:pPr>
      <w:widowControl w:val="0"/>
      <w:jc w:val="left"/>
    </w:pPr>
    <w:rPr>
      <w:sz w:val="32"/>
    </w:rPr>
  </w:style>
  <w:style w:type="paragraph" w:styleId="3">
    <w:name w:val="toc 5"/>
    <w:basedOn w:val="1"/>
    <w:next w:val="1"/>
    <w:qFormat/>
    <w:uiPriority w:val="0"/>
    <w:pPr>
      <w:ind w:left="1680"/>
    </w:pPr>
  </w:style>
  <w:style w:type="paragraph" w:styleId="6">
    <w:name w:val="footer"/>
    <w:basedOn w:val="1"/>
    <w:link w:val="13"/>
    <w:qFormat/>
    <w:uiPriority w:val="99"/>
    <w:pPr>
      <w:tabs>
        <w:tab w:val="center" w:pos="4153"/>
        <w:tab w:val="right" w:pos="8306"/>
      </w:tabs>
      <w:snapToGrid w:val="0"/>
      <w:jc w:val="left"/>
    </w:pPr>
    <w:rPr>
      <w:sz w:val="18"/>
      <w:szCs w:val="18"/>
    </w:rPr>
  </w:style>
  <w:style w:type="paragraph" w:styleId="7">
    <w:name w:val="header"/>
    <w:basedOn w:val="1"/>
    <w:link w:val="14"/>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8">
    <w:name w:val="footnote text"/>
    <w:basedOn w:val="1"/>
    <w:next w:val="1"/>
    <w:qFormat/>
    <w:uiPriority w:val="0"/>
    <w:pPr>
      <w:snapToGrid w:val="0"/>
      <w:jc w:val="left"/>
    </w:pPr>
    <w:rPr>
      <w:sz w:val="18"/>
      <w:szCs w:val="18"/>
    </w:rPr>
  </w:style>
  <w:style w:type="character" w:styleId="10">
    <w:name w:val="page number"/>
    <w:basedOn w:val="9"/>
    <w:qFormat/>
    <w:uiPriority w:val="99"/>
    <w:rPr>
      <w:rFonts w:cs="Times New Roman"/>
    </w:rPr>
  </w:style>
  <w:style w:type="table" w:styleId="12">
    <w:name w:val="Table Grid"/>
    <w:basedOn w:val="11"/>
    <w:qFormat/>
    <w:uiPriority w:val="99"/>
    <w:pPr>
      <w:widowControl w:val="0"/>
      <w:jc w:val="both"/>
    </w:pPr>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character" w:customStyle="1" w:styleId="13">
    <w:name w:val="Footer Char"/>
    <w:basedOn w:val="9"/>
    <w:link w:val="6"/>
    <w:semiHidden/>
    <w:qFormat/>
    <w:uiPriority w:val="99"/>
    <w:rPr>
      <w:sz w:val="18"/>
      <w:szCs w:val="18"/>
    </w:rPr>
  </w:style>
  <w:style w:type="character" w:customStyle="1" w:styleId="14">
    <w:name w:val="Header Char"/>
    <w:basedOn w:val="9"/>
    <w:link w:val="7"/>
    <w:semiHidden/>
    <w:qFormat/>
    <w:uiPriority w:val="99"/>
    <w:rPr>
      <w:sz w:val="18"/>
      <w:szCs w:val="18"/>
    </w:rPr>
  </w:style>
  <w:style w:type="paragraph" w:styleId="15">
    <w:name w:val="List Paragraph"/>
    <w:basedOn w:val="1"/>
    <w:qFormat/>
    <w:uiPriority w:val="99"/>
    <w:pPr>
      <w:ind w:firstLine="420" w:firstLineChars="200"/>
    </w:pPr>
    <w:rPr>
      <w:rFonts w:ascii="Calibri" w:hAnsi="Calibri"/>
      <w:szCs w:val="22"/>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customXml" Target="../customXml/item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Normal_Wordconv</Template>
  <Pages>13</Pages>
  <Words>4354</Words>
  <Characters>4599</Characters>
  <Lines>0</Lines>
  <Paragraphs>0</Paragraphs>
  <TotalTime>59</TotalTime>
  <ScaleCrop>false</ScaleCrop>
  <LinksUpToDate>false</LinksUpToDate>
  <CharactersWithSpaces>4995</CharactersWithSpaces>
  <Application>WPS Office_11.8.2.8053_F1E327BC-269C-435d-A152-05C5408002CA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2020-06-04T01:07:00Z</dcterms:created>
  <dc:creator>Administrator</dc:creator>
  <cp:lastModifiedBy>Administrator</cp:lastModifiedBy>
  <cp:lastPrinted>2023-07-17T01:53:00Z</cp:lastPrinted>
  <dcterms:modified xsi:type="dcterms:W3CDTF">2024-05-29T09:14:20Z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2052-11.8.2.8053</vt:lpwstr>
  </property>
  <property fmtid="{D5CDD505-2E9C-101B-9397-08002B2CF9AE}" pid="3" name="KSOSaveFontToCloudKey">
    <vt:lpwstr>386772509_embed</vt:lpwstr>
  </property>
  <property fmtid="{D5CDD505-2E9C-101B-9397-08002B2CF9AE}" pid="4" name="ICV">
    <vt:lpwstr>BCEA63DAF624456AADE85B6B06C14A45_13</vt:lpwstr>
  </property>
</Properties>
</file>