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spacing w:val="-4"/>
          <w:sz w:val="31"/>
          <w:szCs w:val="31"/>
          <w:lang w:val="en-US" w:eastAsia="zh-CN"/>
        </w:rPr>
      </w:pPr>
      <w:r>
        <w:rPr>
          <w:rFonts w:hint="eastAsia" w:ascii="仿宋_GB2312" w:hAnsi="仿宋_GB2312" w:eastAsia="仿宋_GB2312" w:cs="仿宋_GB2312"/>
          <w:spacing w:val="-4"/>
          <w:sz w:val="32"/>
          <w:szCs w:val="32"/>
        </w:rPr>
        <w:t>附件</w:t>
      </w:r>
      <w:r>
        <w:rPr>
          <w:rFonts w:hint="eastAsia" w:ascii="仿宋_GB2312" w:hAnsi="仿宋_GB2312" w:eastAsia="仿宋_GB2312" w:cs="仿宋_GB2312"/>
          <w:spacing w:val="-4"/>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300" w:lineRule="exact"/>
        <w:ind w:left="0"/>
        <w:textAlignment w:val="auto"/>
        <w:rPr>
          <w:rFonts w:hint="eastAsia" w:ascii="黑体" w:hAnsi="黑体" w:eastAsia="黑体" w:cs="黑体"/>
          <w:spacing w:val="-4"/>
          <w:sz w:val="31"/>
          <w:szCs w:val="31"/>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spacing w:val="0"/>
          <w:sz w:val="44"/>
          <w:szCs w:val="44"/>
        </w:rPr>
      </w:pPr>
      <w:r>
        <w:rPr>
          <w:rFonts w:hint="eastAsia" w:ascii="方正小标宋简体" w:hAnsi="方正小标宋简体" w:eastAsia="方正小标宋简体" w:cs="方正小标宋简体"/>
          <w:spacing w:val="0"/>
          <w:sz w:val="44"/>
          <w:szCs w:val="44"/>
        </w:rPr>
        <w:t>2023年度部门整体支出绩效评价基础数据表</w:t>
      </w:r>
    </w:p>
    <w:p>
      <w:pPr>
        <w:keepNext w:val="0"/>
        <w:keepLines w:val="0"/>
        <w:pageBreakBefore w:val="0"/>
        <w:widowControl w:val="0"/>
        <w:kinsoku/>
        <w:wordWrap/>
        <w:overflowPunct/>
        <w:topLinePunct w:val="0"/>
        <w:autoSpaceDE/>
        <w:autoSpaceDN/>
        <w:bidi w:val="0"/>
        <w:adjustRightInd/>
        <w:snapToGrid/>
        <w:spacing w:line="300" w:lineRule="exact"/>
        <w:textAlignment w:val="auto"/>
      </w:pPr>
    </w:p>
    <w:tbl>
      <w:tblPr>
        <w:tblStyle w:val="15"/>
        <w:tblW w:w="9277"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419"/>
        <w:gridCol w:w="964"/>
        <w:gridCol w:w="965"/>
        <w:gridCol w:w="1"/>
        <w:gridCol w:w="985"/>
        <w:gridCol w:w="986"/>
        <w:gridCol w:w="978"/>
        <w:gridCol w:w="97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39" w:hRule="atLeast"/>
          <w:jc w:val="center"/>
        </w:trPr>
        <w:tc>
          <w:tcPr>
            <w:tcW w:w="3419"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财政供养人员情况（人）</w:t>
            </w:r>
          </w:p>
        </w:tc>
        <w:tc>
          <w:tcPr>
            <w:tcW w:w="1930" w:type="dxa"/>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编制数</w:t>
            </w:r>
          </w:p>
        </w:tc>
        <w:tc>
          <w:tcPr>
            <w:tcW w:w="1971"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2023年实际</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在职人数</w:t>
            </w:r>
          </w:p>
        </w:tc>
        <w:tc>
          <w:tcPr>
            <w:tcW w:w="1957"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控制率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64" w:hRule="atLeast"/>
          <w:jc w:val="center"/>
        </w:trPr>
        <w:tc>
          <w:tcPr>
            <w:tcW w:w="3419"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sz w:val="21"/>
                <w:szCs w:val="21"/>
              </w:rPr>
            </w:pPr>
          </w:p>
        </w:tc>
        <w:tc>
          <w:tcPr>
            <w:tcW w:w="1930" w:type="dxa"/>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25</w:t>
            </w:r>
          </w:p>
        </w:tc>
        <w:tc>
          <w:tcPr>
            <w:tcW w:w="1971"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21</w:t>
            </w:r>
          </w:p>
        </w:tc>
        <w:tc>
          <w:tcPr>
            <w:tcW w:w="1957"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84%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64" w:hRule="atLeast"/>
          <w:jc w:val="center"/>
        </w:trPr>
        <w:tc>
          <w:tcPr>
            <w:tcW w:w="341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经费控制情况（万元）</w:t>
            </w:r>
          </w:p>
        </w:tc>
        <w:tc>
          <w:tcPr>
            <w:tcW w:w="1930" w:type="dxa"/>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2022年决算数</w:t>
            </w:r>
          </w:p>
        </w:tc>
        <w:tc>
          <w:tcPr>
            <w:tcW w:w="1971"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2023年预算数</w:t>
            </w:r>
          </w:p>
        </w:tc>
        <w:tc>
          <w:tcPr>
            <w:tcW w:w="1957"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2023年决算数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64" w:hRule="atLeast"/>
          <w:jc w:val="center"/>
        </w:trPr>
        <w:tc>
          <w:tcPr>
            <w:tcW w:w="341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三公经费</w:t>
            </w:r>
            <w:r>
              <w:rPr>
                <w:rFonts w:hint="eastAsia" w:asciiTheme="minorEastAsia" w:hAnsiTheme="minorEastAsia" w:eastAsiaTheme="minorEastAsia" w:cstheme="minorEastAsia"/>
                <w:sz w:val="21"/>
                <w:szCs w:val="21"/>
                <w:lang w:eastAsia="zh-CN"/>
              </w:rPr>
              <w:t>：</w:t>
            </w:r>
          </w:p>
        </w:tc>
        <w:tc>
          <w:tcPr>
            <w:tcW w:w="1930" w:type="dxa"/>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3.4</w:t>
            </w:r>
          </w:p>
        </w:tc>
        <w:tc>
          <w:tcPr>
            <w:tcW w:w="1971"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3.4</w:t>
            </w:r>
          </w:p>
        </w:tc>
        <w:tc>
          <w:tcPr>
            <w:tcW w:w="1957"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3.38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64" w:hRule="atLeast"/>
          <w:jc w:val="center"/>
        </w:trPr>
        <w:tc>
          <w:tcPr>
            <w:tcW w:w="341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1、公务用车购置和维护经费</w:t>
            </w:r>
          </w:p>
        </w:tc>
        <w:tc>
          <w:tcPr>
            <w:tcW w:w="1930" w:type="dxa"/>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ind w:firstLine="420" w:firstLineChars="200"/>
              <w:jc w:val="center"/>
              <w:textAlignment w:val="auto"/>
              <w:rPr>
                <w:rFonts w:hint="eastAsia" w:asciiTheme="minorEastAsia" w:hAnsiTheme="minorEastAsia" w:eastAsiaTheme="minorEastAsia" w:cstheme="minorEastAsia"/>
                <w:sz w:val="21"/>
                <w:szCs w:val="21"/>
              </w:rPr>
            </w:pPr>
          </w:p>
        </w:tc>
        <w:tc>
          <w:tcPr>
            <w:tcW w:w="1971"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ind w:firstLine="420" w:firstLineChars="200"/>
              <w:jc w:val="center"/>
              <w:textAlignment w:val="auto"/>
              <w:rPr>
                <w:rFonts w:hint="eastAsia" w:asciiTheme="minorEastAsia" w:hAnsiTheme="minorEastAsia" w:eastAsiaTheme="minorEastAsia" w:cstheme="minorEastAsia"/>
                <w:sz w:val="21"/>
                <w:szCs w:val="21"/>
              </w:rPr>
            </w:pPr>
          </w:p>
        </w:tc>
        <w:tc>
          <w:tcPr>
            <w:tcW w:w="1957"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ind w:firstLine="420" w:firstLineChars="200"/>
              <w:jc w:val="center"/>
              <w:textAlignment w:val="auto"/>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75" w:hRule="atLeast"/>
          <w:jc w:val="center"/>
        </w:trPr>
        <w:tc>
          <w:tcPr>
            <w:tcW w:w="341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840" w:firstLineChars="4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其中：公车购置</w:t>
            </w:r>
          </w:p>
        </w:tc>
        <w:tc>
          <w:tcPr>
            <w:tcW w:w="1930" w:type="dxa"/>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ind w:firstLine="840" w:firstLineChars="400"/>
              <w:jc w:val="center"/>
              <w:textAlignment w:val="auto"/>
              <w:rPr>
                <w:rFonts w:hint="eastAsia" w:asciiTheme="minorEastAsia" w:hAnsiTheme="minorEastAsia" w:eastAsiaTheme="minorEastAsia" w:cstheme="minorEastAsia"/>
                <w:sz w:val="21"/>
                <w:szCs w:val="21"/>
              </w:rPr>
            </w:pPr>
          </w:p>
        </w:tc>
        <w:tc>
          <w:tcPr>
            <w:tcW w:w="1971"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ind w:firstLine="840" w:firstLineChars="400"/>
              <w:jc w:val="center"/>
              <w:textAlignment w:val="auto"/>
              <w:rPr>
                <w:rFonts w:hint="eastAsia" w:asciiTheme="minorEastAsia" w:hAnsiTheme="minorEastAsia" w:eastAsiaTheme="minorEastAsia" w:cstheme="minorEastAsia"/>
                <w:sz w:val="21"/>
                <w:szCs w:val="21"/>
              </w:rPr>
            </w:pPr>
          </w:p>
        </w:tc>
        <w:tc>
          <w:tcPr>
            <w:tcW w:w="1957"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ind w:firstLine="840" w:firstLineChars="400"/>
              <w:jc w:val="center"/>
              <w:textAlignment w:val="auto"/>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64" w:hRule="atLeast"/>
          <w:jc w:val="center"/>
        </w:trPr>
        <w:tc>
          <w:tcPr>
            <w:tcW w:w="3419"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1459" w:firstLineChars="695"/>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公车运行维护</w:t>
            </w:r>
          </w:p>
        </w:tc>
        <w:tc>
          <w:tcPr>
            <w:tcW w:w="1930" w:type="dxa"/>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1"/>
                <w:szCs w:val="21"/>
              </w:rPr>
            </w:pPr>
          </w:p>
        </w:tc>
        <w:tc>
          <w:tcPr>
            <w:tcW w:w="1971"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1"/>
                <w:szCs w:val="21"/>
              </w:rPr>
            </w:pPr>
          </w:p>
        </w:tc>
        <w:tc>
          <w:tcPr>
            <w:tcW w:w="1957"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64" w:hRule="atLeast"/>
          <w:jc w:val="center"/>
        </w:trPr>
        <w:tc>
          <w:tcPr>
            <w:tcW w:w="341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2、出国经费</w:t>
            </w:r>
          </w:p>
        </w:tc>
        <w:tc>
          <w:tcPr>
            <w:tcW w:w="1930" w:type="dxa"/>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ind w:firstLine="420" w:firstLineChars="200"/>
              <w:jc w:val="center"/>
              <w:textAlignment w:val="auto"/>
              <w:rPr>
                <w:rFonts w:hint="eastAsia" w:asciiTheme="minorEastAsia" w:hAnsiTheme="minorEastAsia" w:eastAsiaTheme="minorEastAsia" w:cstheme="minorEastAsia"/>
                <w:sz w:val="21"/>
                <w:szCs w:val="21"/>
              </w:rPr>
            </w:pPr>
          </w:p>
        </w:tc>
        <w:tc>
          <w:tcPr>
            <w:tcW w:w="1971"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ind w:firstLine="420" w:firstLineChars="200"/>
              <w:jc w:val="center"/>
              <w:textAlignment w:val="auto"/>
              <w:rPr>
                <w:rFonts w:hint="eastAsia" w:asciiTheme="minorEastAsia" w:hAnsiTheme="minorEastAsia" w:eastAsiaTheme="minorEastAsia" w:cstheme="minorEastAsia"/>
                <w:sz w:val="21"/>
                <w:szCs w:val="21"/>
              </w:rPr>
            </w:pPr>
          </w:p>
        </w:tc>
        <w:tc>
          <w:tcPr>
            <w:tcW w:w="1957"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ind w:firstLine="420" w:firstLineChars="200"/>
              <w:jc w:val="center"/>
              <w:textAlignment w:val="auto"/>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64" w:hRule="atLeast"/>
          <w:jc w:val="center"/>
        </w:trPr>
        <w:tc>
          <w:tcPr>
            <w:tcW w:w="341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3、公务接待</w:t>
            </w:r>
          </w:p>
        </w:tc>
        <w:tc>
          <w:tcPr>
            <w:tcW w:w="1930" w:type="dxa"/>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ind w:firstLine="420" w:firstLineChars="200"/>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3.4</w:t>
            </w:r>
          </w:p>
        </w:tc>
        <w:tc>
          <w:tcPr>
            <w:tcW w:w="1971"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ind w:firstLine="420" w:firstLineChars="200"/>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3.4</w:t>
            </w:r>
          </w:p>
        </w:tc>
        <w:tc>
          <w:tcPr>
            <w:tcW w:w="1957"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ind w:firstLine="420" w:firstLineChars="200"/>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3.38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64" w:hRule="atLeast"/>
          <w:jc w:val="center"/>
        </w:trPr>
        <w:tc>
          <w:tcPr>
            <w:tcW w:w="341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项目支出：</w:t>
            </w:r>
          </w:p>
        </w:tc>
        <w:tc>
          <w:tcPr>
            <w:tcW w:w="1930" w:type="dxa"/>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1"/>
                <w:szCs w:val="21"/>
              </w:rPr>
            </w:pPr>
          </w:p>
        </w:tc>
        <w:tc>
          <w:tcPr>
            <w:tcW w:w="1971"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heme="minorEastAsia" w:hAnsiTheme="minorEastAsia" w:eastAsiaTheme="minorEastAsia" w:cstheme="minorEastAsia"/>
                <w:sz w:val="21"/>
                <w:szCs w:val="21"/>
                <w:lang w:val="en-US" w:eastAsia="zh-CN"/>
              </w:rPr>
            </w:pPr>
          </w:p>
        </w:tc>
        <w:tc>
          <w:tcPr>
            <w:tcW w:w="1957"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heme="minorEastAsia" w:hAnsiTheme="minorEastAsia" w:eastAsiaTheme="minorEastAsia" w:cstheme="minorEastAsia"/>
                <w:sz w:val="21"/>
                <w:szCs w:val="21"/>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64" w:hRule="atLeast"/>
          <w:jc w:val="center"/>
        </w:trPr>
        <w:tc>
          <w:tcPr>
            <w:tcW w:w="341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en-US" w:eastAsia="zh-CN"/>
              </w:rPr>
              <w:t>业务工作经费</w:t>
            </w:r>
          </w:p>
        </w:tc>
        <w:tc>
          <w:tcPr>
            <w:tcW w:w="1930" w:type="dxa"/>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ind w:firstLine="420" w:firstLineChars="200"/>
              <w:jc w:val="center"/>
              <w:textAlignment w:val="auto"/>
              <w:rPr>
                <w:rFonts w:hint="eastAsia" w:asciiTheme="minorEastAsia" w:hAnsiTheme="minorEastAsia" w:eastAsiaTheme="minorEastAsia" w:cstheme="minorEastAsia"/>
                <w:sz w:val="21"/>
                <w:szCs w:val="21"/>
              </w:rPr>
            </w:pPr>
          </w:p>
        </w:tc>
        <w:tc>
          <w:tcPr>
            <w:tcW w:w="1971"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heme="minorEastAsia" w:hAnsiTheme="minorEastAsia" w:eastAsiaTheme="minorEastAsia" w:cstheme="minorEastAsia"/>
                <w:sz w:val="21"/>
                <w:szCs w:val="21"/>
                <w:lang w:val="en-US" w:eastAsia="zh-CN"/>
              </w:rPr>
            </w:pPr>
          </w:p>
        </w:tc>
        <w:tc>
          <w:tcPr>
            <w:tcW w:w="1957"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heme="minorEastAsia" w:hAnsiTheme="minorEastAsia" w:eastAsiaTheme="minorEastAsia" w:cstheme="minorEastAsia"/>
                <w:sz w:val="21"/>
                <w:szCs w:val="21"/>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64" w:hRule="atLeast"/>
          <w:jc w:val="center"/>
        </w:trPr>
        <w:tc>
          <w:tcPr>
            <w:tcW w:w="341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r>
              <w:rPr>
                <w:rFonts w:hint="eastAsia" w:asciiTheme="minorEastAsia" w:hAnsiTheme="minorEastAsia" w:eastAsiaTheme="minorEastAsia" w:cstheme="minorEastAsia"/>
                <w:sz w:val="21"/>
                <w:szCs w:val="21"/>
                <w:lang w:val="en-US" w:eastAsia="zh-CN"/>
              </w:rPr>
              <w:t>运行维护经费</w:t>
            </w:r>
          </w:p>
        </w:tc>
        <w:tc>
          <w:tcPr>
            <w:tcW w:w="1930" w:type="dxa"/>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ind w:firstLine="420" w:firstLineChars="200"/>
              <w:jc w:val="center"/>
              <w:textAlignment w:val="auto"/>
              <w:rPr>
                <w:rFonts w:hint="eastAsia" w:asciiTheme="minorEastAsia" w:hAnsiTheme="minorEastAsia" w:eastAsiaTheme="minorEastAsia" w:cstheme="minorEastAsia"/>
                <w:sz w:val="21"/>
                <w:szCs w:val="21"/>
              </w:rPr>
            </w:pPr>
          </w:p>
        </w:tc>
        <w:tc>
          <w:tcPr>
            <w:tcW w:w="1971"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ind w:firstLine="420" w:firstLineChars="200"/>
              <w:jc w:val="center"/>
              <w:textAlignment w:val="auto"/>
              <w:rPr>
                <w:rFonts w:hint="eastAsia" w:asciiTheme="minorEastAsia" w:hAnsiTheme="minorEastAsia" w:eastAsiaTheme="minorEastAsia" w:cstheme="minorEastAsia"/>
                <w:sz w:val="21"/>
                <w:szCs w:val="21"/>
              </w:rPr>
            </w:pPr>
          </w:p>
        </w:tc>
        <w:tc>
          <w:tcPr>
            <w:tcW w:w="1957"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ind w:firstLine="420" w:firstLineChars="200"/>
              <w:jc w:val="center"/>
              <w:textAlignment w:val="auto"/>
              <w:rPr>
                <w:rFonts w:hint="eastAsia" w:asciiTheme="minorEastAsia" w:hAnsiTheme="minorEastAsia" w:eastAsiaTheme="minorEastAsia" w:cstheme="minorEastAsia"/>
                <w:sz w:val="21"/>
                <w:szCs w:val="21"/>
              </w:rPr>
            </w:pPr>
            <w:bookmarkStart w:id="0" w:name="_GoBack"/>
            <w:bookmarkEnd w:id="0"/>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64" w:hRule="atLeast"/>
          <w:jc w:val="center"/>
        </w:trPr>
        <w:tc>
          <w:tcPr>
            <w:tcW w:w="341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3、专项资金（每个专项一行）</w:t>
            </w:r>
          </w:p>
        </w:tc>
        <w:tc>
          <w:tcPr>
            <w:tcW w:w="1930" w:type="dxa"/>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ind w:firstLine="420" w:firstLineChars="200"/>
              <w:jc w:val="center"/>
              <w:textAlignment w:val="auto"/>
              <w:rPr>
                <w:rFonts w:hint="eastAsia" w:asciiTheme="minorEastAsia" w:hAnsiTheme="minorEastAsia" w:eastAsiaTheme="minorEastAsia" w:cstheme="minorEastAsia"/>
                <w:sz w:val="21"/>
                <w:szCs w:val="21"/>
              </w:rPr>
            </w:pPr>
          </w:p>
        </w:tc>
        <w:tc>
          <w:tcPr>
            <w:tcW w:w="1971"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ind w:firstLine="420" w:firstLineChars="200"/>
              <w:jc w:val="center"/>
              <w:textAlignment w:val="auto"/>
              <w:rPr>
                <w:rFonts w:hint="eastAsia" w:asciiTheme="minorEastAsia" w:hAnsiTheme="minorEastAsia" w:eastAsiaTheme="minorEastAsia" w:cstheme="minorEastAsia"/>
                <w:sz w:val="21"/>
                <w:szCs w:val="21"/>
              </w:rPr>
            </w:pPr>
          </w:p>
        </w:tc>
        <w:tc>
          <w:tcPr>
            <w:tcW w:w="1957"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ind w:firstLine="420" w:firstLineChars="200"/>
              <w:jc w:val="center"/>
              <w:textAlignment w:val="auto"/>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64" w:hRule="atLeast"/>
          <w:jc w:val="center"/>
        </w:trPr>
        <w:tc>
          <w:tcPr>
            <w:tcW w:w="3419"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858" w:firstLineChars="409"/>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930" w:type="dxa"/>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1"/>
                <w:szCs w:val="21"/>
              </w:rPr>
            </w:pPr>
          </w:p>
        </w:tc>
        <w:tc>
          <w:tcPr>
            <w:tcW w:w="1971"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1"/>
                <w:szCs w:val="21"/>
              </w:rPr>
            </w:pPr>
          </w:p>
        </w:tc>
        <w:tc>
          <w:tcPr>
            <w:tcW w:w="1957"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64" w:hRule="atLeast"/>
          <w:jc w:val="center"/>
        </w:trPr>
        <w:tc>
          <w:tcPr>
            <w:tcW w:w="3419"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858" w:firstLineChars="409"/>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930" w:type="dxa"/>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1"/>
                <w:szCs w:val="21"/>
              </w:rPr>
            </w:pPr>
          </w:p>
        </w:tc>
        <w:tc>
          <w:tcPr>
            <w:tcW w:w="1971"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1"/>
                <w:szCs w:val="21"/>
              </w:rPr>
            </w:pPr>
          </w:p>
        </w:tc>
        <w:tc>
          <w:tcPr>
            <w:tcW w:w="1957"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64" w:hRule="atLeast"/>
          <w:jc w:val="center"/>
        </w:trPr>
        <w:tc>
          <w:tcPr>
            <w:tcW w:w="341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公用经费</w:t>
            </w:r>
          </w:p>
        </w:tc>
        <w:tc>
          <w:tcPr>
            <w:tcW w:w="1930" w:type="dxa"/>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188.64</w:t>
            </w:r>
          </w:p>
        </w:tc>
        <w:tc>
          <w:tcPr>
            <w:tcW w:w="1971"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149.2</w:t>
            </w:r>
          </w:p>
        </w:tc>
        <w:tc>
          <w:tcPr>
            <w:tcW w:w="1957"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149.2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64" w:hRule="atLeast"/>
          <w:jc w:val="center"/>
        </w:trPr>
        <w:tc>
          <w:tcPr>
            <w:tcW w:w="341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840" w:firstLineChars="4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其中：办公经费</w:t>
            </w:r>
          </w:p>
        </w:tc>
        <w:tc>
          <w:tcPr>
            <w:tcW w:w="1930" w:type="dxa"/>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5.21</w:t>
            </w:r>
          </w:p>
        </w:tc>
        <w:tc>
          <w:tcPr>
            <w:tcW w:w="1971"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5.21</w:t>
            </w:r>
          </w:p>
        </w:tc>
        <w:tc>
          <w:tcPr>
            <w:tcW w:w="1957"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5.21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64" w:hRule="atLeast"/>
          <w:jc w:val="center"/>
        </w:trPr>
        <w:tc>
          <w:tcPr>
            <w:tcW w:w="3419"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1478" w:firstLineChars="704"/>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水费、电费、差旅费</w:t>
            </w:r>
          </w:p>
        </w:tc>
        <w:tc>
          <w:tcPr>
            <w:tcW w:w="1930" w:type="dxa"/>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8.72</w:t>
            </w:r>
          </w:p>
        </w:tc>
        <w:tc>
          <w:tcPr>
            <w:tcW w:w="1971"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8.67</w:t>
            </w:r>
          </w:p>
        </w:tc>
        <w:tc>
          <w:tcPr>
            <w:tcW w:w="1957"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8.67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64" w:hRule="atLeast"/>
          <w:jc w:val="center"/>
        </w:trPr>
        <w:tc>
          <w:tcPr>
            <w:tcW w:w="3419"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1478" w:firstLineChars="704"/>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会议费、培训费</w:t>
            </w:r>
          </w:p>
        </w:tc>
        <w:tc>
          <w:tcPr>
            <w:tcW w:w="1930" w:type="dxa"/>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16.33</w:t>
            </w:r>
          </w:p>
        </w:tc>
        <w:tc>
          <w:tcPr>
            <w:tcW w:w="1971"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18.33</w:t>
            </w:r>
          </w:p>
        </w:tc>
        <w:tc>
          <w:tcPr>
            <w:tcW w:w="1957"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18.33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64" w:hRule="atLeast"/>
          <w:jc w:val="center"/>
        </w:trPr>
        <w:tc>
          <w:tcPr>
            <w:tcW w:w="341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政府采购金额</w:t>
            </w:r>
          </w:p>
        </w:tc>
        <w:tc>
          <w:tcPr>
            <w:tcW w:w="1930" w:type="dxa"/>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971"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67.4</w:t>
            </w:r>
          </w:p>
        </w:tc>
        <w:tc>
          <w:tcPr>
            <w:tcW w:w="1957"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67.4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64" w:hRule="atLeast"/>
          <w:jc w:val="center"/>
        </w:trPr>
        <w:tc>
          <w:tcPr>
            <w:tcW w:w="341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部门基本支出预算调整</w:t>
            </w:r>
          </w:p>
        </w:tc>
        <w:tc>
          <w:tcPr>
            <w:tcW w:w="1930" w:type="dxa"/>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971"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314.46</w:t>
            </w:r>
          </w:p>
        </w:tc>
        <w:tc>
          <w:tcPr>
            <w:tcW w:w="1957"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402.83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708" w:hRule="atLeast"/>
          <w:jc w:val="center"/>
        </w:trPr>
        <w:tc>
          <w:tcPr>
            <w:tcW w:w="3419"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楼堂馆所控制情况</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（2023年完工项目）</w:t>
            </w:r>
          </w:p>
        </w:tc>
        <w:tc>
          <w:tcPr>
            <w:tcW w:w="96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批复规模</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96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实际规模（㎡）</w:t>
            </w:r>
          </w:p>
        </w:tc>
        <w:tc>
          <w:tcPr>
            <w:tcW w:w="986"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规模</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控制率</w:t>
            </w:r>
          </w:p>
        </w:tc>
        <w:tc>
          <w:tcPr>
            <w:tcW w:w="986"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预算投资</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（万元）</w:t>
            </w:r>
          </w:p>
        </w:tc>
        <w:tc>
          <w:tcPr>
            <w:tcW w:w="978"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实际投资</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（万元）</w:t>
            </w:r>
          </w:p>
        </w:tc>
        <w:tc>
          <w:tcPr>
            <w:tcW w:w="97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投资概算控制率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64" w:hRule="atLeast"/>
          <w:jc w:val="center"/>
        </w:trPr>
        <w:tc>
          <w:tcPr>
            <w:tcW w:w="3419"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heme="minorEastAsia" w:hAnsiTheme="minorEastAsia" w:eastAsiaTheme="minorEastAsia" w:cstheme="minorEastAsia"/>
                <w:sz w:val="21"/>
                <w:szCs w:val="21"/>
              </w:rPr>
            </w:pPr>
          </w:p>
        </w:tc>
        <w:tc>
          <w:tcPr>
            <w:tcW w:w="96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1"/>
                <w:szCs w:val="21"/>
              </w:rPr>
            </w:pPr>
          </w:p>
        </w:tc>
        <w:tc>
          <w:tcPr>
            <w:tcW w:w="96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1"/>
                <w:szCs w:val="21"/>
              </w:rPr>
            </w:pPr>
          </w:p>
        </w:tc>
        <w:tc>
          <w:tcPr>
            <w:tcW w:w="986"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1"/>
                <w:szCs w:val="21"/>
              </w:rPr>
            </w:pPr>
          </w:p>
        </w:tc>
        <w:tc>
          <w:tcPr>
            <w:tcW w:w="986"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1"/>
                <w:szCs w:val="21"/>
              </w:rPr>
            </w:pPr>
          </w:p>
        </w:tc>
        <w:tc>
          <w:tcPr>
            <w:tcW w:w="978"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1"/>
                <w:szCs w:val="21"/>
              </w:rPr>
            </w:pPr>
          </w:p>
        </w:tc>
        <w:tc>
          <w:tcPr>
            <w:tcW w:w="97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70" w:hRule="atLeast"/>
          <w:jc w:val="center"/>
        </w:trPr>
        <w:tc>
          <w:tcPr>
            <w:tcW w:w="341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厉行节约保障措施</w:t>
            </w:r>
          </w:p>
        </w:tc>
        <w:tc>
          <w:tcPr>
            <w:tcW w:w="5858" w:type="dxa"/>
            <w:gridSpan w:val="7"/>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1"/>
                <w:szCs w:val="21"/>
              </w:rPr>
            </w:pPr>
          </w:p>
        </w:tc>
      </w:tr>
    </w:tbl>
    <w:p>
      <w:pPr>
        <w:rPr>
          <w:rFonts w:hint="eastAsia"/>
          <w:lang w:eastAsia="zh-CN"/>
        </w:rPr>
      </w:pPr>
      <w:r>
        <w:rPr>
          <w:rFonts w:hint="eastAsia"/>
        </w:rPr>
        <w:t>说明：“项目支出” 需要填报基本支出以外的所有项目支出情况，“公用经费”填报基本支出</w:t>
      </w:r>
      <w:r>
        <w:rPr>
          <w:rFonts w:hint="eastAsia"/>
          <w:lang w:eastAsia="zh-CN"/>
        </w:rPr>
        <w:t>中的一般商品和服务支出。</w:t>
      </w:r>
    </w:p>
    <w:p>
      <w:pPr>
        <w:pStyle w:val="2"/>
        <w:rPr>
          <w:rFonts w:hint="default"/>
          <w:lang w:val="en-US"/>
        </w:rPr>
      </w:pPr>
    </w:p>
    <w:p>
      <w:pPr>
        <w:rPr>
          <w:rFonts w:hint="default" w:eastAsia="宋体"/>
          <w:lang w:val="en-US" w:eastAsia="zh-CN"/>
        </w:rPr>
      </w:pPr>
      <w:r>
        <w:rPr>
          <w:rFonts w:hint="eastAsia"/>
        </w:rPr>
        <w:t>填表人：</w:t>
      </w:r>
      <w:r>
        <w:rPr>
          <w:rFonts w:hint="eastAsia"/>
          <w:lang w:val="en-US" w:eastAsia="zh-CN"/>
        </w:rPr>
        <w:t xml:space="preserve">唐孟朗 </w:t>
      </w:r>
      <w:r>
        <w:rPr>
          <w:rFonts w:hint="eastAsia"/>
        </w:rPr>
        <w:t>填报日期：</w:t>
      </w:r>
      <w:r>
        <w:rPr>
          <w:rFonts w:hint="eastAsia"/>
          <w:lang w:val="en-US" w:eastAsia="zh-CN"/>
        </w:rPr>
        <w:t xml:space="preserve">2024.5.28 </w:t>
      </w:r>
      <w:r>
        <w:rPr>
          <w:rFonts w:hint="eastAsia"/>
        </w:rPr>
        <w:t>联系电话：</w:t>
      </w:r>
      <w:r>
        <w:rPr>
          <w:rFonts w:hint="eastAsia"/>
          <w:lang w:val="en-US" w:eastAsia="zh-CN"/>
        </w:rPr>
        <w:t>15700825699</w:t>
      </w:r>
      <w:r>
        <w:rPr>
          <w:rFonts w:hint="eastAsia"/>
        </w:rPr>
        <w:t>单位负责人签字：</w:t>
      </w:r>
      <w:r>
        <w:rPr>
          <w:rFonts w:hint="eastAsia"/>
          <w:lang w:val="en-US" w:eastAsia="zh-CN"/>
        </w:rPr>
        <w:t>王立群</w:t>
      </w:r>
    </w:p>
    <w:p>
      <w:pPr>
        <w:rPr>
          <w:spacing w:val="-13"/>
          <w:sz w:val="22"/>
          <w:szCs w:val="22"/>
        </w:rPr>
      </w:pPr>
      <w:r>
        <w:rPr>
          <w:spacing w:val="-13"/>
          <w:sz w:val="22"/>
          <w:szCs w:val="22"/>
        </w:rPr>
        <w:br w:type="page"/>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default"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rPr>
        <w:t>附件</w:t>
      </w:r>
      <w:r>
        <w:rPr>
          <w:rFonts w:hint="eastAsia" w:ascii="仿宋_GB2312" w:hAnsi="仿宋_GB2312" w:eastAsia="仿宋_GB2312" w:cs="仿宋_GB2312"/>
          <w:spacing w:val="-4"/>
          <w:sz w:val="32"/>
          <w:szCs w:val="32"/>
          <w:lang w:val="en-US" w:eastAsia="zh-CN"/>
        </w:rPr>
        <w:t>3</w:t>
      </w:r>
    </w:p>
    <w:p>
      <w:pPr>
        <w:spacing w:line="251" w:lineRule="auto"/>
        <w:rPr>
          <w:rFonts w:ascii="Arial"/>
          <w:sz w:val="21"/>
        </w:rPr>
      </w:pPr>
    </w:p>
    <w:p>
      <w:pPr>
        <w:spacing w:line="251" w:lineRule="auto"/>
        <w:rPr>
          <w:rFonts w:ascii="Arial"/>
          <w:sz w:val="21"/>
        </w:rPr>
      </w:pPr>
    </w:p>
    <w:p>
      <w:pPr>
        <w:rPr>
          <w:rFonts w:ascii="Arial"/>
          <w:sz w:val="21"/>
        </w:rPr>
      </w:pPr>
    </w:p>
    <w:p>
      <w:pPr>
        <w:pStyle w:val="2"/>
      </w:pPr>
    </w:p>
    <w:p/>
    <w:p>
      <w:pPr>
        <w:spacing w:before="223" w:line="218" w:lineRule="auto"/>
        <w:ind w:left="1384"/>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pacing w:val="-1"/>
          <w:sz w:val="52"/>
          <w:szCs w:val="52"/>
        </w:rPr>
        <w:t>2023年度</w:t>
      </w:r>
      <w:r>
        <w:rPr>
          <w:rFonts w:hint="eastAsia" w:ascii="方正小标宋简体" w:hAnsi="方正小标宋简体" w:eastAsia="方正小标宋简体" w:cs="方正小标宋简体"/>
          <w:spacing w:val="-1"/>
          <w:sz w:val="52"/>
          <w:szCs w:val="52"/>
          <w:lang w:val="en-US" w:eastAsia="zh-CN"/>
        </w:rPr>
        <w:t>中共华容县委统战部</w:t>
      </w:r>
      <w:r>
        <w:rPr>
          <w:rFonts w:hint="eastAsia" w:ascii="方正小标宋简体" w:hAnsi="方正小标宋简体" w:eastAsia="方正小标宋简体" w:cs="方正小标宋简体"/>
          <w:spacing w:val="-1"/>
          <w:sz w:val="52"/>
          <w:szCs w:val="52"/>
        </w:rPr>
        <w:t>整体支出</w:t>
      </w:r>
      <w:r>
        <w:rPr>
          <w:rFonts w:hint="eastAsia" w:ascii="方正小标宋简体" w:hAnsi="方正小标宋简体" w:eastAsia="方正小标宋简体" w:cs="方正小标宋简体"/>
          <w:spacing w:val="-3"/>
          <w:sz w:val="52"/>
          <w:szCs w:val="52"/>
        </w:rPr>
        <w:t>绩效自评报告</w:t>
      </w:r>
    </w:p>
    <w:p>
      <w:pPr>
        <w:spacing w:line="243" w:lineRule="auto"/>
        <w:jc w:val="center"/>
        <w:rPr>
          <w:rFonts w:ascii="Arial"/>
          <w:sz w:val="21"/>
        </w:rPr>
      </w:pPr>
    </w:p>
    <w:p>
      <w:pPr>
        <w:spacing w:line="243" w:lineRule="auto"/>
        <w:jc w:val="center"/>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pStyle w:val="2"/>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4" w:lineRule="auto"/>
        <w:rPr>
          <w:rFonts w:ascii="Arial"/>
          <w:sz w:val="21"/>
        </w:rPr>
      </w:pPr>
    </w:p>
    <w:p>
      <w:pPr>
        <w:spacing w:line="244" w:lineRule="auto"/>
        <w:rPr>
          <w:rFonts w:ascii="Arial"/>
          <w:sz w:val="21"/>
        </w:rPr>
      </w:pPr>
    </w:p>
    <w:p>
      <w:pPr>
        <w:pStyle w:val="4"/>
        <w:keepNext w:val="0"/>
        <w:keepLines w:val="0"/>
        <w:pageBreakBefore w:val="0"/>
        <w:widowControl w:val="0"/>
        <w:kinsoku/>
        <w:wordWrap/>
        <w:overflowPunct/>
        <w:topLinePunct w:val="0"/>
        <w:autoSpaceDE/>
        <w:autoSpaceDN/>
        <w:bidi w:val="0"/>
        <w:adjustRightInd/>
        <w:snapToGrid/>
        <w:spacing w:before="100" w:line="221" w:lineRule="auto"/>
        <w:ind w:firstLine="60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10"/>
          <w:sz w:val="32"/>
          <w:szCs w:val="32"/>
        </w:rPr>
        <w:t>部门（单位）名称</w:t>
      </w:r>
      <w:r>
        <w:rPr>
          <w:rFonts w:hint="eastAsia" w:ascii="仿宋_GB2312" w:hAnsi="仿宋_GB2312" w:eastAsia="仿宋_GB2312" w:cs="仿宋_GB2312"/>
          <w:spacing w:val="4"/>
          <w:sz w:val="32"/>
          <w:szCs w:val="32"/>
        </w:rPr>
        <w:t>：</w:t>
      </w:r>
      <w:r>
        <w:rPr>
          <w:rFonts w:hint="eastAsia" w:ascii="仿宋_GB2312" w:hAnsi="仿宋_GB2312" w:eastAsia="仿宋_GB2312" w:cs="仿宋_GB2312"/>
          <w:spacing w:val="4"/>
          <w:sz w:val="32"/>
          <w:szCs w:val="32"/>
          <w:u w:val="single" w:color="auto"/>
          <w:lang w:val="en-US" w:eastAsia="zh-CN"/>
        </w:rPr>
        <w:t>(</w:t>
      </w:r>
      <w:r>
        <w:rPr>
          <w:rFonts w:hint="eastAsia" w:ascii="仿宋_GB2312" w:hAnsi="仿宋_GB2312" w:eastAsia="仿宋_GB2312" w:cs="仿宋_GB2312"/>
          <w:spacing w:val="-118"/>
          <w:sz w:val="32"/>
          <w:szCs w:val="32"/>
          <w:u w:val="single" w:color="auto"/>
        </w:rPr>
        <w:t xml:space="preserve"> </w:t>
      </w:r>
      <w:r>
        <w:rPr>
          <w:rFonts w:hint="eastAsia" w:ascii="仿宋_GB2312" w:hAnsi="仿宋_GB2312" w:eastAsia="仿宋_GB2312" w:cs="仿宋_GB2312"/>
          <w:spacing w:val="-75"/>
          <w:sz w:val="32"/>
          <w:szCs w:val="32"/>
          <w:u w:val="single" w:color="auto"/>
        </w:rPr>
        <w:t xml:space="preserve"> </w:t>
      </w:r>
      <w:r>
        <w:rPr>
          <w:rFonts w:hint="eastAsia" w:ascii="仿宋_GB2312" w:hAnsi="仿宋_GB2312" w:eastAsia="仿宋_GB2312" w:cs="仿宋_GB2312"/>
          <w:spacing w:val="-10"/>
          <w:sz w:val="32"/>
          <w:szCs w:val="32"/>
          <w:u w:val="single" w:color="auto"/>
        </w:rPr>
        <w:t>盖章）</w:t>
      </w:r>
      <w:r>
        <w:rPr>
          <w:rFonts w:hint="eastAsia" w:ascii="仿宋_GB2312" w:hAnsi="仿宋_GB2312" w:eastAsia="仿宋_GB2312" w:cs="仿宋_GB2312"/>
          <w:sz w:val="32"/>
          <w:szCs w:val="32"/>
          <w:u w:val="single" w:color="auto"/>
        </w:rPr>
        <w:t xml:space="preserve">       </w:t>
      </w:r>
      <w:r>
        <w:rPr>
          <w:rFonts w:hint="eastAsia" w:ascii="仿宋_GB2312" w:hAnsi="仿宋_GB2312" w:eastAsia="仿宋_GB2312" w:cs="仿宋_GB2312"/>
          <w:sz w:val="32"/>
          <w:szCs w:val="32"/>
          <w:u w:val="single" w:color="auto"/>
          <w:lang w:val="en-US" w:eastAsia="zh-CN"/>
        </w:rPr>
        <w:t xml:space="preserve">     </w:t>
      </w:r>
      <w:r>
        <w:rPr>
          <w:rFonts w:hint="eastAsia" w:ascii="仿宋_GB2312" w:hAnsi="仿宋_GB2312" w:eastAsia="仿宋_GB2312" w:cs="仿宋_GB2312"/>
          <w:sz w:val="32"/>
          <w:szCs w:val="32"/>
          <w:u w:val="single" w:color="auto"/>
        </w:rPr>
        <w:t xml:space="preserve">  </w:t>
      </w:r>
    </w:p>
    <w:p>
      <w:pPr>
        <w:spacing w:before="228" w:line="222" w:lineRule="auto"/>
        <w:jc w:val="center"/>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pacing w:val="-8"/>
          <w:sz w:val="32"/>
          <w:szCs w:val="32"/>
          <w:lang w:val="en-US" w:eastAsia="zh-CN"/>
        </w:rPr>
        <w:t>2024</w:t>
      </w:r>
      <w:r>
        <w:rPr>
          <w:rFonts w:hint="eastAsia" w:asciiTheme="minorEastAsia" w:hAnsiTheme="minorEastAsia" w:eastAsiaTheme="minorEastAsia" w:cstheme="minorEastAsia"/>
          <w:spacing w:val="-8"/>
          <w:sz w:val="32"/>
          <w:szCs w:val="32"/>
        </w:rPr>
        <w:t>年</w:t>
      </w:r>
      <w:r>
        <w:rPr>
          <w:rFonts w:hint="eastAsia" w:asciiTheme="minorEastAsia" w:hAnsiTheme="minorEastAsia" w:eastAsiaTheme="minorEastAsia" w:cstheme="minorEastAsia"/>
          <w:spacing w:val="21"/>
          <w:sz w:val="32"/>
          <w:szCs w:val="32"/>
        </w:rPr>
        <w:t xml:space="preserve"> </w:t>
      </w:r>
      <w:r>
        <w:rPr>
          <w:rFonts w:hint="eastAsia" w:asciiTheme="minorEastAsia" w:hAnsiTheme="minorEastAsia" w:eastAsiaTheme="minorEastAsia" w:cstheme="minorEastAsia"/>
          <w:spacing w:val="21"/>
          <w:sz w:val="32"/>
          <w:szCs w:val="32"/>
          <w:lang w:val="en-US" w:eastAsia="zh-CN"/>
        </w:rPr>
        <w:t>05</w:t>
      </w:r>
      <w:r>
        <w:rPr>
          <w:rFonts w:hint="eastAsia" w:asciiTheme="minorEastAsia" w:hAnsiTheme="minorEastAsia" w:eastAsiaTheme="minorEastAsia" w:cstheme="minorEastAsia"/>
          <w:spacing w:val="21"/>
          <w:sz w:val="32"/>
          <w:szCs w:val="32"/>
        </w:rPr>
        <w:t xml:space="preserve"> </w:t>
      </w:r>
      <w:r>
        <w:rPr>
          <w:rFonts w:hint="eastAsia" w:asciiTheme="minorEastAsia" w:hAnsiTheme="minorEastAsia" w:eastAsiaTheme="minorEastAsia" w:cstheme="minorEastAsia"/>
          <w:spacing w:val="-8"/>
          <w:sz w:val="32"/>
          <w:szCs w:val="32"/>
        </w:rPr>
        <w:t>月</w:t>
      </w:r>
      <w:r>
        <w:rPr>
          <w:rFonts w:hint="eastAsia" w:asciiTheme="minorEastAsia" w:hAnsiTheme="minorEastAsia" w:eastAsiaTheme="minorEastAsia" w:cstheme="minorEastAsia"/>
          <w:spacing w:val="43"/>
          <w:sz w:val="32"/>
          <w:szCs w:val="32"/>
        </w:rPr>
        <w:t xml:space="preserve"> </w:t>
      </w:r>
      <w:r>
        <w:rPr>
          <w:rFonts w:hint="eastAsia" w:asciiTheme="minorEastAsia" w:hAnsiTheme="minorEastAsia" w:eastAsiaTheme="minorEastAsia" w:cstheme="minorEastAsia"/>
          <w:spacing w:val="43"/>
          <w:sz w:val="32"/>
          <w:szCs w:val="32"/>
          <w:lang w:val="en-US" w:eastAsia="zh-CN"/>
        </w:rPr>
        <w:t>28</w:t>
      </w:r>
      <w:r>
        <w:rPr>
          <w:rFonts w:hint="eastAsia" w:asciiTheme="minorEastAsia" w:hAnsiTheme="minorEastAsia" w:eastAsiaTheme="minorEastAsia" w:cstheme="minorEastAsia"/>
          <w:spacing w:val="43"/>
          <w:sz w:val="32"/>
          <w:szCs w:val="32"/>
        </w:rPr>
        <w:t xml:space="preserve"> </w:t>
      </w:r>
      <w:r>
        <w:rPr>
          <w:rFonts w:hint="eastAsia" w:asciiTheme="minorEastAsia" w:hAnsiTheme="minorEastAsia" w:eastAsiaTheme="minorEastAsia" w:cstheme="minorEastAsia"/>
          <w:spacing w:val="-8"/>
          <w:sz w:val="32"/>
          <w:szCs w:val="32"/>
        </w:rPr>
        <w:t>日</w:t>
      </w:r>
    </w:p>
    <w:p>
      <w:pPr>
        <w:spacing w:line="335" w:lineRule="auto"/>
        <w:rPr>
          <w:rFonts w:hint="eastAsia" w:ascii="仿宋_GB2312" w:hAnsi="仿宋_GB2312" w:eastAsia="仿宋_GB2312" w:cs="仿宋_GB2312"/>
          <w:sz w:val="32"/>
          <w:szCs w:val="32"/>
        </w:rPr>
      </w:pPr>
    </w:p>
    <w:p>
      <w:r>
        <w:br w:type="page"/>
      </w: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580" w:lineRule="exact"/>
        <w:ind w:left="0" w:firstLine="0" w:firstLineChars="0"/>
        <w:jc w:val="center"/>
        <w:textAlignment w:val="auto"/>
        <w:rPr>
          <w:rFonts w:hint="eastAsia" w:ascii="方正小标宋简体" w:hAnsi="方正小标宋简体" w:eastAsia="方正小标宋简体" w:cs="方正小标宋简体"/>
          <w:spacing w:val="-1"/>
          <w:sz w:val="52"/>
          <w:szCs w:val="52"/>
          <w:lang w:val="en-US" w:eastAsia="zh-CN"/>
        </w:rPr>
      </w:pPr>
      <w:r>
        <w:rPr>
          <w:rFonts w:hint="eastAsia" w:ascii="方正小标宋简体" w:hAnsi="方正小标宋简体" w:eastAsia="方正小标宋简体" w:cs="方正小标宋简体"/>
          <w:spacing w:val="6"/>
          <w:sz w:val="44"/>
          <w:szCs w:val="44"/>
        </w:rPr>
        <w:t>2023年度</w:t>
      </w:r>
      <w:r>
        <w:rPr>
          <w:rFonts w:hint="eastAsia" w:ascii="方正小标宋简体" w:hAnsi="方正小标宋简体" w:eastAsia="方正小标宋简体" w:cs="方正小标宋简体"/>
          <w:spacing w:val="-1"/>
          <w:sz w:val="52"/>
          <w:szCs w:val="52"/>
          <w:lang w:val="en-US" w:eastAsia="zh-CN"/>
        </w:rPr>
        <w:t>中共华容县委统战部</w:t>
      </w:r>
    </w:p>
    <w:p>
      <w:pPr>
        <w:keepNext w:val="0"/>
        <w:keepLines w:val="0"/>
        <w:pageBreakBefore w:val="0"/>
        <w:widowControl w:val="0"/>
        <w:kinsoku/>
        <w:wordWrap/>
        <w:overflowPunct/>
        <w:topLinePunct w:val="0"/>
        <w:autoSpaceDE/>
        <w:autoSpaceDN/>
        <w:bidi w:val="0"/>
        <w:adjustRightInd/>
        <w:snapToGrid/>
        <w:spacing w:line="580" w:lineRule="exact"/>
        <w:ind w:left="0" w:firstLine="0" w:firstLineChars="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pacing w:val="6"/>
          <w:sz w:val="44"/>
          <w:szCs w:val="44"/>
        </w:rPr>
        <w:t>整体支出</w:t>
      </w:r>
      <w:r>
        <w:rPr>
          <w:rFonts w:hint="eastAsia" w:ascii="方正小标宋简体" w:hAnsi="方正小标宋简体" w:eastAsia="方正小标宋简体" w:cs="方正小标宋简体"/>
          <w:spacing w:val="7"/>
          <w:sz w:val="44"/>
          <w:szCs w:val="44"/>
        </w:rPr>
        <w:t>绩效自评报告</w:t>
      </w:r>
    </w:p>
    <w:p>
      <w:pPr>
        <w:spacing w:line="283" w:lineRule="auto"/>
        <w:rPr>
          <w:rFonts w:ascii="Arial"/>
          <w:sz w:val="21"/>
        </w:rPr>
      </w:pPr>
    </w:p>
    <w:p>
      <w:pPr>
        <w:spacing w:line="284" w:lineRule="auto"/>
        <w:rPr>
          <w:rFonts w:ascii="Arial"/>
          <w:sz w:val="21"/>
        </w:rPr>
      </w:pPr>
    </w:p>
    <w:p>
      <w:pPr>
        <w:pStyle w:val="2"/>
      </w:pPr>
    </w:p>
    <w:p>
      <w:pPr>
        <w:numPr>
          <w:ilvl w:val="0"/>
          <w:numId w:val="1"/>
        </w:numPr>
        <w:spacing w:before="101" w:line="228" w:lineRule="auto"/>
        <w:ind w:left="648"/>
        <w:rPr>
          <w:rFonts w:hint="eastAsia" w:ascii="黑体" w:hAnsi="黑体" w:eastAsia="黑体" w:cs="黑体"/>
          <w:spacing w:val="5"/>
          <w:sz w:val="32"/>
          <w:szCs w:val="32"/>
        </w:rPr>
      </w:pPr>
      <w:r>
        <w:rPr>
          <w:rFonts w:hint="eastAsia" w:ascii="黑体" w:hAnsi="黑体" w:eastAsia="黑体" w:cs="黑体"/>
          <w:spacing w:val="5"/>
          <w:sz w:val="32"/>
          <w:szCs w:val="32"/>
        </w:rPr>
        <w:t>部门基本情况</w:t>
      </w:r>
    </w:p>
    <w:p>
      <w:pPr>
        <w:spacing w:line="560" w:lineRule="exact"/>
        <w:ind w:firstLine="560" w:firstLineChars="200"/>
        <w:rPr>
          <w:rFonts w:hint="eastAsia" w:asciiTheme="minorEastAsia" w:hAnsiTheme="minorEastAsia" w:eastAsiaTheme="minorEastAsia" w:cstheme="minorEastAsia"/>
          <w:bCs/>
          <w:sz w:val="28"/>
          <w:szCs w:val="28"/>
          <w:lang w:val="en-US" w:eastAsia="zh-CN"/>
        </w:rPr>
      </w:pPr>
      <w:r>
        <w:rPr>
          <w:rFonts w:hint="eastAsia" w:asciiTheme="minorEastAsia" w:hAnsiTheme="minorEastAsia" w:eastAsiaTheme="minorEastAsia" w:cstheme="minorEastAsia"/>
          <w:bCs/>
          <w:sz w:val="28"/>
          <w:szCs w:val="28"/>
          <w:lang w:val="en-US" w:eastAsia="zh-CN"/>
        </w:rPr>
        <w:t>1、人员编制：机关共有人员编制25人（行政编制14名，事业编制11人）。实有人数21人（行政编制15名，事业编制6人），退休人员13人。</w:t>
      </w:r>
    </w:p>
    <w:p>
      <w:pPr>
        <w:spacing w:line="560" w:lineRule="exact"/>
        <w:ind w:firstLine="560" w:firstLineChars="200"/>
        <w:rPr>
          <w:rFonts w:hint="eastAsia" w:asciiTheme="minorEastAsia" w:hAnsiTheme="minorEastAsia" w:eastAsiaTheme="minorEastAsia" w:cstheme="minorEastAsia"/>
          <w:bCs/>
          <w:sz w:val="28"/>
          <w:szCs w:val="28"/>
          <w:lang w:val="en-US" w:eastAsia="zh-CN"/>
        </w:rPr>
      </w:pPr>
      <w:r>
        <w:rPr>
          <w:rFonts w:hint="eastAsia" w:asciiTheme="minorEastAsia" w:hAnsiTheme="minorEastAsia" w:eastAsiaTheme="minorEastAsia" w:cstheme="minorEastAsia"/>
          <w:bCs/>
          <w:sz w:val="28"/>
          <w:szCs w:val="28"/>
          <w:lang w:val="en-US" w:eastAsia="zh-CN"/>
        </w:rPr>
        <w:t>2、机构设置：内设职能办公室7个：办公室、干部室、民族宗教事务室、政策法规室（行政审批室）、非公有制经济工作室、党外知识分子和新的社会阶层人士统战工作室、港澳台侨统战工作室。其他机构2个：县归国华侨联合会（简称县侨联）、县宗教执法队。</w:t>
      </w:r>
    </w:p>
    <w:p>
      <w:pPr>
        <w:spacing w:line="560" w:lineRule="exact"/>
        <w:ind w:firstLine="560" w:firstLineChars="200"/>
        <w:rPr>
          <w:rFonts w:hint="eastAsia"/>
        </w:rPr>
      </w:pPr>
      <w:r>
        <w:rPr>
          <w:rFonts w:hint="eastAsia" w:asciiTheme="minorEastAsia" w:hAnsiTheme="minorEastAsia" w:eastAsiaTheme="minorEastAsia" w:cstheme="minorEastAsia"/>
          <w:bCs/>
          <w:sz w:val="28"/>
          <w:szCs w:val="28"/>
          <w:lang w:val="en-US" w:eastAsia="zh-CN"/>
        </w:rPr>
        <w:t>3、职能职责概述：</w:t>
      </w:r>
      <w:r>
        <w:rPr>
          <w:rFonts w:hint="eastAsia" w:asciiTheme="minorEastAsia" w:hAnsiTheme="minorEastAsia" w:eastAsiaTheme="minorEastAsia" w:cstheme="minorEastAsia"/>
          <w:bCs/>
          <w:sz w:val="28"/>
          <w:szCs w:val="28"/>
        </w:rPr>
        <w:t>贯彻执行贯彻执行党的民族宗教政策，依法履行民族宗教管理；贯彻执行港、澳、台有关方针、政策，宣传贯彻党和国家关于侨务工作的方针、政策和法律、法规，开展以祖国统一为重点的海外统战工作；负责党外人士的政治安排，联系县内外的工商界社团和代表人士，指导县工商联工作；开展新的社会阶层人士统战工作。</w:t>
      </w:r>
    </w:p>
    <w:p>
      <w:pPr>
        <w:spacing w:before="216" w:line="226" w:lineRule="auto"/>
        <w:ind w:left="648"/>
        <w:rPr>
          <w:rFonts w:hint="eastAsia" w:ascii="黑体" w:hAnsi="黑体" w:eastAsia="黑体" w:cs="黑体"/>
          <w:sz w:val="32"/>
          <w:szCs w:val="32"/>
        </w:rPr>
      </w:pPr>
      <w:r>
        <w:rPr>
          <w:rFonts w:hint="eastAsia" w:ascii="黑体" w:hAnsi="黑体" w:eastAsia="黑体" w:cs="黑体"/>
          <w:spacing w:val="-2"/>
          <w:sz w:val="32"/>
          <w:szCs w:val="32"/>
        </w:rPr>
        <w:t>二、一般公共预算支出情况</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（一）基本支出情况</w:t>
      </w:r>
    </w:p>
    <w:p>
      <w:pPr>
        <w:spacing w:line="560" w:lineRule="exact"/>
        <w:ind w:firstLine="560" w:firstLineChars="200"/>
        <w:rPr>
          <w:rFonts w:hint="eastAsia"/>
        </w:rPr>
      </w:pPr>
      <w:r>
        <w:rPr>
          <w:rFonts w:hint="eastAsia" w:asciiTheme="minorEastAsia" w:hAnsiTheme="minorEastAsia" w:eastAsiaTheme="minorEastAsia" w:cstheme="minorEastAsia"/>
          <w:color w:val="000000"/>
          <w:sz w:val="28"/>
          <w:szCs w:val="28"/>
          <w:lang w:val="en-US" w:eastAsia="zh-CN"/>
        </w:rPr>
        <w:t>本年实现年度收入402.83万元，其中公共财政预算拨款402.83万元，本年度实际支出402.83万元，主要是基本支出402.83万元，其中人员经费支出253.63万元（工资福利支出249.41万元，对个人和家庭的补助4.22万元），公用经费支出149.2万元（商品和服务支出149.2万元）。</w:t>
      </w:r>
    </w:p>
    <w:p>
      <w:pPr>
        <w:keepNext w:val="0"/>
        <w:keepLines w:val="0"/>
        <w:pageBreakBefore w:val="0"/>
        <w:widowControl w:val="0"/>
        <w:numPr>
          <w:ilvl w:val="0"/>
          <w:numId w:val="2"/>
        </w:numPr>
        <w:kinsoku/>
        <w:wordWrap/>
        <w:overflowPunct/>
        <w:topLinePunct w:val="0"/>
        <w:autoSpaceDE/>
        <w:autoSpaceDN/>
        <w:bidi w:val="0"/>
        <w:adjustRightInd/>
        <w:snapToGrid/>
        <w:ind w:left="237" w:leftChars="113"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项目支出情况</w:t>
      </w:r>
    </w:p>
    <w:p>
      <w:pPr>
        <w:pStyle w:val="2"/>
        <w:numPr>
          <w:ilvl w:val="0"/>
          <w:numId w:val="0"/>
        </w:numPr>
        <w:ind w:left="648" w:leftChars="0"/>
        <w:rPr>
          <w:rFonts w:hint="eastAsia" w:asciiTheme="minorEastAsia" w:hAnsiTheme="minorEastAsia" w:eastAsiaTheme="minorEastAsia" w:cstheme="minorEastAsia"/>
          <w:color w:val="000000"/>
          <w:kern w:val="2"/>
          <w:sz w:val="28"/>
          <w:szCs w:val="28"/>
          <w:lang w:val="en-US" w:eastAsia="zh-CN" w:bidi="ar-SA"/>
        </w:rPr>
      </w:pPr>
      <w:r>
        <w:rPr>
          <w:rFonts w:hint="eastAsia" w:asciiTheme="minorEastAsia" w:hAnsiTheme="minorEastAsia" w:eastAsiaTheme="minorEastAsia" w:cstheme="minorEastAsia"/>
          <w:color w:val="000000"/>
          <w:kern w:val="2"/>
          <w:sz w:val="28"/>
          <w:szCs w:val="28"/>
          <w:lang w:val="en-US" w:eastAsia="zh-CN" w:bidi="ar-SA"/>
        </w:rPr>
        <w:t>本单位无项目支出</w:t>
      </w:r>
    </w:p>
    <w:p>
      <w:pPr>
        <w:numPr>
          <w:ilvl w:val="0"/>
          <w:numId w:val="0"/>
        </w:numPr>
        <w:spacing w:before="220" w:line="600" w:lineRule="exact"/>
        <w:ind w:left="648" w:leftChars="0"/>
        <w:rPr>
          <w:rFonts w:hint="eastAsia" w:ascii="黑体" w:hAnsi="黑体" w:eastAsia="黑体" w:cs="黑体"/>
          <w:spacing w:val="9"/>
          <w:position w:val="21"/>
          <w:sz w:val="32"/>
          <w:szCs w:val="32"/>
          <w:lang w:val="en-US" w:eastAsia="zh-CN"/>
        </w:rPr>
      </w:pPr>
      <w:r>
        <w:rPr>
          <w:rFonts w:hint="eastAsia" w:ascii="黑体" w:hAnsi="黑体" w:eastAsia="黑体" w:cs="黑体"/>
          <w:spacing w:val="9"/>
          <w:position w:val="21"/>
          <w:sz w:val="32"/>
          <w:szCs w:val="32"/>
          <w:lang w:val="en-US" w:eastAsia="zh-CN"/>
        </w:rPr>
        <w:t>三、政府性基金预算支出情况</w:t>
      </w:r>
    </w:p>
    <w:p>
      <w:pPr>
        <w:pStyle w:val="2"/>
        <w:numPr>
          <w:ilvl w:val="0"/>
          <w:numId w:val="0"/>
        </w:numPr>
        <w:ind w:left="648" w:leftChars="0"/>
        <w:rPr>
          <w:rFonts w:hint="eastAsia" w:asciiTheme="minorEastAsia" w:hAnsiTheme="minorEastAsia" w:eastAsiaTheme="minorEastAsia" w:cstheme="minorEastAsia"/>
          <w:color w:val="000000"/>
          <w:kern w:val="2"/>
          <w:sz w:val="28"/>
          <w:szCs w:val="28"/>
          <w:lang w:val="en-US" w:eastAsia="zh-CN" w:bidi="ar-SA"/>
        </w:rPr>
      </w:pPr>
      <w:r>
        <w:rPr>
          <w:rFonts w:hint="eastAsia" w:asciiTheme="minorEastAsia" w:hAnsiTheme="minorEastAsia" w:eastAsiaTheme="minorEastAsia" w:cstheme="minorEastAsia"/>
          <w:color w:val="000000"/>
          <w:kern w:val="2"/>
          <w:sz w:val="28"/>
          <w:szCs w:val="28"/>
          <w:lang w:val="en-US" w:eastAsia="zh-CN" w:bidi="ar-SA"/>
        </w:rPr>
        <w:t>本单位无政府性基金预算支出</w:t>
      </w:r>
    </w:p>
    <w:p>
      <w:pPr>
        <w:numPr>
          <w:ilvl w:val="0"/>
          <w:numId w:val="0"/>
        </w:numPr>
        <w:spacing w:before="220" w:line="600" w:lineRule="exact"/>
        <w:ind w:left="648" w:leftChars="0"/>
        <w:rPr>
          <w:rFonts w:hint="eastAsia" w:ascii="黑体" w:hAnsi="黑体" w:eastAsia="黑体" w:cs="黑体"/>
          <w:spacing w:val="9"/>
          <w:position w:val="21"/>
          <w:sz w:val="32"/>
          <w:szCs w:val="32"/>
          <w:lang w:val="en-US" w:eastAsia="zh-CN"/>
        </w:rPr>
      </w:pPr>
      <w:r>
        <w:rPr>
          <w:rFonts w:hint="eastAsia" w:ascii="黑体" w:hAnsi="黑体" w:eastAsia="黑体" w:cs="黑体"/>
          <w:spacing w:val="9"/>
          <w:position w:val="21"/>
          <w:sz w:val="32"/>
          <w:szCs w:val="32"/>
          <w:lang w:val="en-US" w:eastAsia="zh-CN"/>
        </w:rPr>
        <w:t>四、国有资本经营预算支出情况</w:t>
      </w:r>
    </w:p>
    <w:p>
      <w:pPr>
        <w:pStyle w:val="2"/>
        <w:numPr>
          <w:ilvl w:val="0"/>
          <w:numId w:val="0"/>
        </w:numPr>
        <w:ind w:left="648" w:leftChars="0"/>
        <w:rPr>
          <w:rFonts w:hint="eastAsia"/>
        </w:rPr>
      </w:pPr>
      <w:r>
        <w:rPr>
          <w:rFonts w:hint="eastAsia" w:asciiTheme="minorEastAsia" w:hAnsiTheme="minorEastAsia" w:eastAsiaTheme="minorEastAsia" w:cstheme="minorEastAsia"/>
          <w:color w:val="000000"/>
          <w:kern w:val="2"/>
          <w:sz w:val="28"/>
          <w:szCs w:val="28"/>
          <w:lang w:val="en-US" w:eastAsia="zh-CN" w:bidi="ar-SA"/>
        </w:rPr>
        <w:t>本单位无国有资本经营预算支出</w:t>
      </w:r>
    </w:p>
    <w:p>
      <w:pPr>
        <w:numPr>
          <w:ilvl w:val="0"/>
          <w:numId w:val="0"/>
        </w:numPr>
        <w:spacing w:before="220" w:line="600" w:lineRule="exact"/>
        <w:ind w:left="648" w:leftChars="0"/>
        <w:rPr>
          <w:rFonts w:hint="eastAsia" w:ascii="黑体" w:hAnsi="黑体" w:eastAsia="黑体" w:cs="黑体"/>
          <w:spacing w:val="9"/>
          <w:position w:val="21"/>
          <w:sz w:val="32"/>
          <w:szCs w:val="32"/>
        </w:rPr>
      </w:pPr>
      <w:r>
        <w:rPr>
          <w:rFonts w:hint="eastAsia" w:ascii="黑体" w:hAnsi="黑体" w:eastAsia="黑体" w:cs="黑体"/>
          <w:spacing w:val="9"/>
          <w:position w:val="21"/>
          <w:sz w:val="32"/>
          <w:szCs w:val="32"/>
          <w:lang w:val="en-US" w:eastAsia="zh-CN"/>
        </w:rPr>
        <w:t>五、</w:t>
      </w:r>
      <w:r>
        <w:rPr>
          <w:rFonts w:hint="eastAsia" w:ascii="黑体" w:hAnsi="黑体" w:eastAsia="黑体" w:cs="黑体"/>
          <w:spacing w:val="9"/>
          <w:position w:val="21"/>
          <w:sz w:val="32"/>
          <w:szCs w:val="32"/>
        </w:rPr>
        <w:t>社会保险基金预算支出情况</w:t>
      </w:r>
    </w:p>
    <w:p>
      <w:pPr>
        <w:pStyle w:val="2"/>
        <w:numPr>
          <w:ilvl w:val="0"/>
          <w:numId w:val="0"/>
        </w:numPr>
        <w:ind w:left="648" w:leftChars="0"/>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本单位无社会保险基金预算支出</w:t>
      </w:r>
    </w:p>
    <w:p>
      <w:pPr>
        <w:numPr>
          <w:ilvl w:val="0"/>
          <w:numId w:val="3"/>
        </w:numPr>
        <w:spacing w:before="220" w:line="600" w:lineRule="exact"/>
        <w:ind w:left="648" w:leftChars="0" w:firstLine="0" w:firstLineChars="0"/>
        <w:rPr>
          <w:rFonts w:hint="eastAsia" w:ascii="黑体" w:hAnsi="黑体" w:eastAsia="黑体" w:cs="黑体"/>
          <w:spacing w:val="9"/>
          <w:position w:val="21"/>
          <w:sz w:val="32"/>
          <w:szCs w:val="32"/>
        </w:rPr>
      </w:pPr>
      <w:r>
        <w:rPr>
          <w:rFonts w:hint="eastAsia" w:ascii="黑体" w:hAnsi="黑体" w:eastAsia="黑体" w:cs="黑体"/>
          <w:spacing w:val="9"/>
          <w:position w:val="21"/>
          <w:sz w:val="32"/>
          <w:szCs w:val="32"/>
        </w:rPr>
        <w:t>部门整体支出绩效情况</w:t>
      </w:r>
    </w:p>
    <w:p>
      <w:pPr>
        <w:snapToGrid w:val="0"/>
        <w:spacing w:line="520" w:lineRule="exact"/>
        <w:ind w:firstLine="560" w:firstLineChars="200"/>
        <w:rPr>
          <w:rFonts w:hint="eastAsia" w:asciiTheme="minorEastAsia" w:hAnsiTheme="minorEastAsia" w:eastAsiaTheme="minorEastAsia" w:cstheme="minorEastAsia"/>
          <w:sz w:val="28"/>
          <w:szCs w:val="28"/>
          <w:lang w:val="en-US" w:eastAsia="zh-CN" w:bidi="ar-SA"/>
        </w:rPr>
      </w:pPr>
      <w:r>
        <w:rPr>
          <w:rFonts w:hint="eastAsia" w:asciiTheme="minorEastAsia" w:hAnsiTheme="minorEastAsia" w:eastAsiaTheme="minorEastAsia" w:cstheme="minorEastAsia"/>
          <w:sz w:val="28"/>
          <w:szCs w:val="28"/>
          <w:lang w:val="en-US" w:eastAsia="zh-CN" w:bidi="ar-SA"/>
        </w:rPr>
        <w:t>县委出台《关于加强新时代统一战线工作的责任分工》文件，县委统战部工作领导小组印发《坚持我国宗教中国华方向做好新时代党的宗教工作的部门职责》文件。县委书记主持、出席统一战线重要会议、重大活动4次，专题调研宗教工作1次。县委常委会专题研究统战工作3次，县委常委会和县委理论学习中心组织学习统一战线重要文件、会议精神6次。组织开展全县贯彻落实统一战线重要会议、重要文件精神专项督查，交办问题21个，下发整改通知15个。将统战工作纳入县委巡察内容，县委2023年巡察发现并交办涉统战方面问题9个。全年集中开展党的二十大精神宣讲4场次，县委统战部、县工商联、县侨联领导班子成员组织开展微宣讲50多场次。县知联会、县新阶联等统战团体组织开展主题活动或研讨活动7场次。组织党外代表人士赴林州市红旗渠开展“凝心铸魂强根基·团结奋进新征程”暑期谈心。先后举办党外代表人士座谈会次、党外干部座谈会，县委书记与党外代表人士交心谈心。采取集体谈话、个别谈话等形式，与200多名宗教界代表人士谈心谈话。举办“同心跟党走˙奋进新征程”党外干部演讲暨才艺大赛并全程网络直播，第一次全面展示党外干部风采。在侨界群众中开展“侨发宣传凝侨心·向上向美聚侨力”主题活动。组织统战各领域代表人士赴山东曲阜、北京和湖北武汉、三峡等地开展红色教育。在民营经济人士中开展党的二十大精神和中央经济工作会议精神网络培训班，举办民营经济人士理想信念教育专题培训班2期。举办“企业家沙龙”4期，共收集办理落实诉求问题30多个。深入开展“民营企业家家行”“惠企政策、普法税法进企业”等活动，发放惠企口袋书2000余份。先后4批次组织25名民营企业代表赴浙江、深圳等地乡友企业考察学习。先后4批次组织民营经济人士外出学习培训，全年培训学习达到400余人次。积极挖掘宣传推介优秀典型，5名民营企业家获得杰出岳商荣誉。收集建立寓外人才信息库和寓外乡友企业数据库相关信息1000余条。举办2023乡情交流会暨湘商回归项目签约活动，现场签约27个项目，合同引资31.05亿元。聘请35名乡友为华容县智库成员。先后4次组织县招商考察团到北京、深圳、上海、海口等开展招商考察活动，重点做好了汇川技术企业配套产业园专题招商活动对接服务工作，现已成功入驻16家。各乡镇签约“迎老乡、回故乡、建家乡”项目57个，计划投资金额28.72亿元；新增返乡创业主体1170个。乡友捐资捐献，助力乡村振兴、教育助学、扶贫帮困、镇村基础设施改善等达2350万元，县教育基金会获乡友企业1300万元捐赠。加强对接联系，走访慰问重要寓外企业家家属128户。配合民革、民建等民主党派开展6批次民主监督调研活动。督促协调相关部门单位采纳落实各民主党派市委会、市工商联和无党派人士参政议政专题调研成果。抓实特约人员工作，聘请110名党外代表人士担任27个单位特约监督员。结合“走找想促”大调研和“五学两助”主题活动活动，组织统战干部和党外代表人士开展调研，形成调研报告12份。支持配合县人大民侨外委深入14个乡镇开展宗教活动场所专项走访调研，调研成果获县委书记专门批示。在全县范围内开展少数民族基本情况摸底，督促各乡镇建好工作台账。目前全县少数民族居民涉及34共2710人，其中涉新疆籍人员27名，涉及新疆籍店面12家。全县各中小学入开展“中华民族一家亲”主题教育，东山镇、操军镇为民族团结进步市级先进集体。集中一个月时间，在全县范围内广泛开展开展民族进步宣传月活动。对全县27名在华容新疆籍人员和12家涉新疆籍店面进行全面走访，对8名新疆籍小学生开展一对一结对走访。省基督教“全面从严治教，深入推进中国化考评工作”在华容县召开现场会。积极开展“崇俭戒奢”主题活动。端正教风、规范行为，促进宗教健康传承推进我国各宗教中国化走深走实。9月份在全县开展了为期1个月的“铸牢中华民族共同体意识”暨民族宗教领域安全生产和政策法规宣传月活动，累计发放各类宣传资料20000余册、悬挂横幅30条、组织座谈培训和消防演练15场500多人次。按照“一个场所、一套资料、一个方案、一个责任人”原则，深入开展小庙小庵暨宗教活动场所规范化治理专项行动和民间信仰场所编号登记。对177处宗教活动场所和71处民间信仰活动场所的基本情况、活动开展情况、信教群众花名册、教职人员基本信息以场所为单位进行整理核查，已向市民宗局报送民间信仰场所71处，已完成登记颁证15处。开展宗教活动场所消防安全、房屋安全、食品安全等排查督查6次，共排查出18处宗教活动场所安全隐患，目前已整改到位16处，其余2处暂停对外开放（天井山寺、福灵庙）。今年来，共收缴宗教各类非法出版物200余册、涉藏传佛教物品34件，依法治理网上非法传教活动2起，外地来我县传教2起，打击利用微信公众号、QQ群出售宗教非法出版物1起，处置我县海燕市场内龙某组织非法传教活动案1起。着力建强“两支队伍”。成立县民族宗教事务中心和县民营企业和商会服务中心，共选调招考工作人员3名。组织开展统战干部培训班和统战干部政策理论业务考试。常态化开展“统战大讲堂，提升统战干部素质。县政府按照每人每月200元标准落实村（社区）宗教工作信息员津贴。目前全县党外副处职干部5人，其中人大1名，政府1名，县政协3名。正科职干部6人，其中政府部门3人，副科职26人，35岁以下党外后备干部31人。加强党外干部培训班1期，落实党外干部年度履职报告制度，与县委组织部共同举办党外后备干部选拔，推荐3名党外后备干部到高新区等一线工作，新提拔党外干部1人。二是着力建好“两个平台”。县青商会获评全国、全省“四好”商会。完善新阶联实践基地和县知联会党外代表人士工作室建设，已经建立“容城荟”等实践基地2个，丁晓丹等2个党外代表人士工作室。组织港澳台同胞和海外开展侨联谊活动4次。《党建引领、政府搭台、网络唱戏，共同打造新阶联公益助农平台》获评全省网络统战实践创新案例。开展华容籍港澳居民摸底工作，建立侨情资料库。加强与海外团体交流，先后邀请英国湖南同乡会、西澳大利亚湖南商会、肯尼亚湖南商会、阿联酋迪拜湖南商会等海外商务团体主要负责人来我县商务考察。会同县台办联合开展了两岸婚姻家庭的情况收集工作，承办黄埔军校同学会陈胜秘书长召开的黄埔亲属会员发展工作和反“独”促统宣传工作座谈会。全年共走访归侨侨眷158人次，共发放归侨侨眷春节慰问金1.6万元。</w:t>
      </w:r>
    </w:p>
    <w:p>
      <w:pPr>
        <w:numPr>
          <w:ilvl w:val="0"/>
          <w:numId w:val="3"/>
        </w:numPr>
        <w:spacing w:before="220" w:line="600" w:lineRule="exact"/>
        <w:ind w:left="648" w:leftChars="0" w:firstLine="0" w:firstLineChars="0"/>
        <w:rPr>
          <w:rFonts w:hint="eastAsia" w:ascii="黑体" w:hAnsi="黑体" w:eastAsia="黑体" w:cs="黑体"/>
          <w:spacing w:val="9"/>
          <w:position w:val="21"/>
          <w:sz w:val="32"/>
          <w:szCs w:val="32"/>
        </w:rPr>
      </w:pPr>
      <w:r>
        <w:rPr>
          <w:rFonts w:hint="eastAsia" w:ascii="黑体" w:hAnsi="黑体" w:eastAsia="黑体" w:cs="黑体"/>
          <w:spacing w:val="9"/>
          <w:position w:val="21"/>
          <w:sz w:val="32"/>
          <w:szCs w:val="32"/>
        </w:rPr>
        <w:t>存在的问题及原因分析</w:t>
      </w:r>
    </w:p>
    <w:p>
      <w:pPr>
        <w:keepNext w:val="0"/>
        <w:keepLines w:val="0"/>
        <w:pageBreakBefore w:val="0"/>
        <w:widowControl w:val="0"/>
        <w:numPr>
          <w:ilvl w:val="0"/>
          <w:numId w:val="0"/>
        </w:numPr>
        <w:kinsoku/>
        <w:wordWrap/>
        <w:overflowPunct/>
        <w:topLinePunct w:val="0"/>
        <w:autoSpaceDE/>
        <w:autoSpaceDN/>
        <w:bidi w:val="0"/>
        <w:adjustRightInd/>
        <w:snapToGrid/>
        <w:spacing w:before="220" w:line="500" w:lineRule="exact"/>
        <w:ind w:firstLine="560" w:firstLineChars="200"/>
        <w:textAlignment w:val="auto"/>
        <w:rPr>
          <w:rFonts w:hint="eastAsia" w:asciiTheme="minorEastAsia" w:hAnsiTheme="minorEastAsia" w:eastAsiaTheme="minorEastAsia" w:cstheme="minorEastAsia"/>
          <w:color w:val="000000"/>
          <w:sz w:val="32"/>
          <w:szCs w:val="32"/>
          <w:lang w:val="en-US" w:eastAsia="zh-CN"/>
        </w:rPr>
      </w:pPr>
      <w:r>
        <w:rPr>
          <w:rFonts w:hint="eastAsia" w:asciiTheme="minorEastAsia" w:hAnsiTheme="minorEastAsia" w:eastAsiaTheme="minorEastAsia" w:cstheme="minorEastAsia"/>
          <w:color w:val="000000"/>
          <w:sz w:val="28"/>
          <w:szCs w:val="28"/>
          <w:lang w:val="en-US" w:eastAsia="zh-CN"/>
        </w:rPr>
        <w:t>在肯定成绩的同时，我们也清醒地认识到存在的问题和不足。主要是：对统战部理论的学习有待进一步深化，统战作用发挥需要进一步提升，凝聚共识的方式方法有待进一步丰富，统战责任担当需要进一步加强，机关干部的能力作风需要进一步提升等。</w:t>
      </w:r>
    </w:p>
    <w:p>
      <w:pPr>
        <w:pStyle w:val="2"/>
        <w:numPr>
          <w:ilvl w:val="0"/>
          <w:numId w:val="0"/>
        </w:numPr>
        <w:ind w:left="648" w:leftChars="0"/>
        <w:rPr>
          <w:rFonts w:hint="eastAsia"/>
        </w:rPr>
      </w:pPr>
    </w:p>
    <w:p>
      <w:pPr>
        <w:numPr>
          <w:ilvl w:val="0"/>
          <w:numId w:val="0"/>
        </w:numPr>
        <w:spacing w:line="227" w:lineRule="auto"/>
        <w:ind w:left="648" w:leftChars="0"/>
        <w:rPr>
          <w:rFonts w:hint="eastAsia" w:ascii="黑体" w:hAnsi="黑体" w:eastAsia="黑体" w:cs="黑体"/>
          <w:spacing w:val="8"/>
          <w:sz w:val="32"/>
          <w:szCs w:val="32"/>
        </w:rPr>
      </w:pPr>
      <w:r>
        <w:rPr>
          <w:rFonts w:hint="eastAsia" w:ascii="黑体" w:hAnsi="黑体" w:eastAsia="黑体" w:cs="黑体"/>
          <w:spacing w:val="8"/>
          <w:sz w:val="32"/>
          <w:szCs w:val="32"/>
          <w:lang w:val="en-US" w:eastAsia="zh-CN"/>
        </w:rPr>
        <w:t>八、</w:t>
      </w:r>
      <w:r>
        <w:rPr>
          <w:rFonts w:hint="eastAsia" w:ascii="黑体" w:hAnsi="黑体" w:eastAsia="黑体" w:cs="黑体"/>
          <w:spacing w:val="8"/>
          <w:sz w:val="32"/>
          <w:szCs w:val="32"/>
        </w:rPr>
        <w:t>下一步改进措施</w:t>
      </w:r>
    </w:p>
    <w:p>
      <w:pPr>
        <w:pStyle w:val="2"/>
        <w:rPr>
          <w:rFonts w:hint="eastAsia"/>
        </w:rPr>
      </w:pPr>
    </w:p>
    <w:p>
      <w:pPr>
        <w:snapToGrid w:val="0"/>
        <w:spacing w:line="520" w:lineRule="exact"/>
        <w:ind w:firstLine="56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sz w:val="28"/>
          <w:szCs w:val="28"/>
          <w:lang w:bidi="ar-SA"/>
        </w:rPr>
        <w:t>严格贯彻落实《中华人民共和国预算法》，加强预算绩效管理，进一步建立和完善内部控制制度；努力加强业务技能学习，不断提高业务水平和服务能力，严格执行财政纪律和财务管理制度，扎实做好本职工作。</w:t>
      </w:r>
    </w:p>
    <w:p>
      <w:pPr>
        <w:pStyle w:val="2"/>
        <w:numPr>
          <w:ilvl w:val="0"/>
          <w:numId w:val="0"/>
        </w:numPr>
        <w:ind w:left="648" w:leftChars="0"/>
        <w:rPr>
          <w:rFonts w:hint="eastAsia"/>
        </w:rPr>
      </w:pPr>
    </w:p>
    <w:p>
      <w:pPr>
        <w:numPr>
          <w:ilvl w:val="0"/>
          <w:numId w:val="4"/>
        </w:numPr>
        <w:spacing w:before="219" w:line="600" w:lineRule="exact"/>
        <w:ind w:left="650"/>
        <w:rPr>
          <w:rFonts w:hint="eastAsia" w:ascii="黑体" w:hAnsi="黑体" w:eastAsia="黑体" w:cs="黑体"/>
          <w:spacing w:val="8"/>
          <w:position w:val="21"/>
          <w:sz w:val="32"/>
          <w:szCs w:val="32"/>
        </w:rPr>
      </w:pPr>
      <w:r>
        <w:rPr>
          <w:rFonts w:hint="eastAsia" w:ascii="黑体" w:hAnsi="黑体" w:eastAsia="黑体" w:cs="黑体"/>
          <w:spacing w:val="9"/>
          <w:position w:val="21"/>
          <w:sz w:val="32"/>
          <w:szCs w:val="32"/>
        </w:rPr>
        <w:t>部门整体支出绩效自评结果拟应用和公开</w:t>
      </w:r>
      <w:r>
        <w:rPr>
          <w:rFonts w:hint="eastAsia" w:ascii="黑体" w:hAnsi="黑体" w:eastAsia="黑体" w:cs="黑体"/>
          <w:spacing w:val="8"/>
          <w:position w:val="21"/>
          <w:sz w:val="32"/>
          <w:szCs w:val="32"/>
        </w:rPr>
        <w:t>情况</w:t>
      </w:r>
    </w:p>
    <w:p>
      <w:pPr>
        <w:pStyle w:val="2"/>
        <w:ind w:firstLine="560" w:firstLineChars="200"/>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本单位将委托华容县财政局在华容县人民政府网站公开公示。</w:t>
      </w:r>
    </w:p>
    <w:p>
      <w:pPr>
        <w:pStyle w:val="2"/>
        <w:numPr>
          <w:ilvl w:val="0"/>
          <w:numId w:val="0"/>
        </w:numPr>
        <w:rPr>
          <w:rFonts w:hint="eastAsia"/>
        </w:rPr>
      </w:pPr>
    </w:p>
    <w:p>
      <w:pPr>
        <w:numPr>
          <w:ilvl w:val="0"/>
          <w:numId w:val="4"/>
        </w:numPr>
        <w:spacing w:line="226" w:lineRule="auto"/>
        <w:ind w:left="650" w:leftChars="0" w:firstLine="0" w:firstLineChars="0"/>
        <w:rPr>
          <w:rFonts w:hint="eastAsia" w:ascii="黑体" w:hAnsi="黑体" w:eastAsia="黑体" w:cs="黑体"/>
          <w:spacing w:val="-3"/>
          <w:sz w:val="32"/>
          <w:szCs w:val="32"/>
        </w:rPr>
      </w:pPr>
      <w:r>
        <w:rPr>
          <w:rFonts w:hint="eastAsia" w:ascii="黑体" w:hAnsi="黑体" w:eastAsia="黑体" w:cs="黑体"/>
          <w:spacing w:val="-3"/>
          <w:sz w:val="32"/>
          <w:szCs w:val="32"/>
        </w:rPr>
        <w:t>其他需要说明的情况</w:t>
      </w:r>
    </w:p>
    <w:p>
      <w:pPr>
        <w:pStyle w:val="2"/>
        <w:ind w:firstLine="560" w:firstLineChars="200"/>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 xml:space="preserve"> 无</w:t>
      </w:r>
    </w:p>
    <w:p>
      <w:pPr>
        <w:rPr>
          <w:rFonts w:ascii="黑体" w:hAnsi="黑体" w:eastAsia="黑体" w:cs="黑体"/>
          <w:spacing w:val="-3"/>
          <w:sz w:val="31"/>
          <w:szCs w:val="31"/>
        </w:rPr>
      </w:pPr>
      <w:r>
        <w:rPr>
          <w:rFonts w:ascii="黑体" w:hAnsi="黑体" w:eastAsia="黑体" w:cs="黑体"/>
          <w:spacing w:val="-3"/>
          <w:sz w:val="31"/>
          <w:szCs w:val="31"/>
        </w:rPr>
        <w:br w:type="page"/>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lang w:val="en-US" w:eastAsia="zh-CN"/>
        </w:rPr>
      </w:pPr>
      <w:r>
        <w:rPr>
          <w:rFonts w:hint="eastAsia" w:ascii="仿宋_GB2312" w:hAnsi="仿宋_GB2312" w:eastAsia="仿宋_GB2312" w:cs="仿宋_GB2312"/>
          <w:spacing w:val="-4"/>
          <w:sz w:val="32"/>
          <w:szCs w:val="32"/>
        </w:rPr>
        <w:t>附件</w:t>
      </w:r>
      <w:r>
        <w:rPr>
          <w:rFonts w:hint="eastAsia" w:ascii="仿宋_GB2312" w:hAnsi="仿宋_GB2312" w:eastAsia="仿宋_GB2312" w:cs="仿宋_GB2312"/>
          <w:spacing w:val="-4"/>
          <w:sz w:val="32"/>
          <w:szCs w:val="32"/>
          <w:lang w:val="en-US" w:eastAsia="zh-CN"/>
        </w:rPr>
        <w:t>4</w:t>
      </w:r>
    </w:p>
    <w:p>
      <w:pPr>
        <w:keepNext w:val="0"/>
        <w:keepLines w:val="0"/>
        <w:pageBreakBefore w:val="0"/>
        <w:widowControl w:val="0"/>
        <w:kinsoku/>
        <w:wordWrap/>
        <w:overflowPunct/>
        <w:topLinePunct w:val="0"/>
        <w:autoSpaceDE/>
        <w:autoSpaceDN/>
        <w:bidi w:val="0"/>
        <w:adjustRightInd/>
        <w:snapToGrid/>
        <w:spacing w:line="580" w:lineRule="exact"/>
        <w:ind w:left="0" w:firstLine="0" w:firstLineChars="0"/>
        <w:jc w:val="center"/>
        <w:textAlignment w:val="auto"/>
        <w:rPr>
          <w:rFonts w:hint="eastAsia" w:ascii="方正小标宋简体" w:hAnsi="方正小标宋简体" w:eastAsia="方正小标宋简体" w:cs="方正小标宋简体"/>
          <w:spacing w:val="6"/>
          <w:sz w:val="44"/>
          <w:szCs w:val="44"/>
        </w:rPr>
      </w:pPr>
      <w:r>
        <w:rPr>
          <w:rFonts w:hint="eastAsia" w:ascii="方正小标宋简体" w:hAnsi="方正小标宋简体" w:eastAsia="方正小标宋简体" w:cs="方正小标宋简体"/>
          <w:spacing w:val="6"/>
          <w:sz w:val="44"/>
          <w:szCs w:val="44"/>
        </w:rPr>
        <w:t>2023年度部门整体支出绩效自评表</w:t>
      </w:r>
    </w:p>
    <w:p>
      <w:pPr>
        <w:spacing w:line="132" w:lineRule="exact"/>
      </w:pPr>
    </w:p>
    <w:tbl>
      <w:tblPr>
        <w:tblStyle w:val="15"/>
        <w:tblW w:w="8548"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9"/>
        <w:gridCol w:w="992"/>
        <w:gridCol w:w="759"/>
        <w:gridCol w:w="1297"/>
        <w:gridCol w:w="1054"/>
        <w:gridCol w:w="872"/>
        <w:gridCol w:w="699"/>
        <w:gridCol w:w="723"/>
        <w:gridCol w:w="132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20" w:hRule="atLeast"/>
          <w:jc w:val="center"/>
        </w:trPr>
        <w:tc>
          <w:tcPr>
            <w:tcW w:w="2580" w:type="dxa"/>
            <w:gridSpan w:val="3"/>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r>
              <w:rPr>
                <w:rFonts w:hint="eastAsia" w:ascii="黑体" w:hAnsi="黑体" w:eastAsia="黑体" w:cs="黑体"/>
                <w:sz w:val="21"/>
                <w:szCs w:val="21"/>
              </w:rPr>
              <w:t>省级预算部门、单位名称</w:t>
            </w:r>
          </w:p>
        </w:tc>
        <w:tc>
          <w:tcPr>
            <w:tcW w:w="5968" w:type="dxa"/>
            <w:gridSpan w:val="6"/>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中国共产党华容县委员会统一战线工作部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90" w:hRule="atLeast"/>
          <w:jc w:val="center"/>
        </w:trPr>
        <w:tc>
          <w:tcPr>
            <w:tcW w:w="829"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年度预算申请（万元）</w:t>
            </w:r>
          </w:p>
        </w:tc>
        <w:tc>
          <w:tcPr>
            <w:tcW w:w="1751" w:type="dxa"/>
            <w:gridSpan w:val="2"/>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1297" w:type="dxa"/>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年初</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预算数</w:t>
            </w:r>
          </w:p>
        </w:tc>
        <w:tc>
          <w:tcPr>
            <w:tcW w:w="1054" w:type="dxa"/>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全年</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预算数</w:t>
            </w:r>
          </w:p>
        </w:tc>
        <w:tc>
          <w:tcPr>
            <w:tcW w:w="872" w:type="dxa"/>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全年</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执行数</w:t>
            </w:r>
          </w:p>
        </w:tc>
        <w:tc>
          <w:tcPr>
            <w:tcW w:w="699" w:type="dxa"/>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分值</w:t>
            </w:r>
          </w:p>
        </w:tc>
        <w:tc>
          <w:tcPr>
            <w:tcW w:w="723" w:type="dxa"/>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执行率</w:t>
            </w:r>
          </w:p>
        </w:tc>
        <w:tc>
          <w:tcPr>
            <w:tcW w:w="1323" w:type="dxa"/>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自评得分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60" w:hRule="atLeast"/>
          <w:jc w:val="center"/>
        </w:trPr>
        <w:tc>
          <w:tcPr>
            <w:tcW w:w="829"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sz w:val="21"/>
                <w:szCs w:val="21"/>
              </w:rPr>
            </w:pPr>
          </w:p>
        </w:tc>
        <w:tc>
          <w:tcPr>
            <w:tcW w:w="1751" w:type="dxa"/>
            <w:gridSpan w:val="2"/>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r>
              <w:rPr>
                <w:rFonts w:hint="eastAsia" w:ascii="黑体" w:hAnsi="黑体" w:eastAsia="黑体" w:cs="黑体"/>
                <w:sz w:val="21"/>
                <w:szCs w:val="21"/>
              </w:rPr>
              <w:t>年度资金总额</w:t>
            </w:r>
          </w:p>
        </w:tc>
        <w:tc>
          <w:tcPr>
            <w:tcW w:w="1297" w:type="dxa"/>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313.69</w:t>
            </w:r>
          </w:p>
        </w:tc>
        <w:tc>
          <w:tcPr>
            <w:tcW w:w="1054" w:type="dxa"/>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402.83</w:t>
            </w:r>
          </w:p>
        </w:tc>
        <w:tc>
          <w:tcPr>
            <w:tcW w:w="872" w:type="dxa"/>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402.83</w:t>
            </w:r>
          </w:p>
        </w:tc>
        <w:tc>
          <w:tcPr>
            <w:tcW w:w="699" w:type="dxa"/>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10</w:t>
            </w:r>
          </w:p>
        </w:tc>
        <w:tc>
          <w:tcPr>
            <w:tcW w:w="723" w:type="dxa"/>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100</w:t>
            </w:r>
          </w:p>
        </w:tc>
        <w:tc>
          <w:tcPr>
            <w:tcW w:w="1323" w:type="dxa"/>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79" w:hRule="atLeast"/>
          <w:jc w:val="center"/>
        </w:trPr>
        <w:tc>
          <w:tcPr>
            <w:tcW w:w="829"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sz w:val="21"/>
                <w:szCs w:val="21"/>
              </w:rPr>
            </w:pPr>
          </w:p>
        </w:tc>
        <w:tc>
          <w:tcPr>
            <w:tcW w:w="4102" w:type="dxa"/>
            <w:gridSpan w:val="4"/>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firstLine="58" w:firstLineChars="28"/>
              <w:jc w:val="both"/>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按收入性质分：</w:t>
            </w:r>
            <w:r>
              <w:rPr>
                <w:rFonts w:hint="eastAsia" w:asciiTheme="minorEastAsia" w:hAnsiTheme="minorEastAsia" w:eastAsiaTheme="minorEastAsia" w:cstheme="minorEastAsia"/>
                <w:sz w:val="21"/>
                <w:szCs w:val="21"/>
                <w:lang w:val="en-US" w:eastAsia="zh-CN"/>
              </w:rPr>
              <w:t>402.83</w:t>
            </w:r>
          </w:p>
        </w:tc>
        <w:tc>
          <w:tcPr>
            <w:tcW w:w="3617" w:type="dxa"/>
            <w:gridSpan w:val="4"/>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按支出性质分：</w:t>
            </w:r>
            <w:r>
              <w:rPr>
                <w:rFonts w:hint="eastAsia" w:asciiTheme="minorEastAsia" w:hAnsiTheme="minorEastAsia" w:eastAsiaTheme="minorEastAsia" w:cstheme="minorEastAsia"/>
                <w:sz w:val="21"/>
                <w:szCs w:val="21"/>
                <w:lang w:val="en-US" w:eastAsia="zh-CN"/>
              </w:rPr>
              <w:t>402.83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95" w:hRule="atLeast"/>
          <w:jc w:val="center"/>
        </w:trPr>
        <w:tc>
          <w:tcPr>
            <w:tcW w:w="829"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sz w:val="21"/>
                <w:szCs w:val="21"/>
              </w:rPr>
            </w:pPr>
          </w:p>
        </w:tc>
        <w:tc>
          <w:tcPr>
            <w:tcW w:w="4102" w:type="dxa"/>
            <w:gridSpan w:val="4"/>
            <w:vAlign w:val="center"/>
          </w:tcPr>
          <w:p>
            <w:pPr>
              <w:keepNext w:val="0"/>
              <w:keepLines w:val="0"/>
              <w:pageBreakBefore w:val="0"/>
              <w:widowControl w:val="0"/>
              <w:kinsoku/>
              <w:wordWrap/>
              <w:overflowPunct/>
              <w:topLinePunct w:val="0"/>
              <w:autoSpaceDE/>
              <w:autoSpaceDN/>
              <w:bidi w:val="0"/>
              <w:adjustRightInd/>
              <w:snapToGrid/>
              <w:spacing w:line="260" w:lineRule="exact"/>
              <w:ind w:firstLine="210" w:firstLineChars="100"/>
              <w:jc w:val="both"/>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其中：一般公共预算：</w:t>
            </w:r>
            <w:r>
              <w:rPr>
                <w:rFonts w:hint="eastAsia" w:asciiTheme="minorEastAsia" w:hAnsiTheme="minorEastAsia" w:eastAsiaTheme="minorEastAsia" w:cstheme="minorEastAsia"/>
                <w:sz w:val="21"/>
                <w:szCs w:val="21"/>
                <w:lang w:val="en-US" w:eastAsia="zh-CN"/>
              </w:rPr>
              <w:t>402.83</w:t>
            </w:r>
          </w:p>
        </w:tc>
        <w:tc>
          <w:tcPr>
            <w:tcW w:w="3617" w:type="dxa"/>
            <w:gridSpan w:val="4"/>
            <w:vAlign w:val="center"/>
          </w:tcPr>
          <w:p>
            <w:pPr>
              <w:keepNext w:val="0"/>
              <w:keepLines w:val="0"/>
              <w:pageBreakBefore w:val="0"/>
              <w:widowControl w:val="0"/>
              <w:kinsoku/>
              <w:wordWrap/>
              <w:overflowPunct/>
              <w:topLinePunct w:val="0"/>
              <w:autoSpaceDE/>
              <w:autoSpaceDN/>
              <w:bidi w:val="0"/>
              <w:adjustRightInd/>
              <w:snapToGrid/>
              <w:spacing w:line="260" w:lineRule="exact"/>
              <w:ind w:firstLine="210" w:firstLineChars="100"/>
              <w:jc w:val="left"/>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其中：基本支出：</w:t>
            </w:r>
            <w:r>
              <w:rPr>
                <w:rFonts w:hint="eastAsia" w:asciiTheme="minorEastAsia" w:hAnsiTheme="minorEastAsia" w:eastAsiaTheme="minorEastAsia" w:cstheme="minorEastAsia"/>
                <w:sz w:val="21"/>
                <w:szCs w:val="21"/>
                <w:lang w:val="en-US" w:eastAsia="zh-CN"/>
              </w:rPr>
              <w:t>402.83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79" w:hRule="atLeast"/>
          <w:jc w:val="center"/>
        </w:trPr>
        <w:tc>
          <w:tcPr>
            <w:tcW w:w="829"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sz w:val="21"/>
                <w:szCs w:val="21"/>
              </w:rPr>
            </w:pPr>
          </w:p>
        </w:tc>
        <w:tc>
          <w:tcPr>
            <w:tcW w:w="4102" w:type="dxa"/>
            <w:gridSpan w:val="4"/>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firstLine="840" w:firstLineChars="400"/>
              <w:jc w:val="both"/>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政府性基金拨款：</w:t>
            </w:r>
          </w:p>
        </w:tc>
        <w:tc>
          <w:tcPr>
            <w:tcW w:w="3617" w:type="dxa"/>
            <w:gridSpan w:val="4"/>
            <w:vAlign w:val="center"/>
          </w:tcPr>
          <w:p>
            <w:pPr>
              <w:keepNext w:val="0"/>
              <w:keepLines w:val="0"/>
              <w:pageBreakBefore w:val="0"/>
              <w:widowControl w:val="0"/>
              <w:kinsoku/>
              <w:wordWrap/>
              <w:overflowPunct/>
              <w:topLinePunct w:val="0"/>
              <w:autoSpaceDE/>
              <w:autoSpaceDN/>
              <w:bidi w:val="0"/>
              <w:adjustRightInd/>
              <w:snapToGrid/>
              <w:spacing w:line="260" w:lineRule="exact"/>
              <w:ind w:firstLine="840" w:firstLineChars="400"/>
              <w:jc w:val="left"/>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项目支出：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47" w:hRule="atLeast"/>
          <w:jc w:val="center"/>
        </w:trPr>
        <w:tc>
          <w:tcPr>
            <w:tcW w:w="829"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sz w:val="21"/>
                <w:szCs w:val="21"/>
              </w:rPr>
            </w:pPr>
          </w:p>
        </w:tc>
        <w:tc>
          <w:tcPr>
            <w:tcW w:w="4102" w:type="dxa"/>
            <w:gridSpan w:val="4"/>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firstLine="840" w:firstLineChars="4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纳入专户管理的非税收入拨款：</w:t>
            </w:r>
          </w:p>
        </w:tc>
        <w:tc>
          <w:tcPr>
            <w:tcW w:w="3617" w:type="dxa"/>
            <w:gridSpan w:val="4"/>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74" w:hRule="atLeast"/>
          <w:jc w:val="center"/>
        </w:trPr>
        <w:tc>
          <w:tcPr>
            <w:tcW w:w="829"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sz w:val="21"/>
                <w:szCs w:val="21"/>
              </w:rPr>
            </w:pPr>
          </w:p>
        </w:tc>
        <w:tc>
          <w:tcPr>
            <w:tcW w:w="4102" w:type="dxa"/>
            <w:gridSpan w:val="4"/>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firstLine="840" w:firstLineChars="4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其他资金：</w:t>
            </w:r>
          </w:p>
        </w:tc>
        <w:tc>
          <w:tcPr>
            <w:tcW w:w="3617" w:type="dxa"/>
            <w:gridSpan w:val="4"/>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23" w:hRule="atLeast"/>
          <w:jc w:val="center"/>
        </w:trPr>
        <w:tc>
          <w:tcPr>
            <w:tcW w:w="829"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年度</w:t>
            </w:r>
            <w:r>
              <w:rPr>
                <w:rFonts w:hint="eastAsia" w:ascii="黑体" w:hAnsi="黑体" w:eastAsia="黑体" w:cs="黑体"/>
                <w:sz w:val="21"/>
                <w:szCs w:val="21"/>
                <w:lang w:eastAsia="zh-CN"/>
              </w:rPr>
              <w:t>总</w:t>
            </w:r>
            <w:r>
              <w:rPr>
                <w:rFonts w:hint="eastAsia" w:ascii="黑体" w:hAnsi="黑体" w:eastAsia="黑体" w:cs="黑体"/>
                <w:sz w:val="21"/>
                <w:szCs w:val="21"/>
              </w:rPr>
              <w:t>体目标</w:t>
            </w:r>
          </w:p>
        </w:tc>
        <w:tc>
          <w:tcPr>
            <w:tcW w:w="4102" w:type="dxa"/>
            <w:gridSpan w:val="4"/>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预期目标</w:t>
            </w:r>
          </w:p>
        </w:tc>
        <w:tc>
          <w:tcPr>
            <w:tcW w:w="3617" w:type="dxa"/>
            <w:gridSpan w:val="4"/>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实际完成情况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162" w:hRule="atLeast"/>
          <w:jc w:val="center"/>
        </w:trPr>
        <w:tc>
          <w:tcPr>
            <w:tcW w:w="829"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sz w:val="21"/>
                <w:szCs w:val="21"/>
              </w:rPr>
            </w:pPr>
          </w:p>
        </w:tc>
        <w:tc>
          <w:tcPr>
            <w:tcW w:w="4102" w:type="dxa"/>
            <w:gridSpan w:val="4"/>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广泛凝聚党外知识分子和新的社会阶层人士力量，不断促进非公有制经济“两个健康”;2：推进民族团结进步事业，铸牢中华民族共同体意识，努力维护宗教领域和谐稳定;3：切实加强侨务工作，不断提高统战队伍履职能力;4：弘扬发展少数民族文化及做好少数民族地区设施建设;5：保障宗教各项工作正常开展，实现宗教活动场所安全稳定</w:t>
            </w:r>
          </w:p>
        </w:tc>
        <w:tc>
          <w:tcPr>
            <w:tcW w:w="3617" w:type="dxa"/>
            <w:gridSpan w:val="4"/>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firstLine="840" w:firstLineChars="400"/>
              <w:jc w:val="left"/>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已完成</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07" w:hRule="atLeast"/>
          <w:jc w:val="center"/>
        </w:trPr>
        <w:tc>
          <w:tcPr>
            <w:tcW w:w="829" w:type="dxa"/>
            <w:vMerge w:val="restart"/>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绩</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标</w:t>
            </w:r>
          </w:p>
        </w:tc>
        <w:tc>
          <w:tcPr>
            <w:tcW w:w="992" w:type="dxa"/>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一级</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指标</w:t>
            </w:r>
          </w:p>
        </w:tc>
        <w:tc>
          <w:tcPr>
            <w:tcW w:w="759" w:type="dxa"/>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二级</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指标</w:t>
            </w:r>
          </w:p>
        </w:tc>
        <w:tc>
          <w:tcPr>
            <w:tcW w:w="1297" w:type="dxa"/>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三级</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指标</w:t>
            </w:r>
          </w:p>
        </w:tc>
        <w:tc>
          <w:tcPr>
            <w:tcW w:w="1054" w:type="dxa"/>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年度</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指标值</w:t>
            </w:r>
          </w:p>
        </w:tc>
        <w:tc>
          <w:tcPr>
            <w:tcW w:w="872" w:type="dxa"/>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实际</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完成值</w:t>
            </w:r>
          </w:p>
        </w:tc>
        <w:tc>
          <w:tcPr>
            <w:tcW w:w="699" w:type="dxa"/>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分值</w:t>
            </w:r>
          </w:p>
        </w:tc>
        <w:tc>
          <w:tcPr>
            <w:tcW w:w="723" w:type="dxa"/>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自评</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得分</w:t>
            </w:r>
          </w:p>
        </w:tc>
        <w:tc>
          <w:tcPr>
            <w:tcW w:w="1323" w:type="dxa"/>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sz w:val="21"/>
                <w:szCs w:val="21"/>
              </w:rPr>
            </w:pPr>
            <w:r>
              <w:rPr>
                <w:rFonts w:hint="eastAsia" w:ascii="黑体" w:hAnsi="黑体" w:eastAsia="黑体" w:cs="黑体"/>
                <w:sz w:val="21"/>
                <w:szCs w:val="21"/>
                <w:lang w:eastAsia="zh-CN"/>
              </w:rPr>
              <w:t>偏差原因分析</w:t>
            </w:r>
            <w:r>
              <w:rPr>
                <w:rFonts w:hint="eastAsia" w:ascii="黑体" w:hAnsi="黑体" w:eastAsia="黑体" w:cs="黑体"/>
                <w:sz w:val="21"/>
                <w:szCs w:val="21"/>
              </w:rPr>
              <w:t>及改进措施</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54" w:hRule="atLeast"/>
          <w:jc w:val="center"/>
        </w:trPr>
        <w:tc>
          <w:tcPr>
            <w:tcW w:w="829" w:type="dxa"/>
            <w:vMerge w:val="continue"/>
            <w:textDirection w:val="tbRlV"/>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992"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产</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出</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0分</w:t>
            </w:r>
            <w:r>
              <w:rPr>
                <w:rFonts w:hint="eastAsia" w:asciiTheme="minorEastAsia" w:hAnsiTheme="minorEastAsia" w:eastAsiaTheme="minorEastAsia" w:cstheme="minorEastAsia"/>
                <w:sz w:val="21"/>
                <w:szCs w:val="21"/>
                <w:lang w:eastAsia="zh-CN"/>
              </w:rPr>
              <w:t>）</w:t>
            </w:r>
          </w:p>
        </w:tc>
        <w:tc>
          <w:tcPr>
            <w:tcW w:w="759" w:type="dxa"/>
            <w:vMerge w:val="restart"/>
            <w:tcBorders>
              <w:left w:val="single" w:color="auto" w:sz="4" w:space="0"/>
              <w:bottom w:val="nil"/>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数量</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指标</w:t>
            </w:r>
          </w:p>
        </w:tc>
        <w:tc>
          <w:tcPr>
            <w:tcW w:w="1297" w:type="dxa"/>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召开统战工作会议次数</w:t>
            </w:r>
          </w:p>
        </w:tc>
        <w:tc>
          <w:tcPr>
            <w:tcW w:w="1054"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lang w:val="en-US" w:eastAsia="zh-CN"/>
              </w:rPr>
            </w:pPr>
            <w:r>
              <w:rPr>
                <w:rFonts w:hint="default" w:ascii="仿宋_GB2312" w:hAnsi="宋体" w:eastAsia="仿宋_GB2312" w:cs="仿宋_GB2312"/>
                <w:i w:val="0"/>
                <w:color w:val="000000"/>
                <w:kern w:val="0"/>
                <w:sz w:val="21"/>
                <w:szCs w:val="21"/>
                <w:u w:val="none"/>
                <w:lang w:val="en-US" w:eastAsia="zh-CN" w:bidi="ar"/>
              </w:rPr>
              <w:t>6次以上</w:t>
            </w:r>
          </w:p>
        </w:tc>
        <w:tc>
          <w:tcPr>
            <w:tcW w:w="87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lang w:val="en-US" w:eastAsia="zh-CN"/>
              </w:rPr>
            </w:pPr>
            <w:r>
              <w:rPr>
                <w:rFonts w:hint="default" w:ascii="仿宋_GB2312" w:hAnsi="宋体" w:eastAsia="仿宋_GB2312" w:cs="仿宋_GB2312"/>
                <w:i w:val="0"/>
                <w:color w:val="000000"/>
                <w:kern w:val="0"/>
                <w:sz w:val="21"/>
                <w:szCs w:val="21"/>
                <w:u w:val="none"/>
                <w:lang w:val="en-US" w:eastAsia="zh-CN" w:bidi="ar"/>
              </w:rPr>
              <w:t>12次</w:t>
            </w:r>
          </w:p>
        </w:tc>
        <w:tc>
          <w:tcPr>
            <w:tcW w:w="699"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lang w:val="en-US" w:eastAsia="zh-CN"/>
              </w:rPr>
            </w:pPr>
            <w:r>
              <w:rPr>
                <w:rFonts w:hint="default" w:ascii="仿宋_GB2312" w:hAnsi="宋体" w:eastAsia="仿宋_GB2312" w:cs="仿宋_GB2312"/>
                <w:i w:val="0"/>
                <w:color w:val="000000"/>
                <w:kern w:val="0"/>
                <w:sz w:val="21"/>
                <w:szCs w:val="21"/>
                <w:u w:val="none"/>
                <w:lang w:val="en-US" w:eastAsia="zh-CN" w:bidi="ar"/>
              </w:rPr>
              <w:t>3</w:t>
            </w:r>
          </w:p>
        </w:tc>
        <w:tc>
          <w:tcPr>
            <w:tcW w:w="7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lang w:val="en-US" w:eastAsia="zh-CN"/>
              </w:rPr>
            </w:pPr>
            <w:r>
              <w:rPr>
                <w:rFonts w:hint="default" w:ascii="仿宋_GB2312" w:hAnsi="宋体" w:eastAsia="仿宋_GB2312" w:cs="仿宋_GB2312"/>
                <w:i w:val="0"/>
                <w:color w:val="000000"/>
                <w:kern w:val="0"/>
                <w:sz w:val="21"/>
                <w:szCs w:val="21"/>
                <w:u w:val="none"/>
                <w:lang w:val="en-US" w:eastAsia="zh-CN" w:bidi="ar"/>
              </w:rPr>
              <w:t>3</w:t>
            </w:r>
          </w:p>
        </w:tc>
        <w:tc>
          <w:tcPr>
            <w:tcW w:w="13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无偏差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54" w:hRule="atLeast"/>
          <w:jc w:val="center"/>
        </w:trPr>
        <w:tc>
          <w:tcPr>
            <w:tcW w:w="829" w:type="dxa"/>
            <w:vMerge w:val="continue"/>
            <w:textDirection w:val="tbRlV"/>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759" w:type="dxa"/>
            <w:vMerge w:val="continue"/>
            <w:tcBorders>
              <w:top w:val="nil"/>
              <w:left w:val="single" w:color="auto" w:sz="4" w:space="0"/>
              <w:bottom w:val="nil"/>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129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仿宋" w:hAnsi="仿宋" w:eastAsia="仿宋" w:cs="仿宋"/>
                <w:i w:val="0"/>
                <w:color w:val="000000"/>
                <w:kern w:val="0"/>
                <w:sz w:val="21"/>
                <w:szCs w:val="21"/>
                <w:u w:val="none"/>
                <w:lang w:val="en-US" w:eastAsia="zh-CN" w:bidi="ar"/>
              </w:rPr>
              <w:t>扶助困难户数</w:t>
            </w:r>
          </w:p>
        </w:tc>
        <w:tc>
          <w:tcPr>
            <w:tcW w:w="1054"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6户以上</w:t>
            </w:r>
          </w:p>
        </w:tc>
        <w:tc>
          <w:tcPr>
            <w:tcW w:w="87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6户</w:t>
            </w:r>
          </w:p>
        </w:tc>
        <w:tc>
          <w:tcPr>
            <w:tcW w:w="699"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4</w:t>
            </w:r>
          </w:p>
        </w:tc>
        <w:tc>
          <w:tcPr>
            <w:tcW w:w="7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4</w:t>
            </w:r>
          </w:p>
        </w:tc>
        <w:tc>
          <w:tcPr>
            <w:tcW w:w="13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无偏差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54" w:hRule="atLeast"/>
          <w:jc w:val="center"/>
        </w:trPr>
        <w:tc>
          <w:tcPr>
            <w:tcW w:w="829" w:type="dxa"/>
            <w:vMerge w:val="continue"/>
            <w:textDirection w:val="tbRlV"/>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759" w:type="dxa"/>
            <w:vMerge w:val="continue"/>
            <w:tcBorders>
              <w:top w:val="nil"/>
              <w:left w:val="single" w:color="auto" w:sz="4" w:space="0"/>
              <w:bottom w:val="nil"/>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129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仿宋" w:hAnsi="仿宋" w:eastAsia="仿宋" w:cs="仿宋"/>
                <w:i w:val="0"/>
                <w:color w:val="000000"/>
                <w:kern w:val="0"/>
                <w:sz w:val="21"/>
                <w:szCs w:val="21"/>
                <w:u w:val="none"/>
                <w:lang w:val="en-US" w:eastAsia="zh-CN" w:bidi="ar"/>
              </w:rPr>
              <w:t>开展党外人士培训班</w:t>
            </w:r>
          </w:p>
        </w:tc>
        <w:tc>
          <w:tcPr>
            <w:tcW w:w="1054"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1期以上</w:t>
            </w:r>
          </w:p>
        </w:tc>
        <w:tc>
          <w:tcPr>
            <w:tcW w:w="87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1期</w:t>
            </w:r>
          </w:p>
        </w:tc>
        <w:tc>
          <w:tcPr>
            <w:tcW w:w="699"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4</w:t>
            </w:r>
          </w:p>
        </w:tc>
        <w:tc>
          <w:tcPr>
            <w:tcW w:w="7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4</w:t>
            </w:r>
          </w:p>
        </w:tc>
        <w:tc>
          <w:tcPr>
            <w:tcW w:w="13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无偏差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54" w:hRule="atLeast"/>
          <w:jc w:val="center"/>
        </w:trPr>
        <w:tc>
          <w:tcPr>
            <w:tcW w:w="829" w:type="dxa"/>
            <w:vMerge w:val="continue"/>
            <w:textDirection w:val="tbRlV"/>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759" w:type="dxa"/>
            <w:vMerge w:val="continue"/>
            <w:tcBorders>
              <w:top w:val="nil"/>
              <w:left w:val="single" w:color="auto" w:sz="4" w:space="0"/>
              <w:bottom w:val="nil"/>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129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仿宋" w:hAnsi="仿宋" w:eastAsia="仿宋" w:cs="仿宋"/>
                <w:i w:val="0"/>
                <w:color w:val="000000"/>
                <w:kern w:val="0"/>
                <w:sz w:val="21"/>
                <w:szCs w:val="21"/>
                <w:u w:val="none"/>
                <w:lang w:val="en-US" w:eastAsia="zh-CN" w:bidi="ar"/>
              </w:rPr>
              <w:t>走访慰问困难统战对象</w:t>
            </w:r>
          </w:p>
        </w:tc>
        <w:tc>
          <w:tcPr>
            <w:tcW w:w="1054"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50人以上</w:t>
            </w:r>
          </w:p>
        </w:tc>
        <w:tc>
          <w:tcPr>
            <w:tcW w:w="87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58人</w:t>
            </w:r>
          </w:p>
        </w:tc>
        <w:tc>
          <w:tcPr>
            <w:tcW w:w="699"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4</w:t>
            </w:r>
          </w:p>
        </w:tc>
        <w:tc>
          <w:tcPr>
            <w:tcW w:w="7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4</w:t>
            </w:r>
          </w:p>
        </w:tc>
        <w:tc>
          <w:tcPr>
            <w:tcW w:w="13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无偏差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54" w:hRule="atLeast"/>
          <w:jc w:val="center"/>
        </w:trPr>
        <w:tc>
          <w:tcPr>
            <w:tcW w:w="829" w:type="dxa"/>
            <w:vMerge w:val="continue"/>
            <w:textDirection w:val="tbRlV"/>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759" w:type="dxa"/>
            <w:vMerge w:val="continue"/>
            <w:tcBorders>
              <w:top w:val="nil"/>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129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仿宋" w:hAnsi="仿宋" w:eastAsia="仿宋" w:cs="仿宋"/>
                <w:i w:val="0"/>
                <w:color w:val="000000"/>
                <w:kern w:val="0"/>
                <w:sz w:val="21"/>
                <w:szCs w:val="21"/>
                <w:u w:val="none"/>
                <w:lang w:val="en-US" w:eastAsia="zh-CN" w:bidi="ar"/>
              </w:rPr>
              <w:t>培训党外干部人数</w:t>
            </w:r>
          </w:p>
        </w:tc>
        <w:tc>
          <w:tcPr>
            <w:tcW w:w="1054"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30人以上</w:t>
            </w:r>
          </w:p>
        </w:tc>
        <w:tc>
          <w:tcPr>
            <w:tcW w:w="87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33人</w:t>
            </w:r>
          </w:p>
        </w:tc>
        <w:tc>
          <w:tcPr>
            <w:tcW w:w="699"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4</w:t>
            </w:r>
          </w:p>
        </w:tc>
        <w:tc>
          <w:tcPr>
            <w:tcW w:w="7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4</w:t>
            </w:r>
          </w:p>
        </w:tc>
        <w:tc>
          <w:tcPr>
            <w:tcW w:w="13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无偏差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54" w:hRule="atLeast"/>
          <w:jc w:val="center"/>
        </w:trPr>
        <w:tc>
          <w:tcPr>
            <w:tcW w:w="829" w:type="dxa"/>
            <w:vMerge w:val="continue"/>
            <w:textDirection w:val="tbRlV"/>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759" w:type="dxa"/>
            <w:vMerge w:val="restart"/>
            <w:tcBorders>
              <w:left w:val="single" w:color="auto" w:sz="4" w:space="0"/>
              <w:bottom w:val="nil"/>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质量</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指标</w:t>
            </w:r>
          </w:p>
        </w:tc>
        <w:tc>
          <w:tcPr>
            <w:tcW w:w="129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仿宋" w:hAnsi="仿宋" w:eastAsia="仿宋" w:cs="仿宋"/>
                <w:i w:val="0"/>
                <w:color w:val="000000"/>
                <w:kern w:val="0"/>
                <w:sz w:val="21"/>
                <w:szCs w:val="21"/>
                <w:u w:val="none"/>
                <w:lang w:val="en-US" w:eastAsia="zh-CN" w:bidi="ar"/>
              </w:rPr>
              <w:t>统战工作验收合格率</w:t>
            </w:r>
          </w:p>
        </w:tc>
        <w:tc>
          <w:tcPr>
            <w:tcW w:w="1054"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99%以上</w:t>
            </w:r>
          </w:p>
        </w:tc>
        <w:tc>
          <w:tcPr>
            <w:tcW w:w="87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100%</w:t>
            </w:r>
          </w:p>
        </w:tc>
        <w:tc>
          <w:tcPr>
            <w:tcW w:w="699"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3</w:t>
            </w:r>
          </w:p>
        </w:tc>
        <w:tc>
          <w:tcPr>
            <w:tcW w:w="7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3</w:t>
            </w:r>
          </w:p>
        </w:tc>
        <w:tc>
          <w:tcPr>
            <w:tcW w:w="13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无偏差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54" w:hRule="atLeast"/>
          <w:jc w:val="center"/>
        </w:trPr>
        <w:tc>
          <w:tcPr>
            <w:tcW w:w="829" w:type="dxa"/>
            <w:vMerge w:val="continue"/>
            <w:textDirection w:val="tbRlV"/>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759" w:type="dxa"/>
            <w:vMerge w:val="continue"/>
            <w:tcBorders>
              <w:top w:val="nil"/>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129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仿宋" w:hAnsi="仿宋" w:eastAsia="仿宋" w:cs="仿宋"/>
                <w:i w:val="0"/>
                <w:color w:val="000000"/>
                <w:kern w:val="0"/>
                <w:sz w:val="21"/>
                <w:szCs w:val="21"/>
                <w:u w:val="none"/>
                <w:lang w:val="en-US" w:eastAsia="zh-CN" w:bidi="ar"/>
              </w:rPr>
              <w:t>民族宗教工作验收合格率</w:t>
            </w:r>
          </w:p>
        </w:tc>
        <w:tc>
          <w:tcPr>
            <w:tcW w:w="1054"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99%以上</w:t>
            </w:r>
          </w:p>
        </w:tc>
        <w:tc>
          <w:tcPr>
            <w:tcW w:w="87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100%</w:t>
            </w:r>
          </w:p>
        </w:tc>
        <w:tc>
          <w:tcPr>
            <w:tcW w:w="699"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3</w:t>
            </w:r>
          </w:p>
        </w:tc>
        <w:tc>
          <w:tcPr>
            <w:tcW w:w="7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3</w:t>
            </w:r>
          </w:p>
        </w:tc>
        <w:tc>
          <w:tcPr>
            <w:tcW w:w="13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无偏差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54" w:hRule="atLeast"/>
          <w:jc w:val="center"/>
        </w:trPr>
        <w:tc>
          <w:tcPr>
            <w:tcW w:w="829" w:type="dxa"/>
            <w:vMerge w:val="continue"/>
            <w:textDirection w:val="tbRlV"/>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759"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时效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指标</w:t>
            </w:r>
          </w:p>
        </w:tc>
        <w:tc>
          <w:tcPr>
            <w:tcW w:w="129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仿宋" w:hAnsi="仿宋" w:eastAsia="仿宋" w:cs="仿宋"/>
                <w:i w:val="0"/>
                <w:color w:val="000000"/>
                <w:kern w:val="0"/>
                <w:sz w:val="21"/>
                <w:szCs w:val="21"/>
                <w:u w:val="none"/>
                <w:lang w:val="en-US" w:eastAsia="zh-CN" w:bidi="ar"/>
              </w:rPr>
              <w:t>资金给付及时性</w:t>
            </w:r>
          </w:p>
        </w:tc>
        <w:tc>
          <w:tcPr>
            <w:tcW w:w="1054"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365天</w:t>
            </w:r>
          </w:p>
        </w:tc>
        <w:tc>
          <w:tcPr>
            <w:tcW w:w="87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400天</w:t>
            </w:r>
          </w:p>
        </w:tc>
        <w:tc>
          <w:tcPr>
            <w:tcW w:w="699"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5</w:t>
            </w:r>
          </w:p>
        </w:tc>
        <w:tc>
          <w:tcPr>
            <w:tcW w:w="7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4.5</w:t>
            </w:r>
          </w:p>
        </w:tc>
        <w:tc>
          <w:tcPr>
            <w:tcW w:w="13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资金拨款不及时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829" w:type="dxa"/>
            <w:vMerge w:val="restart"/>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绩</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sz w:val="21"/>
                <w:szCs w:val="21"/>
              </w:rPr>
            </w:pPr>
            <w:r>
              <w:rPr>
                <w:rFonts w:hint="eastAsia" w:ascii="黑体" w:hAnsi="黑体" w:eastAsia="黑体" w:cs="黑体"/>
                <w:sz w:val="21"/>
                <w:szCs w:val="21"/>
              </w:rPr>
              <w:t>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r>
              <w:rPr>
                <w:rFonts w:hint="eastAsia" w:ascii="黑体" w:hAnsi="黑体" w:eastAsia="黑体" w:cs="黑体"/>
                <w:sz w:val="21"/>
                <w:szCs w:val="21"/>
              </w:rPr>
              <w:t>标</w:t>
            </w:r>
          </w:p>
        </w:tc>
        <w:tc>
          <w:tcPr>
            <w:tcW w:w="992"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益</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（30分）</w:t>
            </w:r>
          </w:p>
        </w:tc>
        <w:tc>
          <w:tcPr>
            <w:tcW w:w="759" w:type="dxa"/>
            <w:vMerge w:val="restart"/>
            <w:tcBorders>
              <w:top w:val="single" w:color="auto" w:sz="4" w:space="0"/>
              <w:left w:val="single" w:color="auto" w:sz="4" w:space="0"/>
              <w:bottom w:val="nil"/>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经济</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效益</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指标</w:t>
            </w:r>
          </w:p>
        </w:tc>
        <w:tc>
          <w:tcPr>
            <w:tcW w:w="129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仿宋" w:hAnsi="仿宋" w:eastAsia="仿宋" w:cs="仿宋"/>
                <w:i w:val="0"/>
                <w:color w:val="000000"/>
                <w:kern w:val="0"/>
                <w:sz w:val="21"/>
                <w:szCs w:val="21"/>
                <w:u w:val="none"/>
                <w:lang w:val="en-US" w:eastAsia="zh-CN" w:bidi="ar"/>
              </w:rPr>
              <w:t>社会认可度</w:t>
            </w:r>
          </w:p>
        </w:tc>
        <w:tc>
          <w:tcPr>
            <w:tcW w:w="1054"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96%以上</w:t>
            </w:r>
          </w:p>
        </w:tc>
        <w:tc>
          <w:tcPr>
            <w:tcW w:w="87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95%</w:t>
            </w:r>
          </w:p>
        </w:tc>
        <w:tc>
          <w:tcPr>
            <w:tcW w:w="699"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5</w:t>
            </w:r>
          </w:p>
        </w:tc>
        <w:tc>
          <w:tcPr>
            <w:tcW w:w="7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4</w:t>
            </w:r>
          </w:p>
        </w:tc>
        <w:tc>
          <w:tcPr>
            <w:tcW w:w="13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深入群众，调查研究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829" w:type="dxa"/>
            <w:vMerge w:val="continue"/>
            <w:textDirection w:val="tbRlV"/>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759" w:type="dxa"/>
            <w:vMerge w:val="continue"/>
            <w:tcBorders>
              <w:top w:val="nil"/>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1297" w:type="dxa"/>
            <w:tcBorders>
              <w:bottom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仿宋" w:hAnsi="仿宋" w:eastAsia="仿宋" w:cs="仿宋"/>
                <w:i w:val="0"/>
                <w:color w:val="000000"/>
                <w:kern w:val="0"/>
                <w:sz w:val="21"/>
                <w:szCs w:val="21"/>
                <w:u w:val="none"/>
                <w:lang w:val="en-US" w:eastAsia="zh-CN" w:bidi="ar"/>
              </w:rPr>
              <w:t>资金使用率</w:t>
            </w:r>
          </w:p>
        </w:tc>
        <w:tc>
          <w:tcPr>
            <w:tcW w:w="1054"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99%以上</w:t>
            </w:r>
          </w:p>
        </w:tc>
        <w:tc>
          <w:tcPr>
            <w:tcW w:w="87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100%</w:t>
            </w:r>
          </w:p>
        </w:tc>
        <w:tc>
          <w:tcPr>
            <w:tcW w:w="699"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5</w:t>
            </w:r>
          </w:p>
        </w:tc>
        <w:tc>
          <w:tcPr>
            <w:tcW w:w="7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5</w:t>
            </w:r>
          </w:p>
        </w:tc>
        <w:tc>
          <w:tcPr>
            <w:tcW w:w="13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无偏差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829" w:type="dxa"/>
            <w:vMerge w:val="continue"/>
            <w:textDirection w:val="tbRlV"/>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759" w:type="dxa"/>
            <w:vMerge w:val="restart"/>
            <w:tcBorders>
              <w:top w:val="single" w:color="auto" w:sz="4" w:space="0"/>
              <w:left w:val="single" w:color="auto" w:sz="4" w:space="0"/>
              <w:bottom w:val="nil"/>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社会</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效益</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指标</w:t>
            </w:r>
          </w:p>
        </w:tc>
        <w:tc>
          <w:tcPr>
            <w:tcW w:w="1297" w:type="dxa"/>
            <w:tcBorders>
              <w:top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仿宋" w:hAnsi="仿宋" w:eastAsia="仿宋" w:cs="仿宋"/>
                <w:i w:val="0"/>
                <w:color w:val="000000"/>
                <w:kern w:val="0"/>
                <w:sz w:val="21"/>
                <w:szCs w:val="21"/>
                <w:u w:val="none"/>
                <w:lang w:val="en-US" w:eastAsia="zh-CN" w:bidi="ar"/>
              </w:rPr>
              <w:t>接待港澳台海外同胞数</w:t>
            </w:r>
          </w:p>
        </w:tc>
        <w:tc>
          <w:tcPr>
            <w:tcW w:w="1054"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5人以上</w:t>
            </w:r>
          </w:p>
        </w:tc>
        <w:tc>
          <w:tcPr>
            <w:tcW w:w="87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10人</w:t>
            </w:r>
          </w:p>
        </w:tc>
        <w:tc>
          <w:tcPr>
            <w:tcW w:w="699"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3</w:t>
            </w:r>
          </w:p>
        </w:tc>
        <w:tc>
          <w:tcPr>
            <w:tcW w:w="7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3</w:t>
            </w:r>
          </w:p>
        </w:tc>
        <w:tc>
          <w:tcPr>
            <w:tcW w:w="13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无偏差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829" w:type="dxa"/>
            <w:vMerge w:val="continue"/>
            <w:textDirection w:val="tbRlV"/>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759" w:type="dxa"/>
            <w:vMerge w:val="continue"/>
            <w:tcBorders>
              <w:top w:val="nil"/>
              <w:left w:val="single" w:color="auto" w:sz="4" w:space="0"/>
              <w:bottom w:val="nil"/>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129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仿宋" w:hAnsi="仿宋" w:eastAsia="仿宋" w:cs="仿宋"/>
                <w:i w:val="0"/>
                <w:color w:val="000000"/>
                <w:kern w:val="0"/>
                <w:sz w:val="21"/>
                <w:szCs w:val="21"/>
                <w:u w:val="none"/>
                <w:lang w:val="en-US" w:eastAsia="zh-CN" w:bidi="ar"/>
              </w:rPr>
              <w:t>惠及少数民族人口数</w:t>
            </w:r>
          </w:p>
        </w:tc>
        <w:tc>
          <w:tcPr>
            <w:tcW w:w="1054"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1000人以上</w:t>
            </w:r>
          </w:p>
        </w:tc>
        <w:tc>
          <w:tcPr>
            <w:tcW w:w="87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2710人</w:t>
            </w:r>
          </w:p>
        </w:tc>
        <w:tc>
          <w:tcPr>
            <w:tcW w:w="699"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3</w:t>
            </w:r>
          </w:p>
        </w:tc>
        <w:tc>
          <w:tcPr>
            <w:tcW w:w="7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3</w:t>
            </w:r>
          </w:p>
        </w:tc>
        <w:tc>
          <w:tcPr>
            <w:tcW w:w="13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无偏差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829" w:type="dxa"/>
            <w:vMerge w:val="continue"/>
            <w:textDirection w:val="tbRlV"/>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759" w:type="dxa"/>
            <w:vMerge w:val="continue"/>
            <w:tcBorders>
              <w:top w:val="nil"/>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129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仿宋" w:hAnsi="仿宋" w:eastAsia="仿宋" w:cs="仿宋"/>
                <w:i w:val="0"/>
                <w:color w:val="000000"/>
                <w:kern w:val="0"/>
                <w:sz w:val="21"/>
                <w:szCs w:val="21"/>
                <w:u w:val="none"/>
                <w:lang w:val="en-US" w:eastAsia="zh-CN" w:bidi="ar"/>
              </w:rPr>
              <w:t>保障宗教宗教团体稳定个数</w:t>
            </w:r>
          </w:p>
        </w:tc>
        <w:tc>
          <w:tcPr>
            <w:tcW w:w="1054"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4个</w:t>
            </w:r>
          </w:p>
        </w:tc>
        <w:tc>
          <w:tcPr>
            <w:tcW w:w="87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4个</w:t>
            </w:r>
          </w:p>
        </w:tc>
        <w:tc>
          <w:tcPr>
            <w:tcW w:w="699"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3</w:t>
            </w:r>
          </w:p>
        </w:tc>
        <w:tc>
          <w:tcPr>
            <w:tcW w:w="7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3</w:t>
            </w:r>
          </w:p>
        </w:tc>
        <w:tc>
          <w:tcPr>
            <w:tcW w:w="13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无偏差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829" w:type="dxa"/>
            <w:vMerge w:val="continue"/>
            <w:textDirection w:val="tbRlV"/>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759" w:type="dxa"/>
            <w:vMerge w:val="restart"/>
            <w:tcBorders>
              <w:left w:val="single" w:color="auto" w:sz="4" w:space="0"/>
              <w:bottom w:val="nil"/>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生态</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效益</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指标</w:t>
            </w:r>
          </w:p>
        </w:tc>
        <w:tc>
          <w:tcPr>
            <w:tcW w:w="129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仿宋" w:hAnsi="仿宋" w:eastAsia="仿宋" w:cs="仿宋"/>
                <w:i w:val="0"/>
                <w:color w:val="000000"/>
                <w:kern w:val="0"/>
                <w:sz w:val="21"/>
                <w:szCs w:val="21"/>
                <w:u w:val="none"/>
                <w:lang w:val="en-US" w:eastAsia="zh-CN" w:bidi="ar"/>
              </w:rPr>
              <w:t>协调生态环境与经济社会发展的关系</w:t>
            </w:r>
          </w:p>
        </w:tc>
        <w:tc>
          <w:tcPr>
            <w:tcW w:w="1054"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96%以上</w:t>
            </w:r>
          </w:p>
        </w:tc>
        <w:tc>
          <w:tcPr>
            <w:tcW w:w="87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95%</w:t>
            </w:r>
          </w:p>
        </w:tc>
        <w:tc>
          <w:tcPr>
            <w:tcW w:w="699"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3</w:t>
            </w:r>
          </w:p>
        </w:tc>
        <w:tc>
          <w:tcPr>
            <w:tcW w:w="7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3</w:t>
            </w:r>
          </w:p>
        </w:tc>
        <w:tc>
          <w:tcPr>
            <w:tcW w:w="13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无偏差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829" w:type="dxa"/>
            <w:vMerge w:val="continue"/>
            <w:textDirection w:val="tbRlV"/>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759" w:type="dxa"/>
            <w:vMerge w:val="continue"/>
            <w:tcBorders>
              <w:top w:val="nil"/>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129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仿宋" w:hAnsi="仿宋" w:eastAsia="仿宋" w:cs="仿宋"/>
                <w:i w:val="0"/>
                <w:color w:val="000000"/>
                <w:kern w:val="0"/>
                <w:sz w:val="21"/>
                <w:szCs w:val="21"/>
                <w:u w:val="none"/>
                <w:lang w:val="en-US" w:eastAsia="zh-CN" w:bidi="ar"/>
              </w:rPr>
              <w:t>培育生态、学习、法治和责任文化，创造良好生存环境</w:t>
            </w:r>
          </w:p>
        </w:tc>
        <w:tc>
          <w:tcPr>
            <w:tcW w:w="1054"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96%以上</w:t>
            </w:r>
          </w:p>
        </w:tc>
        <w:tc>
          <w:tcPr>
            <w:tcW w:w="87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96%</w:t>
            </w:r>
          </w:p>
        </w:tc>
        <w:tc>
          <w:tcPr>
            <w:tcW w:w="699"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3</w:t>
            </w:r>
          </w:p>
        </w:tc>
        <w:tc>
          <w:tcPr>
            <w:tcW w:w="7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3</w:t>
            </w:r>
          </w:p>
        </w:tc>
        <w:tc>
          <w:tcPr>
            <w:tcW w:w="13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无偏差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829" w:type="dxa"/>
            <w:vMerge w:val="continue"/>
            <w:textDirection w:val="tbRlV"/>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759" w:type="dxa"/>
            <w:tcBorders>
              <w:top w:val="single" w:color="auto" w:sz="4" w:space="0"/>
              <w:left w:val="single" w:color="auto" w:sz="4" w:space="0"/>
              <w:bottom w:val="nil"/>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可持续</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影响</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指标</w:t>
            </w:r>
          </w:p>
        </w:tc>
        <w:tc>
          <w:tcPr>
            <w:tcW w:w="129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仿宋" w:hAnsi="仿宋" w:eastAsia="仿宋" w:cs="仿宋"/>
                <w:i w:val="0"/>
                <w:color w:val="000000"/>
                <w:kern w:val="0"/>
                <w:sz w:val="21"/>
                <w:szCs w:val="21"/>
                <w:u w:val="none"/>
                <w:lang w:val="en-US" w:eastAsia="zh-CN" w:bidi="ar"/>
              </w:rPr>
              <w:t>团结一切可以团结的力量</w:t>
            </w:r>
          </w:p>
        </w:tc>
        <w:tc>
          <w:tcPr>
            <w:tcW w:w="1054"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96%以上</w:t>
            </w:r>
          </w:p>
        </w:tc>
        <w:tc>
          <w:tcPr>
            <w:tcW w:w="87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96%</w:t>
            </w:r>
          </w:p>
        </w:tc>
        <w:tc>
          <w:tcPr>
            <w:tcW w:w="699"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5</w:t>
            </w:r>
          </w:p>
        </w:tc>
        <w:tc>
          <w:tcPr>
            <w:tcW w:w="7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4</w:t>
            </w:r>
          </w:p>
        </w:tc>
        <w:tc>
          <w:tcPr>
            <w:tcW w:w="13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联络交友、扩大范围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829" w:type="dxa"/>
            <w:vMerge w:val="continue"/>
            <w:textDirection w:val="tbRlV"/>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992" w:type="dxa"/>
            <w:vMerge w:val="restart"/>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满意度</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指标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（10分）</w:t>
            </w:r>
          </w:p>
        </w:tc>
        <w:tc>
          <w:tcPr>
            <w:tcW w:w="759" w:type="dxa"/>
            <w:vMerge w:val="restart"/>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服务对象</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满意度</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指标</w:t>
            </w:r>
          </w:p>
        </w:tc>
        <w:tc>
          <w:tcPr>
            <w:tcW w:w="1297" w:type="dxa"/>
            <w:tcBorders>
              <w:lef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仿宋" w:hAnsi="仿宋" w:eastAsia="仿宋" w:cs="仿宋"/>
                <w:i w:val="0"/>
                <w:color w:val="000000"/>
                <w:kern w:val="0"/>
                <w:sz w:val="21"/>
                <w:szCs w:val="21"/>
                <w:u w:val="none"/>
                <w:lang w:val="en-US" w:eastAsia="zh-CN" w:bidi="ar"/>
              </w:rPr>
              <w:t>统战对象满意</w:t>
            </w:r>
          </w:p>
        </w:tc>
        <w:tc>
          <w:tcPr>
            <w:tcW w:w="1054"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99%以上</w:t>
            </w:r>
          </w:p>
        </w:tc>
        <w:tc>
          <w:tcPr>
            <w:tcW w:w="87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99%</w:t>
            </w:r>
          </w:p>
        </w:tc>
        <w:tc>
          <w:tcPr>
            <w:tcW w:w="699"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4</w:t>
            </w:r>
          </w:p>
        </w:tc>
        <w:tc>
          <w:tcPr>
            <w:tcW w:w="7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4</w:t>
            </w:r>
          </w:p>
        </w:tc>
        <w:tc>
          <w:tcPr>
            <w:tcW w:w="13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无偏差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829" w:type="dxa"/>
            <w:vMerge w:val="continue"/>
            <w:textDirection w:val="tbRlV"/>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992" w:type="dxa"/>
            <w:vMerge w:val="continue"/>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759"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1297" w:type="dxa"/>
            <w:tcBorders>
              <w:lef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仿宋" w:hAnsi="仿宋" w:eastAsia="仿宋" w:cs="仿宋"/>
                <w:i w:val="0"/>
                <w:color w:val="000000"/>
                <w:kern w:val="0"/>
                <w:sz w:val="21"/>
                <w:szCs w:val="21"/>
                <w:u w:val="none"/>
                <w:lang w:val="en-US" w:eastAsia="zh-CN" w:bidi="ar"/>
              </w:rPr>
              <w:t>宗教人士满意</w:t>
            </w:r>
          </w:p>
        </w:tc>
        <w:tc>
          <w:tcPr>
            <w:tcW w:w="1054"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99%以上</w:t>
            </w:r>
          </w:p>
        </w:tc>
        <w:tc>
          <w:tcPr>
            <w:tcW w:w="87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99%</w:t>
            </w:r>
          </w:p>
        </w:tc>
        <w:tc>
          <w:tcPr>
            <w:tcW w:w="699"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3</w:t>
            </w:r>
          </w:p>
        </w:tc>
        <w:tc>
          <w:tcPr>
            <w:tcW w:w="7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3</w:t>
            </w:r>
          </w:p>
        </w:tc>
        <w:tc>
          <w:tcPr>
            <w:tcW w:w="13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无偏差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829" w:type="dxa"/>
            <w:vMerge w:val="continue"/>
            <w:textDirection w:val="tbRlV"/>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992" w:type="dxa"/>
            <w:vMerge w:val="continue"/>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759"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1297" w:type="dxa"/>
            <w:tcBorders>
              <w:lef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仿宋" w:hAnsi="仿宋" w:eastAsia="仿宋" w:cs="仿宋"/>
                <w:i w:val="0"/>
                <w:color w:val="000000"/>
                <w:kern w:val="0"/>
                <w:sz w:val="21"/>
                <w:szCs w:val="21"/>
                <w:u w:val="none"/>
                <w:lang w:val="en-US" w:eastAsia="zh-CN" w:bidi="ar"/>
              </w:rPr>
              <w:t>少数民族人士满意</w:t>
            </w:r>
          </w:p>
        </w:tc>
        <w:tc>
          <w:tcPr>
            <w:tcW w:w="1054"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99%以上</w:t>
            </w:r>
          </w:p>
        </w:tc>
        <w:tc>
          <w:tcPr>
            <w:tcW w:w="87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99%</w:t>
            </w:r>
          </w:p>
        </w:tc>
        <w:tc>
          <w:tcPr>
            <w:tcW w:w="699"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3</w:t>
            </w:r>
          </w:p>
        </w:tc>
        <w:tc>
          <w:tcPr>
            <w:tcW w:w="7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3</w:t>
            </w:r>
          </w:p>
        </w:tc>
        <w:tc>
          <w:tcPr>
            <w:tcW w:w="13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无偏差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829" w:type="dxa"/>
            <w:vMerge w:val="continue"/>
            <w:textDirection w:val="tbRlV"/>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992" w:type="dxa"/>
            <w:vMerge w:val="restart"/>
            <w:tcBorders>
              <w:top w:val="single" w:color="auto" w:sz="4" w:space="0"/>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成</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本</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0分</w:t>
            </w:r>
            <w:r>
              <w:rPr>
                <w:rFonts w:hint="eastAsia" w:asciiTheme="minorEastAsia" w:hAnsiTheme="minorEastAsia" w:eastAsiaTheme="minorEastAsia" w:cstheme="minorEastAsia"/>
                <w:sz w:val="21"/>
                <w:szCs w:val="21"/>
                <w:lang w:val="en-US" w:eastAsia="zh-CN"/>
              </w:rPr>
              <w:t>）</w:t>
            </w:r>
          </w:p>
        </w:tc>
        <w:tc>
          <w:tcPr>
            <w:tcW w:w="759" w:type="dxa"/>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经济</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成本</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指标</w:t>
            </w:r>
          </w:p>
        </w:tc>
        <w:tc>
          <w:tcPr>
            <w:tcW w:w="1297" w:type="dxa"/>
            <w:tcBorders>
              <w:lef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仿宋" w:hAnsi="仿宋" w:eastAsia="仿宋" w:cs="仿宋"/>
                <w:i w:val="0"/>
                <w:color w:val="000000"/>
                <w:kern w:val="0"/>
                <w:sz w:val="21"/>
                <w:szCs w:val="21"/>
                <w:u w:val="none"/>
                <w:lang w:val="en-US" w:eastAsia="zh-CN" w:bidi="ar"/>
              </w:rPr>
              <w:t>日常工作成本</w:t>
            </w:r>
          </w:p>
        </w:tc>
        <w:tc>
          <w:tcPr>
            <w:tcW w:w="1054"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color w:val="000000"/>
                <w:kern w:val="0"/>
                <w:sz w:val="21"/>
                <w:szCs w:val="21"/>
                <w:u w:val="none"/>
                <w:lang w:val="en-US" w:eastAsia="zh-CN" w:bidi="ar"/>
              </w:rPr>
              <w:t>402.83万元</w:t>
            </w:r>
          </w:p>
        </w:tc>
        <w:tc>
          <w:tcPr>
            <w:tcW w:w="87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color w:val="000000"/>
                <w:kern w:val="0"/>
                <w:sz w:val="21"/>
                <w:szCs w:val="21"/>
                <w:u w:val="none"/>
                <w:lang w:val="en-US" w:eastAsia="zh-CN" w:bidi="ar"/>
              </w:rPr>
              <w:t>402.83万元</w:t>
            </w:r>
          </w:p>
        </w:tc>
        <w:tc>
          <w:tcPr>
            <w:tcW w:w="699"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5</w:t>
            </w:r>
          </w:p>
        </w:tc>
        <w:tc>
          <w:tcPr>
            <w:tcW w:w="7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5</w:t>
            </w:r>
          </w:p>
        </w:tc>
        <w:tc>
          <w:tcPr>
            <w:tcW w:w="13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无偏差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829" w:type="dxa"/>
            <w:vMerge w:val="continue"/>
            <w:textDirection w:val="tbRlV"/>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992" w:type="dxa"/>
            <w:vMerge w:val="continue"/>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759" w:type="dxa"/>
            <w:vMerge w:val="restart"/>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社会</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成本</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指标</w:t>
            </w:r>
          </w:p>
        </w:tc>
        <w:tc>
          <w:tcPr>
            <w:tcW w:w="1297" w:type="dxa"/>
            <w:tcBorders>
              <w:lef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仿宋" w:hAnsi="仿宋" w:eastAsia="仿宋" w:cs="仿宋"/>
                <w:i w:val="0"/>
                <w:color w:val="000000"/>
                <w:kern w:val="0"/>
                <w:sz w:val="21"/>
                <w:szCs w:val="21"/>
                <w:u w:val="none"/>
                <w:lang w:val="en-US" w:eastAsia="zh-CN" w:bidi="ar"/>
              </w:rPr>
              <w:t>健康成本</w:t>
            </w:r>
          </w:p>
        </w:tc>
        <w:tc>
          <w:tcPr>
            <w:tcW w:w="1054"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1200元/人</w:t>
            </w:r>
          </w:p>
        </w:tc>
        <w:tc>
          <w:tcPr>
            <w:tcW w:w="87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1200元/人</w:t>
            </w:r>
          </w:p>
        </w:tc>
        <w:tc>
          <w:tcPr>
            <w:tcW w:w="699"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3</w:t>
            </w:r>
          </w:p>
        </w:tc>
        <w:tc>
          <w:tcPr>
            <w:tcW w:w="7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3</w:t>
            </w:r>
          </w:p>
        </w:tc>
        <w:tc>
          <w:tcPr>
            <w:tcW w:w="13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无偏差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829" w:type="dxa"/>
            <w:vMerge w:val="continue"/>
            <w:textDirection w:val="tbRlV"/>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992" w:type="dxa"/>
            <w:vMerge w:val="continue"/>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759"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lang w:eastAsia="zh-CN"/>
              </w:rPr>
            </w:pPr>
          </w:p>
        </w:tc>
        <w:tc>
          <w:tcPr>
            <w:tcW w:w="1297" w:type="dxa"/>
            <w:tcBorders>
              <w:lef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仿宋" w:hAnsi="仿宋" w:eastAsia="仿宋" w:cs="仿宋"/>
                <w:i w:val="0"/>
                <w:color w:val="000000"/>
                <w:kern w:val="0"/>
                <w:sz w:val="21"/>
                <w:szCs w:val="21"/>
                <w:u w:val="none"/>
                <w:lang w:val="en-US" w:eastAsia="zh-CN" w:bidi="ar"/>
              </w:rPr>
              <w:t>安全成本</w:t>
            </w:r>
          </w:p>
        </w:tc>
        <w:tc>
          <w:tcPr>
            <w:tcW w:w="1054"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300元/人</w:t>
            </w:r>
          </w:p>
        </w:tc>
        <w:tc>
          <w:tcPr>
            <w:tcW w:w="87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300元/人</w:t>
            </w:r>
          </w:p>
        </w:tc>
        <w:tc>
          <w:tcPr>
            <w:tcW w:w="699"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3</w:t>
            </w:r>
          </w:p>
        </w:tc>
        <w:tc>
          <w:tcPr>
            <w:tcW w:w="7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3</w:t>
            </w:r>
          </w:p>
        </w:tc>
        <w:tc>
          <w:tcPr>
            <w:tcW w:w="13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无偏差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829" w:type="dxa"/>
            <w:vMerge w:val="continue"/>
            <w:textDirection w:val="tbRlV"/>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992" w:type="dxa"/>
            <w:vMerge w:val="continue"/>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759" w:type="dxa"/>
            <w:vMerge w:val="continue"/>
            <w:tcBorders>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lang w:eastAsia="zh-CN"/>
              </w:rPr>
            </w:pPr>
          </w:p>
        </w:tc>
        <w:tc>
          <w:tcPr>
            <w:tcW w:w="1297" w:type="dxa"/>
            <w:tcBorders>
              <w:lef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仿宋" w:hAnsi="仿宋" w:eastAsia="仿宋" w:cs="仿宋"/>
                <w:i w:val="0"/>
                <w:color w:val="000000"/>
                <w:kern w:val="0"/>
                <w:sz w:val="21"/>
                <w:szCs w:val="21"/>
                <w:u w:val="none"/>
                <w:lang w:val="en-US" w:eastAsia="zh-CN" w:bidi="ar"/>
              </w:rPr>
              <w:t>教育成本</w:t>
            </w:r>
          </w:p>
        </w:tc>
        <w:tc>
          <w:tcPr>
            <w:tcW w:w="1054"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500元</w:t>
            </w:r>
          </w:p>
        </w:tc>
        <w:tc>
          <w:tcPr>
            <w:tcW w:w="87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500元</w:t>
            </w:r>
          </w:p>
        </w:tc>
        <w:tc>
          <w:tcPr>
            <w:tcW w:w="699"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2</w:t>
            </w:r>
          </w:p>
        </w:tc>
        <w:tc>
          <w:tcPr>
            <w:tcW w:w="7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2</w:t>
            </w:r>
          </w:p>
        </w:tc>
        <w:tc>
          <w:tcPr>
            <w:tcW w:w="13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无偏差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829" w:type="dxa"/>
            <w:vMerge w:val="continue"/>
            <w:textDirection w:val="tbRlV"/>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992" w:type="dxa"/>
            <w:vMerge w:val="continue"/>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759" w:type="dxa"/>
            <w:vMerge w:val="restart"/>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生态</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环境</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成本</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指标</w:t>
            </w:r>
          </w:p>
        </w:tc>
        <w:tc>
          <w:tcPr>
            <w:tcW w:w="1297" w:type="dxa"/>
            <w:tcBorders>
              <w:lef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仿宋" w:hAnsi="仿宋" w:eastAsia="仿宋" w:cs="仿宋"/>
                <w:i w:val="0"/>
                <w:color w:val="000000"/>
                <w:kern w:val="0"/>
                <w:sz w:val="21"/>
                <w:szCs w:val="21"/>
                <w:u w:val="none"/>
                <w:lang w:val="en-US" w:eastAsia="zh-CN" w:bidi="ar"/>
              </w:rPr>
              <w:t>生态保护成本</w:t>
            </w:r>
          </w:p>
        </w:tc>
        <w:tc>
          <w:tcPr>
            <w:tcW w:w="1054"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100元/人</w:t>
            </w:r>
          </w:p>
        </w:tc>
        <w:tc>
          <w:tcPr>
            <w:tcW w:w="87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100元/人</w:t>
            </w:r>
          </w:p>
        </w:tc>
        <w:tc>
          <w:tcPr>
            <w:tcW w:w="699"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2</w:t>
            </w:r>
          </w:p>
        </w:tc>
        <w:tc>
          <w:tcPr>
            <w:tcW w:w="7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2</w:t>
            </w:r>
          </w:p>
        </w:tc>
        <w:tc>
          <w:tcPr>
            <w:tcW w:w="13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无偏差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829" w:type="dxa"/>
            <w:vMerge w:val="continue"/>
            <w:textDirection w:val="tbRlV"/>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992" w:type="dxa"/>
            <w:vMerge w:val="continue"/>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759"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lang w:eastAsia="zh-CN"/>
              </w:rPr>
            </w:pPr>
          </w:p>
        </w:tc>
        <w:tc>
          <w:tcPr>
            <w:tcW w:w="1297" w:type="dxa"/>
            <w:tcBorders>
              <w:lef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仿宋" w:hAnsi="仿宋" w:eastAsia="仿宋" w:cs="仿宋"/>
                <w:i w:val="0"/>
                <w:color w:val="000000"/>
                <w:kern w:val="0"/>
                <w:sz w:val="21"/>
                <w:szCs w:val="21"/>
                <w:u w:val="none"/>
                <w:lang w:val="en-US" w:eastAsia="zh-CN" w:bidi="ar"/>
              </w:rPr>
              <w:t>资源替代成本</w:t>
            </w:r>
          </w:p>
        </w:tc>
        <w:tc>
          <w:tcPr>
            <w:tcW w:w="1054"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200元/人</w:t>
            </w:r>
          </w:p>
        </w:tc>
        <w:tc>
          <w:tcPr>
            <w:tcW w:w="87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200元/人</w:t>
            </w:r>
          </w:p>
        </w:tc>
        <w:tc>
          <w:tcPr>
            <w:tcW w:w="699"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2</w:t>
            </w:r>
          </w:p>
        </w:tc>
        <w:tc>
          <w:tcPr>
            <w:tcW w:w="7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2</w:t>
            </w:r>
          </w:p>
        </w:tc>
        <w:tc>
          <w:tcPr>
            <w:tcW w:w="13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无偏差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829" w:type="dxa"/>
            <w:vMerge w:val="continue"/>
            <w:textDirection w:val="tbRlV"/>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992" w:type="dxa"/>
            <w:vMerge w:val="continue"/>
            <w:tcBorders>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759" w:type="dxa"/>
            <w:vMerge w:val="continue"/>
            <w:tcBorders>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c>
          <w:tcPr>
            <w:tcW w:w="1297" w:type="dxa"/>
            <w:tcBorders>
              <w:lef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仿宋" w:hAnsi="仿宋" w:eastAsia="仿宋" w:cs="仿宋"/>
                <w:i w:val="0"/>
                <w:color w:val="000000"/>
                <w:kern w:val="0"/>
                <w:sz w:val="21"/>
                <w:szCs w:val="21"/>
                <w:u w:val="none"/>
                <w:lang w:val="en-US" w:eastAsia="zh-CN" w:bidi="ar"/>
              </w:rPr>
              <w:t>生态补偿成本</w:t>
            </w:r>
          </w:p>
        </w:tc>
        <w:tc>
          <w:tcPr>
            <w:tcW w:w="1054"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100元/人</w:t>
            </w:r>
          </w:p>
        </w:tc>
        <w:tc>
          <w:tcPr>
            <w:tcW w:w="87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100元/人</w:t>
            </w:r>
          </w:p>
        </w:tc>
        <w:tc>
          <w:tcPr>
            <w:tcW w:w="699"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3</w:t>
            </w:r>
          </w:p>
        </w:tc>
        <w:tc>
          <w:tcPr>
            <w:tcW w:w="7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default" w:ascii="仿宋_GB2312" w:hAnsi="宋体" w:eastAsia="仿宋_GB2312" w:cs="仿宋_GB2312"/>
                <w:i w:val="0"/>
                <w:color w:val="000000"/>
                <w:kern w:val="0"/>
                <w:sz w:val="21"/>
                <w:szCs w:val="21"/>
                <w:u w:val="none"/>
                <w:lang w:val="en-US" w:eastAsia="zh-CN" w:bidi="ar"/>
              </w:rPr>
              <w:t>3</w:t>
            </w:r>
          </w:p>
        </w:tc>
        <w:tc>
          <w:tcPr>
            <w:tcW w:w="1323"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宋体" w:hAnsi="宋体" w:eastAsia="宋体" w:cs="宋体"/>
                <w:i w:val="0"/>
                <w:color w:val="000000"/>
                <w:kern w:val="0"/>
                <w:sz w:val="21"/>
                <w:szCs w:val="21"/>
                <w:u w:val="none"/>
                <w:lang w:val="en-US" w:eastAsia="zh-CN" w:bidi="ar"/>
              </w:rPr>
              <w:t>无偏差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69" w:hRule="atLeast"/>
          <w:jc w:val="center"/>
        </w:trPr>
        <w:tc>
          <w:tcPr>
            <w:tcW w:w="5803" w:type="dxa"/>
            <w:gridSpan w:val="6"/>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总分</w:t>
            </w:r>
          </w:p>
        </w:tc>
        <w:tc>
          <w:tcPr>
            <w:tcW w:w="699" w:type="dxa"/>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100</w:t>
            </w:r>
          </w:p>
        </w:tc>
        <w:tc>
          <w:tcPr>
            <w:tcW w:w="723" w:type="dxa"/>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97.5</w:t>
            </w:r>
          </w:p>
        </w:tc>
        <w:tc>
          <w:tcPr>
            <w:tcW w:w="1323" w:type="dxa"/>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sz w:val="21"/>
                <w:szCs w:val="21"/>
              </w:rPr>
            </w:pPr>
          </w:p>
        </w:tc>
      </w:tr>
    </w:tbl>
    <w:p>
      <w:pPr>
        <w:rPr>
          <w:rFonts w:hint="eastAsia"/>
        </w:rPr>
      </w:pPr>
    </w:p>
    <w:p>
      <w:pPr>
        <w:rPr>
          <w:rFonts w:hint="default" w:ascii="黑体" w:hAnsi="黑体" w:eastAsia="宋体" w:cs="黑体"/>
          <w:sz w:val="21"/>
          <w:szCs w:val="21"/>
          <w:lang w:val="en-US" w:eastAsia="zh-CN"/>
        </w:rPr>
      </w:pPr>
      <w:r>
        <w:rPr>
          <w:rFonts w:hint="eastAsia"/>
        </w:rPr>
        <w:t>填表人：</w:t>
      </w:r>
      <w:r>
        <w:rPr>
          <w:rFonts w:hint="eastAsia"/>
          <w:lang w:val="en-US" w:eastAsia="zh-CN"/>
        </w:rPr>
        <w:t>唐孟朗</w:t>
      </w:r>
      <w:r>
        <w:rPr>
          <w:rFonts w:hint="eastAsia"/>
        </w:rPr>
        <w:t xml:space="preserve"> 填报日期：</w:t>
      </w:r>
      <w:r>
        <w:rPr>
          <w:rFonts w:hint="eastAsia"/>
          <w:lang w:val="en-US" w:eastAsia="zh-CN"/>
        </w:rPr>
        <w:t>2024.5.29</w:t>
      </w:r>
      <w:r>
        <w:rPr>
          <w:rFonts w:hint="eastAsia"/>
        </w:rPr>
        <w:t xml:space="preserve">  联系电话：</w:t>
      </w:r>
      <w:r>
        <w:rPr>
          <w:rFonts w:hint="eastAsia"/>
          <w:lang w:val="en-US" w:eastAsia="zh-CN"/>
        </w:rPr>
        <w:t>15700825699</w:t>
      </w:r>
      <w:r>
        <w:rPr>
          <w:rFonts w:hint="eastAsia"/>
        </w:rPr>
        <w:t>单位负责人签字：</w:t>
      </w:r>
      <w:r>
        <w:rPr>
          <w:rFonts w:hint="eastAsia"/>
          <w:lang w:val="en-US" w:eastAsia="zh-CN"/>
        </w:rPr>
        <w:t>王立群</w:t>
      </w:r>
    </w:p>
    <w:sectPr>
      <w:footerReference r:id="rId3" w:type="default"/>
      <w:pgSz w:w="11905" w:h="16838"/>
      <w:pgMar w:top="1984" w:right="1701" w:bottom="1984" w:left="1701" w:header="850" w:footer="1587" w:gutter="0"/>
      <w:pgBorders>
        <w:top w:val="none" w:sz="0" w:space="0"/>
        <w:left w:val="none" w:sz="0" w:space="0"/>
        <w:bottom w:val="none" w:sz="0" w:space="0"/>
        <w:right w:val="none" w:sz="0" w:space="0"/>
      </w:pgBorders>
      <w:pgNumType w:fmt="numberInDash"/>
      <w:cols w:space="0" w:num="1"/>
      <w:rtlGutter w:val="0"/>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00000" w:csb1="00000000"/>
  </w:font>
  <w:font w:name="方正小标宋简体">
    <w:altName w:val="黑体"/>
    <w:panose1 w:val="03000509000000000000"/>
    <w:charset w:val="86"/>
    <w:family w:val="auto"/>
    <w:pitch w:val="default"/>
    <w:sig w:usb0="00000000" w:usb1="00000000" w:usb2="00000000" w:usb3="00000000" w:csb0="00000000" w:csb1="00000000"/>
  </w:font>
  <w:font w:name="楷体_GB2312">
    <w:altName w:val="楷体"/>
    <w:panose1 w:val="02010609030101010101"/>
    <w:charset w:val="86"/>
    <w:family w:val="auto"/>
    <w:pitch w:val="default"/>
    <w:sig w:usb0="00000000" w:usb1="00000000" w:usb2="00000000" w:usb3="00000000" w:csb0="00000000" w:csb1="00000000"/>
  </w:font>
  <w:font w:name="华文仿宋">
    <w:altName w:val="仿宋"/>
    <w:panose1 w:val="02010600040101010101"/>
    <w:charset w:val="86"/>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before="1" w:line="174" w:lineRule="auto"/>
      <w:ind w:left="574"/>
      <w:rPr>
        <w:sz w:val="28"/>
        <w:szCs w:val="28"/>
      </w:rPr>
    </w:pPr>
    <w:r>
      <w:rPr>
        <w:sz w:val="2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keepNext w:val="0"/>
                            <w:keepLines w:val="0"/>
                            <w:pageBreakBefore w:val="0"/>
                            <w:widowControl w:val="0"/>
                            <w:kinsoku/>
                            <w:wordWrap/>
                            <w:overflowPunct/>
                            <w:topLinePunct w:val="0"/>
                            <w:bidi w:val="0"/>
                            <w:adjustRightInd/>
                            <w:snapToGrid w:val="0"/>
                            <w:ind w:left="525" w:leftChars="250" w:right="525" w:rightChars="250"/>
                            <w:textAlignment w:val="auto"/>
                            <w:rPr>
                              <w:rFonts w:hint="eastAsia" w:ascii="华文仿宋" w:hAnsi="华文仿宋" w:eastAsia="华文仿宋" w:cs="华文仿宋"/>
                              <w:sz w:val="28"/>
                              <w:szCs w:val="28"/>
                            </w:rPr>
                          </w:pPr>
                          <w:r>
                            <w:rPr>
                              <w:rFonts w:hint="eastAsia" w:ascii="华文仿宋" w:hAnsi="华文仿宋" w:eastAsia="华文仿宋" w:cs="华文仿宋"/>
                              <w:sz w:val="28"/>
                              <w:szCs w:val="28"/>
                            </w:rPr>
                            <w:fldChar w:fldCharType="begin"/>
                          </w:r>
                          <w:r>
                            <w:rPr>
                              <w:rFonts w:hint="eastAsia" w:ascii="华文仿宋" w:hAnsi="华文仿宋" w:eastAsia="华文仿宋" w:cs="华文仿宋"/>
                              <w:sz w:val="28"/>
                              <w:szCs w:val="28"/>
                            </w:rPr>
                            <w:instrText xml:space="preserve"> PAGE  \* MERGEFORMAT </w:instrText>
                          </w:r>
                          <w:r>
                            <w:rPr>
                              <w:rFonts w:hint="eastAsia" w:ascii="华文仿宋" w:hAnsi="华文仿宋" w:eastAsia="华文仿宋" w:cs="华文仿宋"/>
                              <w:sz w:val="28"/>
                              <w:szCs w:val="28"/>
                            </w:rPr>
                            <w:fldChar w:fldCharType="separate"/>
                          </w:r>
                          <w:r>
                            <w:rPr>
                              <w:rFonts w:hint="eastAsia" w:ascii="华文仿宋" w:hAnsi="华文仿宋" w:eastAsia="华文仿宋" w:cs="华文仿宋"/>
                              <w:sz w:val="28"/>
                              <w:szCs w:val="28"/>
                            </w:rPr>
                            <w:t>15</w:t>
                          </w:r>
                          <w:r>
                            <w:rPr>
                              <w:rFonts w:hint="eastAsia" w:ascii="华文仿宋" w:hAnsi="华文仿宋" w:eastAsia="华文仿宋" w:cs="华文仿宋"/>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B2hfnRQCAAAVBAAADgAAAAAAAAAB&#10;ACAAAAAfAQAAZHJzL2Uyb0RvYy54bWxQSwUGAAAAAAYABgBZAQAApQUAAAAA&#10;">
              <v:fill on="f" focussize="0,0"/>
              <v:stroke on="f" weight="0.5pt"/>
              <v:imagedata o:title=""/>
              <o:lock v:ext="edit" aspectratio="f"/>
              <v:textbox inset="0mm,0mm,0mm,0mm" style="mso-fit-shape-to-text:t;">
                <w:txbxContent>
                  <w:p>
                    <w:pPr>
                      <w:pStyle w:val="6"/>
                      <w:keepNext w:val="0"/>
                      <w:keepLines w:val="0"/>
                      <w:pageBreakBefore w:val="0"/>
                      <w:widowControl w:val="0"/>
                      <w:kinsoku/>
                      <w:wordWrap/>
                      <w:overflowPunct/>
                      <w:topLinePunct w:val="0"/>
                      <w:bidi w:val="0"/>
                      <w:adjustRightInd/>
                      <w:snapToGrid w:val="0"/>
                      <w:ind w:left="525" w:leftChars="250" w:right="525" w:rightChars="250"/>
                      <w:textAlignment w:val="auto"/>
                      <w:rPr>
                        <w:rFonts w:hint="eastAsia" w:ascii="华文仿宋" w:hAnsi="华文仿宋" w:eastAsia="华文仿宋" w:cs="华文仿宋"/>
                        <w:sz w:val="28"/>
                        <w:szCs w:val="28"/>
                      </w:rPr>
                    </w:pPr>
                    <w:r>
                      <w:rPr>
                        <w:rFonts w:hint="eastAsia" w:ascii="华文仿宋" w:hAnsi="华文仿宋" w:eastAsia="华文仿宋" w:cs="华文仿宋"/>
                        <w:sz w:val="28"/>
                        <w:szCs w:val="28"/>
                      </w:rPr>
                      <w:fldChar w:fldCharType="begin"/>
                    </w:r>
                    <w:r>
                      <w:rPr>
                        <w:rFonts w:hint="eastAsia" w:ascii="华文仿宋" w:hAnsi="华文仿宋" w:eastAsia="华文仿宋" w:cs="华文仿宋"/>
                        <w:sz w:val="28"/>
                        <w:szCs w:val="28"/>
                      </w:rPr>
                      <w:instrText xml:space="preserve"> PAGE  \* MERGEFORMAT </w:instrText>
                    </w:r>
                    <w:r>
                      <w:rPr>
                        <w:rFonts w:hint="eastAsia" w:ascii="华文仿宋" w:hAnsi="华文仿宋" w:eastAsia="华文仿宋" w:cs="华文仿宋"/>
                        <w:sz w:val="28"/>
                        <w:szCs w:val="28"/>
                      </w:rPr>
                      <w:fldChar w:fldCharType="separate"/>
                    </w:r>
                    <w:r>
                      <w:rPr>
                        <w:rFonts w:hint="eastAsia" w:ascii="华文仿宋" w:hAnsi="华文仿宋" w:eastAsia="华文仿宋" w:cs="华文仿宋"/>
                        <w:sz w:val="28"/>
                        <w:szCs w:val="28"/>
                      </w:rPr>
                      <w:t>15</w:t>
                    </w:r>
                    <w:r>
                      <w:rPr>
                        <w:rFonts w:hint="eastAsia" w:ascii="华文仿宋" w:hAnsi="华文仿宋" w:eastAsia="华文仿宋" w:cs="华文仿宋"/>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DA005C"/>
    <w:multiLevelType w:val="singleLevel"/>
    <w:tmpl w:val="81DA005C"/>
    <w:lvl w:ilvl="0" w:tentative="0">
      <w:start w:val="9"/>
      <w:numFmt w:val="chineseCounting"/>
      <w:suff w:val="nothing"/>
      <w:lvlText w:val="%1、"/>
      <w:lvlJc w:val="left"/>
      <w:rPr>
        <w:rFonts w:hint="eastAsia"/>
      </w:rPr>
    </w:lvl>
  </w:abstractNum>
  <w:abstractNum w:abstractNumId="1">
    <w:nsid w:val="9665F64E"/>
    <w:multiLevelType w:val="singleLevel"/>
    <w:tmpl w:val="9665F64E"/>
    <w:lvl w:ilvl="0" w:tentative="0">
      <w:start w:val="1"/>
      <w:numFmt w:val="chineseCounting"/>
      <w:suff w:val="nothing"/>
      <w:lvlText w:val="%1、"/>
      <w:lvlJc w:val="left"/>
      <w:rPr>
        <w:rFonts w:hint="eastAsia"/>
      </w:rPr>
    </w:lvl>
  </w:abstractNum>
  <w:abstractNum w:abstractNumId="2">
    <w:nsid w:val="E01A2DC7"/>
    <w:multiLevelType w:val="singleLevel"/>
    <w:tmpl w:val="E01A2DC7"/>
    <w:lvl w:ilvl="0" w:tentative="0">
      <w:start w:val="2"/>
      <w:numFmt w:val="chineseCounting"/>
      <w:suff w:val="nothing"/>
      <w:lvlText w:val="（%1）"/>
      <w:lvlJc w:val="left"/>
      <w:rPr>
        <w:rFonts w:hint="eastAsia"/>
      </w:rPr>
    </w:lvl>
  </w:abstractNum>
  <w:abstractNum w:abstractNumId="3">
    <w:nsid w:val="0C0B4A2E"/>
    <w:multiLevelType w:val="singleLevel"/>
    <w:tmpl w:val="0C0B4A2E"/>
    <w:lvl w:ilvl="0" w:tentative="0">
      <w:start w:val="6"/>
      <w:numFmt w:val="chineseCounting"/>
      <w:suff w:val="nothing"/>
      <w:lvlText w:val="%1、"/>
      <w:lvlJc w:val="left"/>
      <w:rPr>
        <w:rFonts w:hint="eastAsi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bordersDoNotSurroundHeader w:val="0"/>
  <w:bordersDoNotSurroundFooter w:val="0"/>
  <w:documentProtection w:enforcement="0"/>
  <w:defaultTabStop w:val="420"/>
  <w:drawingGridHorizontalSpacing w:val="210"/>
  <w:drawingGridVerticalSpacing w:val="157"/>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zZjc5NTllMGFiYmY5NmVhMTllZTJlYTQ3YTVjMjgifQ=="/>
  </w:docVars>
  <w:rsids>
    <w:rsidRoot w:val="00172A27"/>
    <w:rsid w:val="00047FEF"/>
    <w:rsid w:val="000A3906"/>
    <w:rsid w:val="001776F1"/>
    <w:rsid w:val="004A3A52"/>
    <w:rsid w:val="006F0A16"/>
    <w:rsid w:val="00773328"/>
    <w:rsid w:val="00821883"/>
    <w:rsid w:val="00917857"/>
    <w:rsid w:val="00951882"/>
    <w:rsid w:val="00A755C2"/>
    <w:rsid w:val="00D06DD6"/>
    <w:rsid w:val="011D2710"/>
    <w:rsid w:val="016A347B"/>
    <w:rsid w:val="01B42948"/>
    <w:rsid w:val="01BF20E7"/>
    <w:rsid w:val="01E4322D"/>
    <w:rsid w:val="021138F7"/>
    <w:rsid w:val="02B50488"/>
    <w:rsid w:val="0338470A"/>
    <w:rsid w:val="034822A9"/>
    <w:rsid w:val="03D86621"/>
    <w:rsid w:val="04EE6171"/>
    <w:rsid w:val="05315F6B"/>
    <w:rsid w:val="05395EA9"/>
    <w:rsid w:val="0616597F"/>
    <w:rsid w:val="06426ACC"/>
    <w:rsid w:val="07A62D33"/>
    <w:rsid w:val="086B5F82"/>
    <w:rsid w:val="09E6794E"/>
    <w:rsid w:val="0A067AB9"/>
    <w:rsid w:val="0ABD557B"/>
    <w:rsid w:val="0BBB5A8D"/>
    <w:rsid w:val="0C104906"/>
    <w:rsid w:val="0C607C21"/>
    <w:rsid w:val="0CCB7736"/>
    <w:rsid w:val="0D9E0E8D"/>
    <w:rsid w:val="0E1F65D3"/>
    <w:rsid w:val="0E3E5716"/>
    <w:rsid w:val="0E6B257C"/>
    <w:rsid w:val="0EAB7397"/>
    <w:rsid w:val="0EF755B3"/>
    <w:rsid w:val="0F17035E"/>
    <w:rsid w:val="0F4E168D"/>
    <w:rsid w:val="0F7A0392"/>
    <w:rsid w:val="0FAF3959"/>
    <w:rsid w:val="0FD26E31"/>
    <w:rsid w:val="1020625B"/>
    <w:rsid w:val="11404466"/>
    <w:rsid w:val="11837AA9"/>
    <w:rsid w:val="11963ADD"/>
    <w:rsid w:val="11EB0F5C"/>
    <w:rsid w:val="11F20483"/>
    <w:rsid w:val="11F814D1"/>
    <w:rsid w:val="12123C76"/>
    <w:rsid w:val="12831010"/>
    <w:rsid w:val="129038DB"/>
    <w:rsid w:val="131E6AEC"/>
    <w:rsid w:val="13441D7E"/>
    <w:rsid w:val="136F31F8"/>
    <w:rsid w:val="138750E0"/>
    <w:rsid w:val="1396506E"/>
    <w:rsid w:val="13D82A59"/>
    <w:rsid w:val="140E6961"/>
    <w:rsid w:val="15604228"/>
    <w:rsid w:val="15A620D3"/>
    <w:rsid w:val="16A3369E"/>
    <w:rsid w:val="17114A8B"/>
    <w:rsid w:val="176B77A7"/>
    <w:rsid w:val="178536BD"/>
    <w:rsid w:val="19516372"/>
    <w:rsid w:val="19575CC2"/>
    <w:rsid w:val="19A80228"/>
    <w:rsid w:val="19AF68C7"/>
    <w:rsid w:val="19E85A53"/>
    <w:rsid w:val="1A101464"/>
    <w:rsid w:val="1A4C1518"/>
    <w:rsid w:val="1AB71087"/>
    <w:rsid w:val="1AB74849"/>
    <w:rsid w:val="1AC52FF2"/>
    <w:rsid w:val="1AE6175D"/>
    <w:rsid w:val="1B742AA7"/>
    <w:rsid w:val="1BD5498B"/>
    <w:rsid w:val="1BF15B4E"/>
    <w:rsid w:val="1CA34935"/>
    <w:rsid w:val="1D5A640E"/>
    <w:rsid w:val="1E9351E5"/>
    <w:rsid w:val="1F7640EC"/>
    <w:rsid w:val="20176B8B"/>
    <w:rsid w:val="20D30097"/>
    <w:rsid w:val="20D76C5F"/>
    <w:rsid w:val="20E55C2B"/>
    <w:rsid w:val="21057490"/>
    <w:rsid w:val="214A230E"/>
    <w:rsid w:val="21B052C4"/>
    <w:rsid w:val="22B43877"/>
    <w:rsid w:val="22CA430C"/>
    <w:rsid w:val="22DF2F05"/>
    <w:rsid w:val="22FF5445"/>
    <w:rsid w:val="23201E3D"/>
    <w:rsid w:val="2342170A"/>
    <w:rsid w:val="238D0E57"/>
    <w:rsid w:val="24256710"/>
    <w:rsid w:val="251E7983"/>
    <w:rsid w:val="25FE2B31"/>
    <w:rsid w:val="260D5D83"/>
    <w:rsid w:val="260E1D77"/>
    <w:rsid w:val="277A77CA"/>
    <w:rsid w:val="28043432"/>
    <w:rsid w:val="284A2254"/>
    <w:rsid w:val="29165294"/>
    <w:rsid w:val="292F1467"/>
    <w:rsid w:val="29786927"/>
    <w:rsid w:val="297B51B4"/>
    <w:rsid w:val="29E40467"/>
    <w:rsid w:val="29EF4220"/>
    <w:rsid w:val="29F527E2"/>
    <w:rsid w:val="2A976254"/>
    <w:rsid w:val="2A9A1E2C"/>
    <w:rsid w:val="2BF35971"/>
    <w:rsid w:val="2C487650"/>
    <w:rsid w:val="2C5A7AC4"/>
    <w:rsid w:val="2E4F43C0"/>
    <w:rsid w:val="2EC7368E"/>
    <w:rsid w:val="2EDC05D9"/>
    <w:rsid w:val="2F240CAA"/>
    <w:rsid w:val="2F5137B6"/>
    <w:rsid w:val="2FF62815"/>
    <w:rsid w:val="30FB4B41"/>
    <w:rsid w:val="31621165"/>
    <w:rsid w:val="31F44D5E"/>
    <w:rsid w:val="322E1E8E"/>
    <w:rsid w:val="323C5548"/>
    <w:rsid w:val="33235CE2"/>
    <w:rsid w:val="33F22F3B"/>
    <w:rsid w:val="359F2200"/>
    <w:rsid w:val="35A42962"/>
    <w:rsid w:val="36AD0EA9"/>
    <w:rsid w:val="36FF783F"/>
    <w:rsid w:val="37450F88"/>
    <w:rsid w:val="375F1A7E"/>
    <w:rsid w:val="378B026E"/>
    <w:rsid w:val="37B47BE4"/>
    <w:rsid w:val="37CF1309"/>
    <w:rsid w:val="37D6106F"/>
    <w:rsid w:val="37F52D97"/>
    <w:rsid w:val="38241593"/>
    <w:rsid w:val="38856E40"/>
    <w:rsid w:val="38BE1DF3"/>
    <w:rsid w:val="38F862EB"/>
    <w:rsid w:val="39343807"/>
    <w:rsid w:val="39887BBC"/>
    <w:rsid w:val="3A0F7AD4"/>
    <w:rsid w:val="3A53023B"/>
    <w:rsid w:val="3AF42D2D"/>
    <w:rsid w:val="3B062751"/>
    <w:rsid w:val="3B3A041F"/>
    <w:rsid w:val="3BAE6BF9"/>
    <w:rsid w:val="3BEE0229"/>
    <w:rsid w:val="3C3568D7"/>
    <w:rsid w:val="3CCA47F2"/>
    <w:rsid w:val="3CDE0708"/>
    <w:rsid w:val="3D33006A"/>
    <w:rsid w:val="3D3954D4"/>
    <w:rsid w:val="3D5877DF"/>
    <w:rsid w:val="3DAE53BC"/>
    <w:rsid w:val="3DC55CAA"/>
    <w:rsid w:val="3DD556CA"/>
    <w:rsid w:val="3DFE271A"/>
    <w:rsid w:val="3E5F4AE1"/>
    <w:rsid w:val="3E89004A"/>
    <w:rsid w:val="3F450429"/>
    <w:rsid w:val="3FB6105E"/>
    <w:rsid w:val="3FBF3F86"/>
    <w:rsid w:val="3FF70715"/>
    <w:rsid w:val="3FFD550C"/>
    <w:rsid w:val="4021030A"/>
    <w:rsid w:val="40226C80"/>
    <w:rsid w:val="407500BD"/>
    <w:rsid w:val="40C451A5"/>
    <w:rsid w:val="40C671E5"/>
    <w:rsid w:val="41051ABE"/>
    <w:rsid w:val="4156470B"/>
    <w:rsid w:val="41943ACE"/>
    <w:rsid w:val="42521D88"/>
    <w:rsid w:val="425D4066"/>
    <w:rsid w:val="430118BA"/>
    <w:rsid w:val="43173FD4"/>
    <w:rsid w:val="43B27D8E"/>
    <w:rsid w:val="44143822"/>
    <w:rsid w:val="44654A12"/>
    <w:rsid w:val="44E421C9"/>
    <w:rsid w:val="45077116"/>
    <w:rsid w:val="45320384"/>
    <w:rsid w:val="457C5F26"/>
    <w:rsid w:val="4716830A"/>
    <w:rsid w:val="47A70D1B"/>
    <w:rsid w:val="47BF53CA"/>
    <w:rsid w:val="48B126BB"/>
    <w:rsid w:val="495956BC"/>
    <w:rsid w:val="49CF255F"/>
    <w:rsid w:val="4A3239D7"/>
    <w:rsid w:val="4B2C5DCD"/>
    <w:rsid w:val="4B46D032"/>
    <w:rsid w:val="4B7D1173"/>
    <w:rsid w:val="4BB62AE2"/>
    <w:rsid w:val="4BBDFBDE"/>
    <w:rsid w:val="4BCF5C41"/>
    <w:rsid w:val="4C150E22"/>
    <w:rsid w:val="4C6A38FC"/>
    <w:rsid w:val="4CD520DA"/>
    <w:rsid w:val="4CE74BC3"/>
    <w:rsid w:val="4CEEB85C"/>
    <w:rsid w:val="4CF5000E"/>
    <w:rsid w:val="4D6D6EEB"/>
    <w:rsid w:val="4DB17672"/>
    <w:rsid w:val="4DB27F04"/>
    <w:rsid w:val="4F5D15A2"/>
    <w:rsid w:val="4FCB46B2"/>
    <w:rsid w:val="4FFE57BD"/>
    <w:rsid w:val="50AC44C4"/>
    <w:rsid w:val="50EA6DB9"/>
    <w:rsid w:val="51453FF0"/>
    <w:rsid w:val="515661FD"/>
    <w:rsid w:val="51714DE5"/>
    <w:rsid w:val="51CA7471"/>
    <w:rsid w:val="521C2FA3"/>
    <w:rsid w:val="522529B2"/>
    <w:rsid w:val="524806C4"/>
    <w:rsid w:val="5301082D"/>
    <w:rsid w:val="5387476B"/>
    <w:rsid w:val="53910AF4"/>
    <w:rsid w:val="53FBDA3F"/>
    <w:rsid w:val="54F63F7F"/>
    <w:rsid w:val="555952B3"/>
    <w:rsid w:val="555E65E4"/>
    <w:rsid w:val="556B5A36"/>
    <w:rsid w:val="5599697B"/>
    <w:rsid w:val="55AF40BB"/>
    <w:rsid w:val="55E65FDC"/>
    <w:rsid w:val="5613734A"/>
    <w:rsid w:val="562D7E5B"/>
    <w:rsid w:val="564F3D12"/>
    <w:rsid w:val="56C95A1C"/>
    <w:rsid w:val="56F72F7C"/>
    <w:rsid w:val="5717642E"/>
    <w:rsid w:val="57946554"/>
    <w:rsid w:val="57D80A00"/>
    <w:rsid w:val="586243BF"/>
    <w:rsid w:val="586B734D"/>
    <w:rsid w:val="58FD3402"/>
    <w:rsid w:val="5968027A"/>
    <w:rsid w:val="59B7758F"/>
    <w:rsid w:val="5AAF7799"/>
    <w:rsid w:val="5AB04BD0"/>
    <w:rsid w:val="5B5C1753"/>
    <w:rsid w:val="5BE211F7"/>
    <w:rsid w:val="5BF510BE"/>
    <w:rsid w:val="5C6C4B26"/>
    <w:rsid w:val="5D03DFF6"/>
    <w:rsid w:val="5D9C3D56"/>
    <w:rsid w:val="5DD775C7"/>
    <w:rsid w:val="5E134100"/>
    <w:rsid w:val="5F7A1C50"/>
    <w:rsid w:val="5FC69000"/>
    <w:rsid w:val="601C4AB5"/>
    <w:rsid w:val="604F2F3E"/>
    <w:rsid w:val="60BE691E"/>
    <w:rsid w:val="60F838FC"/>
    <w:rsid w:val="61444403"/>
    <w:rsid w:val="62265BDF"/>
    <w:rsid w:val="62E1699A"/>
    <w:rsid w:val="62FBC294"/>
    <w:rsid w:val="63123C13"/>
    <w:rsid w:val="63153360"/>
    <w:rsid w:val="63363318"/>
    <w:rsid w:val="637D5875"/>
    <w:rsid w:val="63E3625B"/>
    <w:rsid w:val="64147F0D"/>
    <w:rsid w:val="64B713E7"/>
    <w:rsid w:val="64CE4D16"/>
    <w:rsid w:val="64D66362"/>
    <w:rsid w:val="65860217"/>
    <w:rsid w:val="659D5052"/>
    <w:rsid w:val="667E0AA1"/>
    <w:rsid w:val="66AE5CE5"/>
    <w:rsid w:val="66D4191C"/>
    <w:rsid w:val="677027A4"/>
    <w:rsid w:val="67B37C7A"/>
    <w:rsid w:val="67F20A94"/>
    <w:rsid w:val="68FB17C3"/>
    <w:rsid w:val="695F12F9"/>
    <w:rsid w:val="69636C3A"/>
    <w:rsid w:val="696D83E8"/>
    <w:rsid w:val="69C60A20"/>
    <w:rsid w:val="69CF7B2C"/>
    <w:rsid w:val="69EE4FDB"/>
    <w:rsid w:val="69FEC155"/>
    <w:rsid w:val="6A0B0004"/>
    <w:rsid w:val="6A3273AF"/>
    <w:rsid w:val="6AC56475"/>
    <w:rsid w:val="6AD35263"/>
    <w:rsid w:val="6B8D38AE"/>
    <w:rsid w:val="6BA1010E"/>
    <w:rsid w:val="6BC80F42"/>
    <w:rsid w:val="6CE47E41"/>
    <w:rsid w:val="6CED5810"/>
    <w:rsid w:val="6CF92413"/>
    <w:rsid w:val="6DFE5E04"/>
    <w:rsid w:val="6E0D1F7B"/>
    <w:rsid w:val="6E796921"/>
    <w:rsid w:val="6E87203D"/>
    <w:rsid w:val="6F9278BB"/>
    <w:rsid w:val="6FB7D4E3"/>
    <w:rsid w:val="6FBE0EF0"/>
    <w:rsid w:val="6FFF1C22"/>
    <w:rsid w:val="70EC5DDE"/>
    <w:rsid w:val="71572F19"/>
    <w:rsid w:val="719B7427"/>
    <w:rsid w:val="71E33685"/>
    <w:rsid w:val="71F326B3"/>
    <w:rsid w:val="724A6793"/>
    <w:rsid w:val="72647B59"/>
    <w:rsid w:val="7372FC32"/>
    <w:rsid w:val="73A56E44"/>
    <w:rsid w:val="73B12A87"/>
    <w:rsid w:val="741F26FA"/>
    <w:rsid w:val="74470DF8"/>
    <w:rsid w:val="744E1D52"/>
    <w:rsid w:val="74BD60BB"/>
    <w:rsid w:val="74CF0052"/>
    <w:rsid w:val="74FA3C0D"/>
    <w:rsid w:val="751D6EAE"/>
    <w:rsid w:val="75FD1676"/>
    <w:rsid w:val="760138EB"/>
    <w:rsid w:val="7687113B"/>
    <w:rsid w:val="76C3247D"/>
    <w:rsid w:val="76EFC8B0"/>
    <w:rsid w:val="771863F0"/>
    <w:rsid w:val="776ACBF9"/>
    <w:rsid w:val="77FF7A21"/>
    <w:rsid w:val="7951325E"/>
    <w:rsid w:val="799536BA"/>
    <w:rsid w:val="7B170752"/>
    <w:rsid w:val="7B382425"/>
    <w:rsid w:val="7B8F681B"/>
    <w:rsid w:val="7BC55225"/>
    <w:rsid w:val="7BFF9B5C"/>
    <w:rsid w:val="7C3B673F"/>
    <w:rsid w:val="7CED5089"/>
    <w:rsid w:val="7D8636B9"/>
    <w:rsid w:val="7DD96C0E"/>
    <w:rsid w:val="7E352599"/>
    <w:rsid w:val="7E474F7B"/>
    <w:rsid w:val="7E7F4A49"/>
    <w:rsid w:val="7E8F7AC1"/>
    <w:rsid w:val="7F2BE2DA"/>
    <w:rsid w:val="7F7F87CE"/>
    <w:rsid w:val="7FB79B09"/>
    <w:rsid w:val="7FE97AB9"/>
    <w:rsid w:val="7FF13FB3"/>
    <w:rsid w:val="7FF31D0E"/>
    <w:rsid w:val="7FFDD6B3"/>
    <w:rsid w:val="7FFFB476"/>
    <w:rsid w:val="8BDF47C4"/>
    <w:rsid w:val="97BCC380"/>
    <w:rsid w:val="9FFF52D8"/>
    <w:rsid w:val="AEB56B76"/>
    <w:rsid w:val="AF9DF110"/>
    <w:rsid w:val="AFABB544"/>
    <w:rsid w:val="B8EB831F"/>
    <w:rsid w:val="B97CA8A2"/>
    <w:rsid w:val="BDEC0853"/>
    <w:rsid w:val="BEDF2C93"/>
    <w:rsid w:val="BFCF8B12"/>
    <w:rsid w:val="BFDE3C5E"/>
    <w:rsid w:val="BFF98747"/>
    <w:rsid w:val="BFFBFE8B"/>
    <w:rsid w:val="CD1D59DB"/>
    <w:rsid w:val="D8BFEB7A"/>
    <w:rsid w:val="DA7C7C00"/>
    <w:rsid w:val="DBBAFFF2"/>
    <w:rsid w:val="DCEDDEBC"/>
    <w:rsid w:val="DD7F0B52"/>
    <w:rsid w:val="DF2D0D8F"/>
    <w:rsid w:val="DF5FFD2E"/>
    <w:rsid w:val="DF7CB467"/>
    <w:rsid w:val="DFD16BC5"/>
    <w:rsid w:val="E7C7ECFD"/>
    <w:rsid w:val="E993F613"/>
    <w:rsid w:val="EAF02C80"/>
    <w:rsid w:val="EAFDC676"/>
    <w:rsid w:val="EC7CC44F"/>
    <w:rsid w:val="EDFFCE85"/>
    <w:rsid w:val="EFFEB24D"/>
    <w:rsid w:val="EFFFEA89"/>
    <w:rsid w:val="F67CDAB7"/>
    <w:rsid w:val="F7FFE2AA"/>
    <w:rsid w:val="FA96002D"/>
    <w:rsid w:val="FAFB27C0"/>
    <w:rsid w:val="FAFD7633"/>
    <w:rsid w:val="FB1719BC"/>
    <w:rsid w:val="FB2CBFEE"/>
    <w:rsid w:val="FBF58250"/>
    <w:rsid w:val="FCABCEC9"/>
    <w:rsid w:val="FD2B24D7"/>
    <w:rsid w:val="FDB340CE"/>
    <w:rsid w:val="FDFF90A7"/>
    <w:rsid w:val="FECB43AA"/>
    <w:rsid w:val="FEF02C5D"/>
    <w:rsid w:val="FEF9D4A3"/>
    <w:rsid w:val="FF5F60DE"/>
    <w:rsid w:val="FF5FC66C"/>
    <w:rsid w:val="FF9F4BB4"/>
    <w:rsid w:val="FFBB7CF0"/>
    <w:rsid w:val="FFDD4AC6"/>
    <w:rsid w:val="FFDEE716"/>
    <w:rsid w:val="FFF927C6"/>
    <w:rsid w:val="FFFB44A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locked/>
    <w:uiPriority w:val="0"/>
    <w:pPr>
      <w:keepNext/>
      <w:keepLines/>
      <w:outlineLvl w:val="0"/>
    </w:pPr>
    <w:rPr>
      <w:rFonts w:eastAsia="黑体"/>
      <w:bCs/>
      <w:kern w:val="44"/>
      <w:szCs w:val="44"/>
    </w:rPr>
  </w:style>
  <w:style w:type="character" w:default="1" w:styleId="10">
    <w:name w:val="Default Paragraph Font"/>
    <w:semiHidden/>
    <w:qFormat/>
    <w:uiPriority w:val="99"/>
  </w:style>
  <w:style w:type="table" w:default="1" w:styleId="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Layout w:type="fixed"/>
      <w:tblCellMar>
        <w:top w:w="0" w:type="dxa"/>
        <w:left w:w="108" w:type="dxa"/>
        <w:bottom w:w="0" w:type="dxa"/>
        <w:right w:w="108" w:type="dxa"/>
      </w:tblCellMar>
    </w:tblPr>
  </w:style>
  <w:style w:type="paragraph" w:styleId="2">
    <w:name w:val="footnote text"/>
    <w:basedOn w:val="1"/>
    <w:next w:val="1"/>
    <w:qFormat/>
    <w:uiPriority w:val="0"/>
    <w:pPr>
      <w:snapToGrid w:val="0"/>
      <w:jc w:val="left"/>
    </w:pPr>
    <w:rPr>
      <w:sz w:val="18"/>
      <w:szCs w:val="18"/>
    </w:rPr>
  </w:style>
  <w:style w:type="paragraph" w:styleId="4">
    <w:name w:val="Body Text"/>
    <w:basedOn w:val="1"/>
    <w:next w:val="5"/>
    <w:semiHidden/>
    <w:qFormat/>
    <w:uiPriority w:val="0"/>
    <w:rPr>
      <w:rFonts w:ascii="仿宋" w:hAnsi="仿宋" w:eastAsia="仿宋" w:cs="仿宋"/>
      <w:sz w:val="31"/>
      <w:szCs w:val="31"/>
      <w:lang w:val="en-US" w:eastAsia="en-US" w:bidi="ar-SA"/>
    </w:rPr>
  </w:style>
  <w:style w:type="paragraph" w:styleId="5">
    <w:name w:val="Body Text First Indent"/>
    <w:basedOn w:val="4"/>
    <w:qFormat/>
    <w:uiPriority w:val="0"/>
    <w:pPr>
      <w:spacing w:line="500" w:lineRule="exact"/>
      <w:ind w:firstLine="420"/>
    </w:pPr>
    <w:rPr>
      <w:sz w:val="28"/>
      <w:szCs w:val="20"/>
    </w:rPr>
  </w:style>
  <w:style w:type="paragraph" w:styleId="6">
    <w:name w:val="footer"/>
    <w:basedOn w:val="1"/>
    <w:link w:val="12"/>
    <w:qFormat/>
    <w:uiPriority w:val="99"/>
    <w:pPr>
      <w:tabs>
        <w:tab w:val="center" w:pos="4153"/>
        <w:tab w:val="right" w:pos="8306"/>
      </w:tabs>
      <w:snapToGrid w:val="0"/>
      <w:jc w:val="left"/>
    </w:pPr>
    <w:rPr>
      <w:sz w:val="18"/>
      <w:szCs w:val="18"/>
    </w:rPr>
  </w:style>
  <w:style w:type="paragraph" w:styleId="7">
    <w:name w:val="header"/>
    <w:basedOn w:val="1"/>
    <w:link w:val="13"/>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9">
    <w:name w:val="Table Grid"/>
    <w:basedOn w:val="8"/>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1">
    <w:name w:val="page number"/>
    <w:basedOn w:val="10"/>
    <w:qFormat/>
    <w:uiPriority w:val="99"/>
    <w:rPr>
      <w:rFonts w:cs="Times New Roman"/>
    </w:rPr>
  </w:style>
  <w:style w:type="character" w:customStyle="1" w:styleId="12">
    <w:name w:val="Footer Char"/>
    <w:basedOn w:val="10"/>
    <w:link w:val="6"/>
    <w:semiHidden/>
    <w:qFormat/>
    <w:uiPriority w:val="99"/>
    <w:rPr>
      <w:sz w:val="18"/>
      <w:szCs w:val="18"/>
    </w:rPr>
  </w:style>
  <w:style w:type="character" w:customStyle="1" w:styleId="13">
    <w:name w:val="Header Char"/>
    <w:basedOn w:val="10"/>
    <w:link w:val="7"/>
    <w:semiHidden/>
    <w:qFormat/>
    <w:uiPriority w:val="99"/>
    <w:rPr>
      <w:sz w:val="18"/>
      <w:szCs w:val="18"/>
    </w:rPr>
  </w:style>
  <w:style w:type="paragraph" w:styleId="14">
    <w:name w:val="List Paragraph"/>
    <w:basedOn w:val="1"/>
    <w:qFormat/>
    <w:uiPriority w:val="99"/>
    <w:pPr>
      <w:ind w:firstLine="420" w:firstLineChars="200"/>
    </w:pPr>
    <w:rPr>
      <w:rFonts w:ascii="Calibri" w:hAnsi="Calibri"/>
      <w:szCs w:val="22"/>
    </w:rPr>
  </w:style>
  <w:style w:type="table" w:customStyle="1" w:styleId="15">
    <w:name w:val="Table Normal"/>
    <w:semiHidden/>
    <w:unhideWhenUsed/>
    <w:qFormat/>
    <w:uiPriority w:val="0"/>
    <w:tblPr>
      <w:tblLayout w:type="fixed"/>
      <w:tblCellMar>
        <w:top w:w="0" w:type="dxa"/>
        <w:left w:w="0" w:type="dxa"/>
        <w:bottom w:w="0" w:type="dxa"/>
        <w:right w:w="0" w:type="dxa"/>
      </w:tblCellMar>
    </w:tblPr>
  </w:style>
  <w:style w:type="paragraph" w:customStyle="1" w:styleId="16">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12</Pages>
  <Words>4354</Words>
  <Characters>4599</Characters>
  <Lines>0</Lines>
  <Paragraphs>0</Paragraphs>
  <TotalTime>20</TotalTime>
  <ScaleCrop>false</ScaleCrop>
  <LinksUpToDate>false</LinksUpToDate>
  <CharactersWithSpaces>4995</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2020-06-06T01:07:00Z</dcterms:created>
  <dc:creator>Administrator</dc:creator>
  <cp:lastModifiedBy>Administrator</cp:lastModifiedBy>
  <cp:lastPrinted>2024-05-30T07:35:18Z</cp:lastPrinted>
  <dcterms:modified xsi:type="dcterms:W3CDTF">2024-05-30T07:35:42Z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KSOSaveFontToCloudKey">
    <vt:lpwstr>386772509_embed</vt:lpwstr>
  </property>
  <property fmtid="{D5CDD505-2E9C-101B-9397-08002B2CF9AE}" pid="4" name="ICV">
    <vt:lpwstr>F96CC6F13C934D6E834055B675BCA8AB_13</vt:lpwstr>
  </property>
</Properties>
</file>