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5</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华容县老干部活动中心业务工作经费项目</w:t>
      </w:r>
      <w:r>
        <w:rPr>
          <w:rFonts w:hint="eastAsia" w:ascii="方正小标宋简体" w:hAnsi="方正小标宋简体" w:eastAsia="方正小标宋简体" w:cs="方正小标宋简体"/>
          <w:sz w:val="44"/>
          <w:szCs w:val="44"/>
        </w:rPr>
        <w:t>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4"/>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ind w:firstLine="2736" w:firstLineChars="900"/>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lang w:val="en-US" w:eastAsia="zh-CN"/>
        </w:rPr>
        <w:t>05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lang w:val="en-US" w:eastAsia="zh-CN"/>
        </w:rPr>
        <w:t>28</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br w:type="page"/>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华容县老干部活动中心业务工作经费项目</w:t>
      </w:r>
      <w:r>
        <w:rPr>
          <w:rFonts w:hint="eastAsia" w:ascii="方正小标宋简体" w:hAnsi="方正小标宋简体" w:eastAsia="方正小标宋简体" w:cs="方正小标宋简体"/>
          <w:sz w:val="44"/>
          <w:szCs w:val="44"/>
        </w:rPr>
        <w:t>支出绩效自评报告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项目概况。</w:t>
      </w:r>
      <w:r>
        <w:rPr>
          <w:rFonts w:hint="eastAsia" w:ascii="Times New Roman" w:hAnsi="Times New Roman" w:eastAsia="仿宋_GB2312" w:cs="Times New Roman"/>
          <w:sz w:val="32"/>
          <w:szCs w:val="32"/>
          <w:lang w:val="en-US" w:eastAsia="zh-CN"/>
        </w:rPr>
        <w:t>2023年华容县老干部活动中心专项经费439.16万元。该专项资金用于老干部活动中心开展各项活动工作经费，主要包括发放离休干部离休费、津补贴、护理费、交通费、遗孀配偶生活补助、生活补贴、健康休养费、建国初期退休干部生活补贴及医疗补贴、行政事业单位离休干部绩效奖；开展离退休干部慰问；组织开展全县老干部重阳节、新春活动；老年大学、关工委、老年体协、老年保健协会、老科协等7个群团组织工作经费；发放离休干部抚恤金；开展全县老干支部调研等老干党建工作；维护维修老干部活动场所及办公场所；维护更新“美在金秋”老党员之家；开展“四就近”工作。</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项目绩效目标。</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目标1：保障管理的离退休干部生活待遇、政治待遇全面落实，关心关爱老干部。</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目标2：协助支持老年群团组织发展，引导支持老干部发挥余热；办好老年大学，发展县老年教育事业。</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目标3：协助县委离退休工委开展老干部党建工作。</w:t>
      </w:r>
    </w:p>
    <w:p>
      <w:pPr>
        <w:pStyle w:val="2"/>
        <w:rPr>
          <w:rFonts w:hint="eastAsia"/>
        </w:rPr>
      </w:pPr>
      <w:r>
        <w:rPr>
          <w:rFonts w:hint="eastAsia" w:ascii="Times New Roman" w:hAnsi="Times New Roman" w:eastAsia="仿宋_GB2312" w:cs="Times New Roman"/>
          <w:kern w:val="2"/>
          <w:sz w:val="32"/>
          <w:szCs w:val="32"/>
          <w:lang w:val="en-US" w:eastAsia="zh-CN" w:bidi="ar-SA"/>
        </w:rPr>
        <w:t>目标4：更新维护老干部办公场所、活动场所及或活动设施设备，为老干部开展活动提供条件。</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绩效评价目的、对象和范围。</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支出事后绩效评价的目的，主要是检查项目支出绩效目标完成情况，揭示专项预算执行过程中存在的问题，进而从数量、质量、时效、成本、效益等方面，综合衡量专项预算资金管理使用效果，为单位强化支出预算绩效管理提供依据，为以后年度预算安排提供参考。</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项目支出绩效评价对象包括纳入部门单位预算和财政预算管理的所有项目支出。</w:t>
      </w:r>
    </w:p>
    <w:p>
      <w:pPr>
        <w:pStyle w:val="2"/>
        <w:rPr>
          <w:rFonts w:hint="eastAsia"/>
        </w:rPr>
      </w:pPr>
      <w:r>
        <w:rPr>
          <w:rFonts w:hint="eastAsia" w:ascii="Times New Roman" w:hAnsi="Times New Roman" w:eastAsia="仿宋_GB2312" w:cs="Times New Roman"/>
          <w:kern w:val="2"/>
          <w:sz w:val="32"/>
          <w:szCs w:val="32"/>
          <w:lang w:val="en-US" w:eastAsia="zh-CN" w:bidi="ar-SA"/>
        </w:rPr>
        <w:t>项目支出绩效评价内容范围包括项目支出的绩效目标完成情况、预算资金执行情况。</w:t>
      </w:r>
    </w:p>
    <w:p>
      <w:pPr>
        <w:keepNext w:val="0"/>
        <w:keepLines w:val="0"/>
        <w:pageBreakBefore w:val="0"/>
        <w:numPr>
          <w:ilvl w:val="0"/>
          <w:numId w:val="1"/>
        </w:numPr>
        <w:kinsoku/>
        <w:wordWrap/>
        <w:overflowPunct/>
        <w:topLinePunct w:val="0"/>
        <w:autoSpaceDE/>
        <w:autoSpaceDN/>
        <w:bidi w:val="0"/>
        <w:adjustRightInd/>
        <w:snapToGrid/>
        <w:spacing w:line="610" w:lineRule="exact"/>
        <w:ind w:left="0" w:leftChars="0" w:firstLine="640" w:firstLineChars="200"/>
        <w:textAlignment w:val="auto"/>
        <w:rPr>
          <w:rFonts w:hint="eastAsia" w:eastAsia="仿宋_GB2312"/>
          <w:sz w:val="32"/>
          <w:szCs w:val="32"/>
        </w:rPr>
      </w:pPr>
      <w:r>
        <w:rPr>
          <w:rFonts w:hint="eastAsia" w:eastAsia="仿宋_GB2312"/>
          <w:sz w:val="32"/>
          <w:szCs w:val="32"/>
        </w:rPr>
        <w:t>绩效评价原则、评价指标体系</w:t>
      </w:r>
      <w:r>
        <w:rPr>
          <w:rFonts w:hint="eastAsia" w:eastAsia="仿宋_GB2312"/>
          <w:sz w:val="32"/>
          <w:szCs w:val="32"/>
          <w:lang w:eastAsia="zh-CN"/>
        </w:rPr>
        <w:t>（</w:t>
      </w:r>
      <w:r>
        <w:rPr>
          <w:rFonts w:hint="eastAsia" w:eastAsia="仿宋_GB2312"/>
          <w:sz w:val="32"/>
          <w:szCs w:val="32"/>
        </w:rPr>
        <w:t>附表说明</w:t>
      </w:r>
      <w:r>
        <w:rPr>
          <w:rFonts w:hint="eastAsia" w:eastAsia="仿宋_GB2312"/>
          <w:sz w:val="32"/>
          <w:szCs w:val="32"/>
          <w:lang w:eastAsia="zh-CN"/>
        </w:rPr>
        <w:t>）</w:t>
      </w:r>
      <w:r>
        <w:rPr>
          <w:rFonts w:hint="eastAsia" w:eastAsia="仿宋_GB2312"/>
          <w:sz w:val="32"/>
          <w:szCs w:val="32"/>
        </w:rPr>
        <w:t>、评价方法、评价标准等。</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绩效评价坚持科学公正、公开透明的原则，采用目标比较法，采取定性与定量评价相结合的方式，利用项目支出评价指标体系（见附件5：202</w:t>
      </w:r>
      <w:r>
        <w:rPr>
          <w:rFonts w:hint="eastAsia"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年度项目支出绩效自评表）对单位项目支出绩效自评价表格中的总体目标和各项绩效指标逐项进行评价分析。</w:t>
      </w:r>
    </w:p>
    <w:p>
      <w:pPr>
        <w:pStyle w:val="2"/>
        <w:numPr>
          <w:ilvl w:val="0"/>
          <w:numId w:val="0"/>
        </w:numPr>
        <w:ind w:leftChars="200"/>
        <w:rPr>
          <w:rFonts w:hint="eastAsia"/>
        </w:rPr>
      </w:pPr>
    </w:p>
    <w:p>
      <w:pPr>
        <w:keepNext w:val="0"/>
        <w:keepLines w:val="0"/>
        <w:pageBreakBefore w:val="0"/>
        <w:numPr>
          <w:ilvl w:val="0"/>
          <w:numId w:val="1"/>
        </w:numPr>
        <w:kinsoku/>
        <w:wordWrap/>
        <w:overflowPunct/>
        <w:topLinePunct w:val="0"/>
        <w:autoSpaceDE/>
        <w:autoSpaceDN/>
        <w:bidi w:val="0"/>
        <w:adjustRightInd/>
        <w:snapToGrid/>
        <w:spacing w:line="610" w:lineRule="exact"/>
        <w:ind w:left="0" w:leftChars="0" w:firstLine="640" w:firstLineChars="200"/>
        <w:textAlignment w:val="auto"/>
        <w:rPr>
          <w:rFonts w:hint="eastAsia" w:eastAsia="仿宋_GB2312"/>
          <w:sz w:val="32"/>
          <w:szCs w:val="32"/>
        </w:rPr>
      </w:pPr>
      <w:r>
        <w:rPr>
          <w:rFonts w:hint="eastAsia" w:eastAsia="仿宋_GB2312"/>
          <w:sz w:val="32"/>
          <w:szCs w:val="32"/>
        </w:rPr>
        <w:t>绩效评价工作过程。</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前期准备：制定相关预算计划，及绩效目标。</w:t>
      </w:r>
    </w:p>
    <w:p>
      <w:pPr>
        <w:pStyle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组织实施：加强经费审批与控制，规范支出标准与范围并严格执行。</w:t>
      </w:r>
    </w:p>
    <w:p>
      <w:pPr>
        <w:pStyle w:val="2"/>
        <w:numPr>
          <w:ilvl w:val="0"/>
          <w:numId w:val="0"/>
        </w:numPr>
        <w:ind w:left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分析评价：按照年初目标，分析评价项目资金完成情况。</w:t>
      </w:r>
    </w:p>
    <w:p>
      <w:pPr>
        <w:keepNext w:val="0"/>
        <w:keepLines w:val="0"/>
        <w:pageBreakBefore w:val="0"/>
        <w:numPr>
          <w:ilvl w:val="0"/>
          <w:numId w:val="2"/>
        </w:numPr>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综合评价情况及评价结论 </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严格遵守各项财经法规和财务管理制度规定，资金申报符合财政流程，资金支出符合预算用途，自评综合得分</w:t>
      </w:r>
      <w:r>
        <w:rPr>
          <w:rFonts w:hint="eastAsia" w:eastAsia="仿宋_GB2312" w:cs="Times New Roman"/>
          <w:kern w:val="2"/>
          <w:sz w:val="32"/>
          <w:szCs w:val="32"/>
          <w:lang w:val="en-US" w:eastAsia="zh-CN" w:bidi="ar-SA"/>
        </w:rPr>
        <w:t>95</w:t>
      </w:r>
      <w:r>
        <w:rPr>
          <w:rFonts w:hint="eastAsia" w:ascii="Times New Roman" w:hAnsi="Times New Roman" w:eastAsia="仿宋_GB2312" w:cs="Times New Roman"/>
          <w:kern w:val="2"/>
          <w:sz w:val="32"/>
          <w:szCs w:val="32"/>
          <w:lang w:val="en-US" w:eastAsia="zh-CN" w:bidi="ar-SA"/>
        </w:rPr>
        <w:t>分。</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项目决策情况。</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中心组织班子成员进行研究决策，对专项资金的使用设立了明确的目标。</w:t>
      </w:r>
    </w:p>
    <w:p>
      <w:pPr>
        <w:keepNext w:val="0"/>
        <w:keepLines w:val="0"/>
        <w:pageBreakBefore w:val="0"/>
        <w:numPr>
          <w:ilvl w:val="0"/>
          <w:numId w:val="3"/>
        </w:numPr>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项目过程情况。</w:t>
      </w:r>
    </w:p>
    <w:p>
      <w:pPr>
        <w:pStyle w:val="2"/>
        <w:rPr>
          <w:rFonts w:hint="eastAsia" w:eastAsia="仿宋_GB2312" w:cs="Times New Roman"/>
          <w:kern w:val="2"/>
          <w:sz w:val="30"/>
          <w:szCs w:val="30"/>
          <w:lang w:val="en-US" w:eastAsia="zh-CN" w:bidi="ar-SA"/>
        </w:rPr>
      </w:pPr>
      <w:r>
        <w:rPr>
          <w:rFonts w:hint="eastAsia" w:eastAsia="仿宋_GB2312" w:cs="Times New Roman"/>
          <w:kern w:val="2"/>
          <w:sz w:val="30"/>
          <w:szCs w:val="30"/>
          <w:lang w:val="en-US" w:eastAsia="zh-CN" w:bidi="ar-SA"/>
        </w:rPr>
        <w:t>资金到位情况：2023年项目资金调整预算439.16万，实际到位439.16万，资金到位没有影响工作的正常开展。</w:t>
      </w:r>
    </w:p>
    <w:p>
      <w:pPr>
        <w:pStyle w:val="2"/>
        <w:rPr>
          <w:rFonts w:hint="default"/>
          <w:lang w:val="en-US"/>
        </w:rPr>
      </w:pPr>
      <w:r>
        <w:rPr>
          <w:rFonts w:hint="eastAsia" w:eastAsia="仿宋_GB2312" w:cs="Times New Roman"/>
          <w:kern w:val="2"/>
          <w:sz w:val="30"/>
          <w:szCs w:val="30"/>
          <w:lang w:val="en-US" w:eastAsia="zh-CN" w:bidi="ar-SA"/>
        </w:rPr>
        <w:t>资金分配情况：老年群团组织及离退休工委工作经费120.31万；老干部待遇保障与特需工作经费299.44万；老干部服务工作经费19.41万。</w:t>
      </w:r>
    </w:p>
    <w:p>
      <w:pPr>
        <w:keepNext w:val="0"/>
        <w:keepLines w:val="0"/>
        <w:pageBreakBefore w:val="0"/>
        <w:numPr>
          <w:ilvl w:val="0"/>
          <w:numId w:val="3"/>
        </w:numPr>
        <w:kinsoku/>
        <w:wordWrap/>
        <w:overflowPunct/>
        <w:topLinePunct w:val="0"/>
        <w:autoSpaceDE/>
        <w:autoSpaceDN/>
        <w:bidi w:val="0"/>
        <w:adjustRightInd/>
        <w:snapToGrid/>
        <w:spacing w:line="610" w:lineRule="exact"/>
        <w:ind w:left="0" w:leftChars="0" w:firstLine="640" w:firstLineChars="200"/>
        <w:textAlignment w:val="auto"/>
        <w:rPr>
          <w:rFonts w:hint="eastAsia" w:eastAsia="仿宋_GB2312"/>
          <w:sz w:val="32"/>
          <w:szCs w:val="32"/>
        </w:rPr>
      </w:pPr>
      <w:r>
        <w:rPr>
          <w:rFonts w:hint="eastAsia"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eastAsia="仿宋_GB2312" w:cs="Times New Roman"/>
          <w:kern w:val="2"/>
          <w:sz w:val="30"/>
          <w:szCs w:val="30"/>
          <w:lang w:val="en-US" w:eastAsia="zh-CN" w:bidi="ar-SA"/>
        </w:rPr>
      </w:pPr>
      <w:r>
        <w:rPr>
          <w:rFonts w:hint="eastAsia"/>
          <w:lang w:val="en-US" w:eastAsia="zh-CN"/>
        </w:rPr>
        <w:t xml:space="preserve"> </w:t>
      </w:r>
      <w:r>
        <w:rPr>
          <w:rFonts w:hint="eastAsia" w:eastAsia="仿宋_GB2312" w:cs="Times New Roman"/>
          <w:kern w:val="2"/>
          <w:sz w:val="30"/>
          <w:szCs w:val="30"/>
          <w:lang w:val="en-US" w:eastAsia="zh-CN" w:bidi="ar-SA"/>
        </w:rPr>
        <w:t>1、根据相关政策文件及老干中心管理范围，2023年共发放离休干部基本离休费21.35万，津补贴22.97万，护理费15.5万，交通费5.91万，生活补贴16.84万，无固定收入遗孀配偶生活补贴14.97万；增发生活补贴8.62万；建国初期退休干部生活补贴9.6万，医疗补贴6.4万；健康休养费0.22万，离休干部绩效奖24.74万。</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eastAsia="仿宋_GB2312"/>
          <w:sz w:val="30"/>
          <w:szCs w:val="30"/>
          <w:lang w:val="en-US" w:eastAsia="zh-CN"/>
        </w:rPr>
      </w:pPr>
      <w:r>
        <w:rPr>
          <w:rFonts w:hint="eastAsia" w:eastAsia="仿宋_GB2312"/>
          <w:sz w:val="30"/>
          <w:szCs w:val="30"/>
          <w:lang w:val="en-US" w:eastAsia="zh-CN"/>
        </w:rPr>
        <w:t>2、每季度针对离休干部至少开展一次上门慰问，日常对离休干部、管理范围的退休干部生日、住院、去世等进行看望慰问。对离退休干部开展教育、体检等特需工作及服务。全年共支出8.86万，用于老干部慰问等特需支出及服务支出。</w:t>
      </w:r>
    </w:p>
    <w:p>
      <w:pPr>
        <w:pStyle w:val="2"/>
        <w:rPr>
          <w:rFonts w:hint="default" w:eastAsia="仿宋_GB2312"/>
          <w:sz w:val="30"/>
          <w:szCs w:val="30"/>
          <w:lang w:val="en-US" w:eastAsia="zh-CN"/>
        </w:rPr>
      </w:pPr>
      <w:r>
        <w:rPr>
          <w:rFonts w:hint="eastAsia" w:eastAsia="仿宋_GB2312"/>
          <w:sz w:val="30"/>
          <w:szCs w:val="30"/>
          <w:lang w:val="en-US" w:eastAsia="zh-CN"/>
        </w:rPr>
        <w:t>3、支持老年大学等8个群团组织机离退休工委工作发展，全年老年大学支出27.03万，老科协支出23.84万，关工委支出22.83万，老保协支出10.75万，老体协支出22.9万，老年书画家协会支出2.16万，老年诗词协会支出2.74万，乒乓球协会经费2.46万，离退休工委支出5.6万。</w:t>
      </w:r>
    </w:p>
    <w:p>
      <w:pPr>
        <w:pStyle w:val="2"/>
        <w:rPr>
          <w:rFonts w:hint="eastAsia" w:eastAsia="宋体"/>
          <w:lang w:val="en-US" w:eastAsia="zh-CN"/>
        </w:rPr>
      </w:pPr>
      <w:r>
        <w:rPr>
          <w:rFonts w:hint="eastAsia" w:eastAsia="仿宋_GB2312"/>
          <w:sz w:val="30"/>
          <w:szCs w:val="30"/>
          <w:lang w:val="en-US" w:eastAsia="zh-CN"/>
        </w:rPr>
        <w:t>4、办理离休干部死亡抚恤事项5件，申报并发放离休干部抚恤金125.65万。召开重阳新春老干部会议及老干部重大节日慰问，共支出35.3万。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四</w:t>
      </w:r>
      <w:r>
        <w:rPr>
          <w:rFonts w:hint="eastAsia" w:eastAsia="仿宋_GB2312"/>
          <w:sz w:val="32"/>
          <w:szCs w:val="32"/>
          <w:lang w:eastAsia="zh-CN"/>
        </w:rPr>
        <w:t>）</w:t>
      </w:r>
      <w:r>
        <w:rPr>
          <w:rFonts w:hint="eastAsia" w:eastAsia="仿宋_GB2312"/>
          <w:sz w:val="32"/>
          <w:szCs w:val="32"/>
        </w:rPr>
        <w:t>项目效益情况。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2"/>
          <w:sz w:val="32"/>
          <w:szCs w:val="32"/>
          <w:lang w:val="en-US" w:eastAsia="zh-CN" w:bidi="ar-SA"/>
        </w:rPr>
        <w:t>（一）离退休党建创新有为。</w:t>
      </w:r>
      <w:r>
        <w:rPr>
          <w:rFonts w:hint="eastAsia" w:ascii="仿宋_GB2312" w:hAnsi="仿宋_GB2312" w:eastAsia="仿宋_GB2312" w:cs="仿宋_GB2312"/>
          <w:sz w:val="32"/>
          <w:szCs w:val="32"/>
        </w:rPr>
        <w:t>落实湖南省干部荣誉退休制度，指导推进县政协、县检察院等1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个单位举办干部荣誉退休仪式，增进了老干部的归属感。扎实举办离退休党建业务培训班，培训</w:t>
      </w:r>
      <w:r>
        <w:rPr>
          <w:rFonts w:hint="eastAsia" w:ascii="仿宋_GB2312" w:hAnsi="仿宋_GB2312" w:eastAsia="仿宋_GB2312" w:cs="仿宋_GB2312"/>
          <w:sz w:val="32"/>
          <w:szCs w:val="32"/>
          <w:lang w:val="en-US" w:eastAsia="zh-CN"/>
        </w:rPr>
        <w:t>离退休干部党支部书记</w:t>
      </w:r>
      <w:r>
        <w:rPr>
          <w:rFonts w:hint="eastAsia" w:ascii="仿宋_GB2312" w:hAnsi="仿宋_GB2312" w:eastAsia="仿宋_GB2312" w:cs="仿宋_GB2312"/>
          <w:sz w:val="32"/>
          <w:szCs w:val="32"/>
        </w:rPr>
        <w:t>、党建联络员110多人。组织离退休党员收看网上报告会5次，6000多人次参与，老党员4篇心得体会文章在</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媒体刊出。拍摄反映离退休党建工作的视频短片4部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挖掘宣传身边</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榜样，推荐县农业农村局退休干部杨开炎获评全省“最美老干部”。组织</w:t>
      </w:r>
      <w:r>
        <w:rPr>
          <w:rFonts w:hint="eastAsia" w:ascii="仿宋_GB2312" w:hAnsi="仿宋_GB2312" w:eastAsia="仿宋_GB2312" w:cs="仿宋_GB2312"/>
          <w:sz w:val="32"/>
          <w:szCs w:val="32"/>
          <w:lang w:eastAsia="zh-CN"/>
        </w:rPr>
        <w:t>离退休干部党</w:t>
      </w:r>
      <w:r>
        <w:rPr>
          <w:rFonts w:hint="eastAsia" w:ascii="仿宋_GB2312" w:hAnsi="仿宋_GB2312" w:eastAsia="仿宋_GB2312" w:cs="仿宋_GB2312"/>
          <w:sz w:val="32"/>
          <w:szCs w:val="32"/>
        </w:rPr>
        <w:t>支</w:t>
      </w:r>
      <w:r>
        <w:rPr>
          <w:rFonts w:hint="eastAsia" w:ascii="仿宋_GB2312" w:hAnsi="仿宋_GB2312" w:eastAsia="仿宋_GB2312" w:cs="仿宋_GB2312"/>
          <w:sz w:val="32"/>
          <w:szCs w:val="32"/>
          <w:lang w:eastAsia="zh-CN"/>
        </w:rPr>
        <w:t>部</w:t>
      </w:r>
      <w:r>
        <w:rPr>
          <w:rFonts w:hint="eastAsia" w:ascii="仿宋_GB2312" w:hAnsi="仿宋_GB2312" w:eastAsia="仿宋_GB2312" w:cs="仿宋_GB2312"/>
          <w:sz w:val="32"/>
          <w:szCs w:val="32"/>
        </w:rPr>
        <w:t>书</w:t>
      </w:r>
      <w:r>
        <w:rPr>
          <w:rFonts w:hint="eastAsia" w:ascii="仿宋_GB2312" w:hAnsi="仿宋_GB2312" w:eastAsia="仿宋_GB2312" w:cs="仿宋_GB2312"/>
          <w:sz w:val="32"/>
          <w:szCs w:val="32"/>
          <w:lang w:eastAsia="zh-CN"/>
        </w:rPr>
        <w:t>记</w:t>
      </w:r>
      <w:r>
        <w:rPr>
          <w:rFonts w:hint="eastAsia" w:ascii="仿宋_GB2312" w:hAnsi="仿宋_GB2312" w:eastAsia="仿宋_GB2312" w:cs="仿宋_GB2312"/>
          <w:sz w:val="32"/>
          <w:szCs w:val="32"/>
        </w:rPr>
        <w:t>代表参加全市微党课比赛，</w:t>
      </w:r>
      <w:r>
        <w:rPr>
          <w:rFonts w:hint="eastAsia" w:ascii="仿宋_GB2312" w:hAnsi="仿宋_GB2312" w:eastAsia="仿宋_GB2312" w:cs="仿宋_GB2312"/>
          <w:sz w:val="32"/>
          <w:szCs w:val="32"/>
          <w:lang w:eastAsia="zh-CN"/>
        </w:rPr>
        <w:t>荣</w:t>
      </w:r>
      <w:r>
        <w:rPr>
          <w:rFonts w:hint="eastAsia" w:ascii="仿宋_GB2312" w:hAnsi="仿宋_GB2312" w:eastAsia="仿宋_GB2312" w:cs="仿宋_GB2312"/>
          <w:sz w:val="32"/>
          <w:szCs w:val="32"/>
        </w:rPr>
        <w:t>获第2名的好成绩。成功创建1个省级示范离退休</w:t>
      </w:r>
      <w:r>
        <w:rPr>
          <w:rFonts w:hint="eastAsia" w:ascii="仿宋_GB2312" w:hAnsi="仿宋_GB2312" w:eastAsia="仿宋_GB2312" w:cs="仿宋_GB2312"/>
          <w:sz w:val="32"/>
          <w:szCs w:val="32"/>
          <w:lang w:val="en-US" w:eastAsia="zh-CN"/>
        </w:rPr>
        <w:t>干部</w:t>
      </w:r>
      <w:r>
        <w:rPr>
          <w:rFonts w:hint="eastAsia" w:ascii="仿宋_GB2312" w:hAnsi="仿宋_GB2312" w:eastAsia="仿宋_GB2312" w:cs="仿宋_GB2312"/>
          <w:sz w:val="32"/>
          <w:szCs w:val="32"/>
        </w:rPr>
        <w:t>党支部（县</w:t>
      </w:r>
      <w:r>
        <w:rPr>
          <w:rFonts w:hint="eastAsia" w:ascii="仿宋_GB2312" w:hAnsi="仿宋_GB2312" w:eastAsia="仿宋_GB2312" w:cs="仿宋_GB2312"/>
          <w:sz w:val="32"/>
          <w:szCs w:val="32"/>
          <w:lang w:eastAsia="zh-CN"/>
        </w:rPr>
        <w:t>税务</w:t>
      </w:r>
      <w:r>
        <w:rPr>
          <w:rFonts w:hint="eastAsia" w:ascii="仿宋_GB2312" w:hAnsi="仿宋_GB2312" w:eastAsia="仿宋_GB2312" w:cs="仿宋_GB2312"/>
          <w:sz w:val="32"/>
          <w:szCs w:val="32"/>
        </w:rPr>
        <w:t>局）、1个市级示范离退休</w:t>
      </w:r>
      <w:r>
        <w:rPr>
          <w:rFonts w:hint="eastAsia" w:ascii="仿宋_GB2312" w:hAnsi="仿宋_GB2312" w:eastAsia="仿宋_GB2312" w:cs="仿宋_GB2312"/>
          <w:sz w:val="32"/>
          <w:szCs w:val="32"/>
          <w:lang w:val="en-US" w:eastAsia="zh-CN"/>
        </w:rPr>
        <w:t>干部</w:t>
      </w:r>
      <w:r>
        <w:rPr>
          <w:rFonts w:hint="eastAsia" w:ascii="仿宋_GB2312" w:hAnsi="仿宋_GB2312" w:eastAsia="仿宋_GB2312" w:cs="仿宋_GB2312"/>
          <w:sz w:val="32"/>
          <w:szCs w:val="32"/>
        </w:rPr>
        <w:t>党支部（县卫健局），新建4家“美在金秋”老党员之家，离退休干部支部建设和活动阵地得到</w:t>
      </w:r>
      <w:r>
        <w:rPr>
          <w:rFonts w:hint="eastAsia" w:ascii="仿宋_GB2312" w:hAnsi="仿宋_GB2312" w:eastAsia="仿宋_GB2312" w:cs="仿宋_GB2312"/>
          <w:sz w:val="32"/>
          <w:szCs w:val="32"/>
          <w:lang w:eastAsia="zh-CN"/>
        </w:rPr>
        <w:t>进一步</w:t>
      </w:r>
      <w:r>
        <w:rPr>
          <w:rFonts w:hint="eastAsia" w:ascii="仿宋_GB2312" w:hAnsi="仿宋_GB2312" w:eastAsia="仿宋_GB2312" w:cs="仿宋_GB2312"/>
          <w:sz w:val="32"/>
          <w:szCs w:val="32"/>
        </w:rPr>
        <w:t>加强。</w:t>
      </w:r>
    </w:p>
    <w:p>
      <w:pPr>
        <w:pStyle w:val="2"/>
        <w:numPr>
          <w:ilvl w:val="0"/>
          <w:numId w:val="0"/>
        </w:numPr>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待遇保障用心用情。</w:t>
      </w:r>
      <w:r>
        <w:rPr>
          <w:rFonts w:hint="eastAsia" w:ascii="仿宋_GB2312" w:hAnsi="仿宋_GB2312" w:eastAsia="仿宋_GB2312" w:cs="仿宋_GB2312"/>
          <w:sz w:val="32"/>
          <w:szCs w:val="32"/>
        </w:rPr>
        <w:t>举办全县庆祝重阳节活动暨向老干部工作汇报会等活动</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组织退休处级干部参加县委全会、人大政协两会、主题教育动员会和县委领导调研关工委座谈会等活动</w:t>
      </w:r>
      <w:r>
        <w:rPr>
          <w:rFonts w:hint="eastAsia" w:ascii="仿宋" w:hAnsi="仿宋" w:eastAsia="仿宋" w:cs="仿宋"/>
          <w:sz w:val="32"/>
          <w:szCs w:val="32"/>
          <w:lang w:eastAsia="zh-CN"/>
        </w:rPr>
        <w:t>。</w:t>
      </w:r>
      <w:r>
        <w:rPr>
          <w:rFonts w:hint="eastAsia" w:ascii="仿宋" w:hAnsi="仿宋" w:eastAsia="仿宋" w:cs="仿宋"/>
          <w:sz w:val="32"/>
          <w:szCs w:val="32"/>
        </w:rPr>
        <w:t>老</w:t>
      </w:r>
      <w:r>
        <w:rPr>
          <w:rFonts w:hint="eastAsia" w:ascii="仿宋" w:hAnsi="仿宋" w:eastAsia="仿宋" w:cs="仿宋"/>
          <w:sz w:val="32"/>
          <w:szCs w:val="32"/>
          <w:lang w:eastAsia="zh-CN"/>
        </w:rPr>
        <w:t>干部先后</w:t>
      </w:r>
      <w:r>
        <w:rPr>
          <w:rFonts w:hint="eastAsia" w:ascii="仿宋" w:hAnsi="仿宋" w:eastAsia="仿宋" w:cs="仿宋"/>
          <w:sz w:val="32"/>
          <w:szCs w:val="32"/>
        </w:rPr>
        <w:t>为人才工作</w:t>
      </w:r>
      <w:r>
        <w:rPr>
          <w:rFonts w:hint="eastAsia" w:ascii="仿宋" w:hAnsi="仿宋" w:eastAsia="仿宋" w:cs="仿宋"/>
          <w:sz w:val="32"/>
          <w:szCs w:val="32"/>
          <w:lang w:eastAsia="zh-CN"/>
        </w:rPr>
        <w:t>、</w:t>
      </w:r>
      <w:r>
        <w:rPr>
          <w:rFonts w:hint="eastAsia" w:ascii="仿宋" w:hAnsi="仿宋" w:eastAsia="仿宋" w:cs="仿宋"/>
          <w:sz w:val="32"/>
          <w:szCs w:val="32"/>
        </w:rPr>
        <w:t>国土空间规划</w:t>
      </w:r>
      <w:r>
        <w:rPr>
          <w:rFonts w:hint="eastAsia" w:ascii="仿宋" w:hAnsi="仿宋" w:eastAsia="仿宋" w:cs="仿宋"/>
          <w:sz w:val="32"/>
          <w:szCs w:val="32"/>
          <w:lang w:eastAsia="zh-CN"/>
        </w:rPr>
        <w:t>和政府工作报告</w:t>
      </w:r>
      <w:r>
        <w:rPr>
          <w:rFonts w:hint="eastAsia" w:ascii="仿宋" w:hAnsi="仿宋" w:eastAsia="仿宋" w:cs="仿宋"/>
          <w:sz w:val="32"/>
          <w:szCs w:val="32"/>
        </w:rPr>
        <w:t>等提出意见建议</w:t>
      </w:r>
      <w:r>
        <w:rPr>
          <w:rFonts w:hint="eastAsia" w:ascii="仿宋" w:hAnsi="仿宋" w:eastAsia="仿宋" w:cs="仿宋"/>
          <w:sz w:val="32"/>
          <w:szCs w:val="32"/>
          <w:lang w:val="en-US" w:eastAsia="zh-CN"/>
        </w:rPr>
        <w:t>3</w:t>
      </w:r>
      <w:r>
        <w:rPr>
          <w:rFonts w:hint="eastAsia" w:ascii="仿宋" w:hAnsi="仿宋" w:eastAsia="仿宋" w:cs="仿宋"/>
          <w:sz w:val="32"/>
          <w:szCs w:val="32"/>
        </w:rPr>
        <w:t>0多条</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rPr>
        <w:t>全面落实政策，</w:t>
      </w:r>
      <w:r>
        <w:rPr>
          <w:rFonts w:hint="eastAsia" w:ascii="仿宋" w:hAnsi="仿宋" w:eastAsia="仿宋" w:cs="仿宋"/>
          <w:sz w:val="32"/>
          <w:szCs w:val="32"/>
        </w:rPr>
        <w:t>追补了2018年以来的交通费差额和企业离休干部</w:t>
      </w:r>
      <w:r>
        <w:rPr>
          <w:rFonts w:hint="eastAsia" w:ascii="仿宋" w:hAnsi="仿宋" w:eastAsia="仿宋" w:cs="仿宋"/>
          <w:sz w:val="32"/>
          <w:szCs w:val="32"/>
          <w:lang w:val="en-US" w:eastAsia="zh-CN"/>
        </w:rPr>
        <w:t>2021-2022年</w:t>
      </w:r>
      <w:r>
        <w:rPr>
          <w:rFonts w:hint="eastAsia" w:ascii="仿宋" w:hAnsi="仿宋" w:eastAsia="仿宋" w:cs="仿宋"/>
          <w:sz w:val="32"/>
          <w:szCs w:val="32"/>
        </w:rPr>
        <w:t>的绩效奖2</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万元</w:t>
      </w:r>
      <w:r>
        <w:rPr>
          <w:rFonts w:hint="eastAsia" w:ascii="仿宋_GB2312" w:hAnsi="仿宋_GB2312" w:eastAsia="仿宋_GB2312" w:cs="仿宋_GB2312"/>
          <w:sz w:val="32"/>
          <w:szCs w:val="32"/>
        </w:rPr>
        <w:t>。全县离休干部离休费等生活待遇资金足额及时发放到位，1至12月份共发放离休干部打卡工资、护理费、交通费等生活待遇资金130余万元。创新开展离休干部“四对一”精准服务（即一名工作人员、一名县人民医院医疗保健专家、两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爱在始终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志愿者），得到省</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rPr>
        <w:t>市委老干部局领导高度肯定。全年班子成员带队走访慰问老干部近400人次，离退休干部整生上门送祝福23人</w:t>
      </w:r>
      <w:r>
        <w:rPr>
          <w:rFonts w:hint="eastAsia" w:ascii="仿宋_GB2312" w:hAnsi="仿宋_GB2312" w:eastAsia="仿宋_GB2312" w:cs="仿宋_GB2312"/>
          <w:sz w:val="32"/>
          <w:szCs w:val="32"/>
          <w:lang w:eastAsia="zh-CN"/>
        </w:rPr>
        <w:t>次</w:t>
      </w:r>
      <w:r>
        <w:rPr>
          <w:rFonts w:hint="eastAsia" w:ascii="仿宋_GB2312" w:hAnsi="仿宋_GB2312" w:eastAsia="仿宋_GB2312" w:cs="仿宋_GB2312"/>
          <w:sz w:val="32"/>
          <w:szCs w:val="32"/>
        </w:rPr>
        <w:t>，生病住院探望16人次，逝世吊唁8人，发放丧葬抚恤金125.7万元。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协调服务高质高效。</w:t>
      </w:r>
      <w:r>
        <w:rPr>
          <w:rFonts w:hint="eastAsia" w:ascii="仿宋_GB2312" w:hAnsi="仿宋_GB2312" w:eastAsia="仿宋_GB2312" w:cs="仿宋_GB2312"/>
          <w:sz w:val="32"/>
          <w:szCs w:val="32"/>
        </w:rPr>
        <w:t>全力协调服务老年群团组织工作开展。精心服务县关工委召开关心下一代工作会议、</w:t>
      </w:r>
      <w:r>
        <w:rPr>
          <w:rFonts w:hint="eastAsia" w:ascii="仿宋_GB2312" w:hAnsi="仿宋_GB2312" w:eastAsia="仿宋_GB2312" w:cs="仿宋_GB2312"/>
          <w:sz w:val="32"/>
          <w:szCs w:val="32"/>
          <w:lang w:eastAsia="zh-CN"/>
        </w:rPr>
        <w:t>县委专题调研关工委工作、</w:t>
      </w:r>
      <w:r>
        <w:rPr>
          <w:rFonts w:hint="eastAsia" w:ascii="仿宋_GB2312" w:hAnsi="仿宋_GB2312" w:eastAsia="仿宋_GB2312" w:cs="仿宋_GB2312"/>
          <w:sz w:val="32"/>
          <w:szCs w:val="32"/>
        </w:rPr>
        <w:t>“五老”宣讲团进校园宣讲活动；服务县老年体协成功举办湘鄂边四县区门球邀请赛、全县“三八”女子门球赛、全县老年人象棋大赛、岳阳市老年人围棋赛等文体赛事活动；服务县老科协接待省、市老科协来华容专题调研；服务县老年保健协会举行离退休干部与医疗专家结对联系见面会暨健康体检活动、“健康长寿老人”“长寿之星”颁奖仪式暨老年保健才艺表演活动等。</w:t>
      </w:r>
    </w:p>
    <w:p>
      <w:pPr>
        <w:pStyle w:val="2"/>
        <w:rPr>
          <w:rFonts w:hint="eastAsia"/>
        </w:rPr>
      </w:pPr>
      <w:r>
        <w:rPr>
          <w:rFonts w:hint="eastAsia" w:ascii="楷体" w:hAnsi="楷体" w:eastAsia="楷体" w:cs="楷体"/>
          <w:b/>
          <w:bCs/>
          <w:sz w:val="32"/>
          <w:szCs w:val="32"/>
          <w:lang w:eastAsia="zh-CN"/>
        </w:rPr>
        <w:t>（四）</w:t>
      </w:r>
      <w:r>
        <w:rPr>
          <w:rFonts w:hint="eastAsia" w:ascii="楷体" w:hAnsi="楷体" w:eastAsia="楷体" w:cs="楷体"/>
          <w:b/>
          <w:bCs/>
          <w:sz w:val="32"/>
          <w:szCs w:val="32"/>
        </w:rPr>
        <w:t>老年教育出色出彩。</w:t>
      </w:r>
      <w:r>
        <w:rPr>
          <w:rFonts w:hint="eastAsia" w:ascii="仿宋_GB2312" w:hAnsi="仿宋_GB2312" w:eastAsia="仿宋_GB2312" w:cs="仿宋_GB2312"/>
          <w:sz w:val="32"/>
          <w:szCs w:val="32"/>
        </w:rPr>
        <w:t>进一步确立“党建办学、政治立校”的方向，开设思想政治、诗词、书法、音乐、二胡、舞蹈、太极拳等10门课程，共招收学员</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个班近2000人次。今年来，除日常教学外，还创新开展了专题党课、消防安全培训、保健知识讲座等活动</w:t>
      </w:r>
      <w:r>
        <w:rPr>
          <w:rFonts w:hint="eastAsia" w:ascii="仿宋_GB2312" w:hAnsi="仿宋_GB2312" w:eastAsia="仿宋_GB2312" w:cs="仿宋_GB2312"/>
          <w:sz w:val="32"/>
          <w:szCs w:val="32"/>
          <w:lang w:eastAsia="zh-CN"/>
        </w:rPr>
        <w:t>，为县</w:t>
      </w:r>
      <w:r>
        <w:rPr>
          <w:rFonts w:hint="eastAsia" w:ascii="仿宋_GB2312" w:hAnsi="仿宋_GB2312" w:eastAsia="仿宋_GB2312" w:cs="仿宋_GB2312"/>
          <w:sz w:val="32"/>
          <w:szCs w:val="32"/>
          <w:lang w:val="en-US" w:eastAsia="zh-CN"/>
        </w:rPr>
        <w:t>3场</w:t>
      </w:r>
      <w:r>
        <w:rPr>
          <w:rFonts w:hint="eastAsia" w:ascii="仿宋_GB2312" w:hAnsi="仿宋_GB2312" w:eastAsia="仿宋_GB2312" w:cs="仿宋_GB2312"/>
          <w:sz w:val="32"/>
          <w:szCs w:val="32"/>
          <w:lang w:eastAsia="zh-CN"/>
        </w:rPr>
        <w:t>大型活动贡献节目表演，</w:t>
      </w:r>
      <w:r>
        <w:rPr>
          <w:rFonts w:hint="eastAsia" w:ascii="仿宋_GB2312" w:hAnsi="仿宋_GB2312" w:eastAsia="仿宋_GB2312" w:cs="仿宋_GB2312"/>
          <w:sz w:val="32"/>
          <w:szCs w:val="32"/>
        </w:rPr>
        <w:t>老年大学新时代文明实践志愿服务队积极参加社区实践、敬老院慰问、“爱在始终”志愿服务等公益活动</w:t>
      </w:r>
      <w:r>
        <w:rPr>
          <w:rFonts w:hint="eastAsia" w:ascii="仿宋_GB2312" w:hAnsi="仿宋_GB2312" w:eastAsia="仿宋_GB2312" w:cs="仿宋_GB2312"/>
          <w:sz w:val="32"/>
          <w:szCs w:val="32"/>
          <w:lang w:eastAsia="zh-CN"/>
        </w:rPr>
        <w:t>，惠及广大基层群众</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lang w:val="en-US" w:eastAsia="zh-CN"/>
        </w:rPr>
      </w:pPr>
      <w:r>
        <w:rPr>
          <w:rFonts w:hint="eastAsia" w:eastAsia="仿宋_GB2312" w:cs="Times New Roman"/>
          <w:sz w:val="32"/>
          <w:szCs w:val="32"/>
          <w:lang w:eastAsia="zh-CN"/>
        </w:rPr>
        <w:t>基本支出与项目支出年初预算与年末决算差额大。由于每年年初预算金额仅预算基本支出，项目支出按财政年度财力情况予以安排，所以在预算执行中存在预算调整的情况。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rPr>
      </w:pPr>
      <w:r>
        <w:rPr>
          <w:rFonts w:hint="default" w:ascii="Times New Roman" w:hAnsi="Times New Roman" w:eastAsia="仿宋_GB2312" w:cs="Times New Roman"/>
          <w:kern w:val="2"/>
          <w:sz w:val="32"/>
          <w:szCs w:val="32"/>
          <w:lang w:val="en-US" w:eastAsia="zh-CN" w:bidi="ar-SA"/>
        </w:rPr>
        <w:t>提高编制预算的科学性，确保预算的准确率。强化部门预算管理，改革预算编制方式，切实提高预算编制的科学性、精准度。根据年度内单位可预见的工作任务细化预算目标，科学合理地编制部门预算。规范部门预算收支核算，及时了解预算执行差异，与加强与财政相关部门沟通，合理调整、纠正预算执行偏差，确保各项预算资金足额拨付到位。</w:t>
      </w:r>
    </w:p>
    <w:p>
      <w:pPr>
        <w:keepNext w:val="0"/>
        <w:keepLines w:val="0"/>
        <w:pageBreakBefore w:val="0"/>
        <w:widowControl/>
        <w:numPr>
          <w:ilvl w:val="0"/>
          <w:numId w:val="4"/>
        </w:numPr>
        <w:kinsoku/>
        <w:wordWrap/>
        <w:overflowPunct/>
        <w:topLinePunct w:val="0"/>
        <w:autoSpaceDE/>
        <w:autoSpaceDN/>
        <w:bidi w:val="0"/>
        <w:adjustRightInd/>
        <w:snapToGrid/>
        <w:spacing w:line="610" w:lineRule="exact"/>
        <w:ind w:left="648" w:leftChars="0" w:firstLine="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D2B5F"/>
    <w:multiLevelType w:val="singleLevel"/>
    <w:tmpl w:val="87AD2B5F"/>
    <w:lvl w:ilvl="0" w:tentative="0">
      <w:start w:val="1"/>
      <w:numFmt w:val="chineseCounting"/>
      <w:suff w:val="nothing"/>
      <w:lvlText w:val="%1、"/>
      <w:lvlJc w:val="left"/>
      <w:rPr>
        <w:rFonts w:hint="eastAsia"/>
      </w:rPr>
    </w:lvl>
  </w:abstractNum>
  <w:abstractNum w:abstractNumId="1">
    <w:nsid w:val="E8D1B67E"/>
    <w:multiLevelType w:val="singleLevel"/>
    <w:tmpl w:val="E8D1B67E"/>
    <w:lvl w:ilvl="0" w:tentative="0">
      <w:start w:val="2"/>
      <w:numFmt w:val="chineseCounting"/>
      <w:suff w:val="nothing"/>
      <w:lvlText w:val="（%1）"/>
      <w:lvlJc w:val="left"/>
      <w:rPr>
        <w:rFonts w:hint="eastAsia"/>
      </w:rPr>
    </w:lvl>
  </w:abstractNum>
  <w:abstractNum w:abstractNumId="2">
    <w:nsid w:val="4706B7F9"/>
    <w:multiLevelType w:val="singleLevel"/>
    <w:tmpl w:val="4706B7F9"/>
    <w:lvl w:ilvl="0" w:tentative="0">
      <w:start w:val="2"/>
      <w:numFmt w:val="chineseCounting"/>
      <w:suff w:val="nothing"/>
      <w:lvlText w:val="（%1）"/>
      <w:lvlJc w:val="left"/>
      <w:rPr>
        <w:rFonts w:hint="eastAsia"/>
      </w:rPr>
    </w:lvl>
  </w:abstractNum>
  <w:abstractNum w:abstractNumId="3">
    <w:nsid w:val="748CC765"/>
    <w:multiLevelType w:val="singleLevel"/>
    <w:tmpl w:val="748CC765"/>
    <w:lvl w:ilvl="0" w:tentative="0">
      <w:start w:val="3"/>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2N2NmYTU4N2JmM2YzMDkzOGRhOTIxZTVlYzA4ZjAifQ=="/>
  </w:docVars>
  <w:rsids>
    <w:rsidRoot w:val="5AE610E9"/>
    <w:rsid w:val="5AE61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1"/>
    </w:r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note text"/>
    <w:basedOn w:val="1"/>
    <w:next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2024-05-28T13:34:00Z</dcterms:created>
  <dc:creator>Haa</dc:creator>
  <cp:lastModifiedBy>Haa</cp:lastModifiedBy>
  <dcterms:modified xsi:type="dcterms:W3CDTF">2024-05-28T13:34:50Z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12C8891D2A574734BF8817695CAA4D9B_11</vt:lpwstr>
  </property>
</Properties>
</file>