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3</w:t>
      </w:r>
    </w:p>
    <w:p>
      <w:pPr>
        <w:spacing w:line="251" w:lineRule="auto"/>
        <w:rPr>
          <w:rFonts w:ascii="Arial"/>
          <w:sz w:val="21"/>
        </w:rPr>
      </w:pPr>
    </w:p>
    <w:p>
      <w:pPr>
        <w:spacing w:line="251" w:lineRule="auto"/>
        <w:rPr>
          <w:rFonts w:ascii="Arial"/>
          <w:sz w:val="21"/>
        </w:rPr>
      </w:pPr>
    </w:p>
    <w:p>
      <w:pPr>
        <w:rPr>
          <w:rFonts w:ascii="Arial"/>
          <w:sz w:val="21"/>
        </w:rPr>
      </w:pPr>
    </w:p>
    <w:p>
      <w:pPr>
        <w:pStyle w:val="5"/>
      </w:pPr>
    </w:p>
    <w:p/>
    <w:p>
      <w:pPr>
        <w:spacing w:before="223" w:line="218" w:lineRule="auto"/>
        <w:jc w:val="center"/>
        <w:rPr>
          <w:rFonts w:hint="eastAsia" w:ascii="方正小标宋简体" w:hAnsi="方正小标宋简体" w:eastAsia="方正小标宋简体" w:cs="方正小标宋简体"/>
          <w:spacing w:val="-1"/>
          <w:sz w:val="52"/>
          <w:szCs w:val="52"/>
          <w:lang w:eastAsia="zh-CN"/>
        </w:rPr>
      </w:pPr>
      <w:r>
        <w:rPr>
          <w:rFonts w:hint="eastAsia" w:ascii="方正小标宋简体" w:hAnsi="方正小标宋简体" w:eastAsia="方正小标宋简体" w:cs="方正小标宋简体"/>
          <w:spacing w:val="-1"/>
          <w:sz w:val="52"/>
          <w:szCs w:val="52"/>
        </w:rPr>
        <w:t>2023年度</w:t>
      </w:r>
      <w:r>
        <w:rPr>
          <w:rFonts w:hint="eastAsia" w:ascii="方正小标宋简体" w:hAnsi="方正小标宋简体" w:eastAsia="方正小标宋简体" w:cs="方正小标宋简体"/>
          <w:spacing w:val="-1"/>
          <w:sz w:val="52"/>
          <w:szCs w:val="52"/>
          <w:lang w:eastAsia="zh-CN"/>
        </w:rPr>
        <w:t>华容县老干部活动中心</w:t>
      </w:r>
    </w:p>
    <w:p>
      <w:pPr>
        <w:spacing w:before="223" w:line="218" w:lineRule="auto"/>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pacing w:val="-1"/>
          <w:sz w:val="52"/>
          <w:szCs w:val="52"/>
        </w:rPr>
        <w:t>部门整体支出</w:t>
      </w:r>
      <w:r>
        <w:rPr>
          <w:rFonts w:hint="eastAsia" w:ascii="方正小标宋简体" w:hAnsi="方正小标宋简体" w:eastAsia="方正小标宋简体" w:cs="方正小标宋简体"/>
          <w:spacing w:val="-3"/>
          <w:sz w:val="52"/>
          <w:szCs w:val="52"/>
        </w:rPr>
        <w:t>绩效自评报告</w:t>
      </w: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5"/>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3"/>
        <w:keepNext w:val="0"/>
        <w:keepLines w:val="0"/>
        <w:pageBreakBefore w:val="0"/>
        <w:widowControl w:val="0"/>
        <w:kinsoku/>
        <w:wordWrap/>
        <w:overflowPunct/>
        <w:topLinePunct w:val="0"/>
        <w:autoSpaceDE/>
        <w:autoSpaceDN/>
        <w:bidi w:val="0"/>
        <w:adjustRightInd/>
        <w:snapToGrid/>
        <w:spacing w:before="100" w:line="221" w:lineRule="auto"/>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u w:val="single" w:color="auto"/>
          <w:lang w:val="en-US" w:eastAsia="zh-CN"/>
        </w:rPr>
        <w:t>(</w:t>
      </w:r>
      <w:r>
        <w:rPr>
          <w:rFonts w:hint="eastAsia" w:ascii="仿宋_GB2312" w:hAnsi="仿宋_GB2312" w:eastAsia="仿宋_GB2312" w:cs="仿宋_GB2312"/>
          <w:spacing w:val="-118"/>
          <w:sz w:val="32"/>
          <w:szCs w:val="32"/>
          <w:u w:val="single" w:color="auto"/>
        </w:rPr>
        <w:t xml:space="preserve"> </w:t>
      </w:r>
      <w:r>
        <w:rPr>
          <w:rFonts w:hint="eastAsia" w:ascii="仿宋_GB2312" w:hAnsi="仿宋_GB2312" w:eastAsia="仿宋_GB2312" w:cs="仿宋_GB2312"/>
          <w:spacing w:val="-75"/>
          <w:sz w:val="32"/>
          <w:szCs w:val="32"/>
          <w:u w:val="single" w:color="auto"/>
        </w:rPr>
        <w:t xml:space="preserve"> </w:t>
      </w:r>
      <w:r>
        <w:rPr>
          <w:rFonts w:hint="eastAsia" w:ascii="仿宋_GB2312" w:hAnsi="仿宋_GB2312" w:eastAsia="仿宋_GB2312" w:cs="仿宋_GB2312"/>
          <w:spacing w:val="-10"/>
          <w:sz w:val="32"/>
          <w:szCs w:val="32"/>
          <w:u w:val="single" w:color="auto"/>
        </w:rPr>
        <w:t>盖章）</w:t>
      </w:r>
      <w:r>
        <w:rPr>
          <w:rFonts w:hint="eastAsia" w:ascii="仿宋_GB2312" w:hAnsi="仿宋_GB2312" w:eastAsia="仿宋_GB2312" w:cs="仿宋_GB2312"/>
          <w:sz w:val="32"/>
          <w:szCs w:val="32"/>
          <w:u w:val="single" w:color="auto"/>
        </w:rPr>
        <w:t xml:space="preserve">       </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single" w:color="auto"/>
        </w:rPr>
        <w:t xml:space="preserve">  </w:t>
      </w:r>
    </w:p>
    <w:p>
      <w:pPr>
        <w:spacing w:before="228" w:line="222" w:lineRule="auto"/>
        <w:ind w:firstLine="4560" w:firstLineChars="1500"/>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2024</w:t>
      </w: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rPr>
        <w:t xml:space="preserve"> </w:t>
      </w:r>
      <w:r>
        <w:rPr>
          <w:rFonts w:hint="eastAsia" w:ascii="仿宋_GB2312" w:hAnsi="仿宋_GB2312" w:eastAsia="仿宋_GB2312" w:cs="仿宋_GB2312"/>
          <w:spacing w:val="21"/>
          <w:sz w:val="32"/>
          <w:szCs w:val="32"/>
          <w:lang w:val="en-US" w:eastAsia="zh-CN"/>
        </w:rPr>
        <w:t>5</w:t>
      </w:r>
      <w:r>
        <w:rPr>
          <w:rFonts w:hint="eastAsia" w:ascii="仿宋_GB2312" w:hAnsi="仿宋_GB2312" w:eastAsia="仿宋_GB2312" w:cs="仿宋_GB2312"/>
          <w:spacing w:val="21"/>
          <w:sz w:val="32"/>
          <w:szCs w:val="32"/>
        </w:rPr>
        <w:t xml:space="preserve"> </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8"/>
          <w:sz w:val="32"/>
          <w:szCs w:val="32"/>
          <w:lang w:val="en-US" w:eastAsia="zh-CN"/>
        </w:rPr>
        <w:t xml:space="preserve"> </w:t>
      </w:r>
      <w:r>
        <w:rPr>
          <w:rFonts w:hint="eastAsia" w:ascii="仿宋_GB2312" w:hAnsi="仿宋_GB2312" w:eastAsia="仿宋_GB2312" w:cs="仿宋_GB2312"/>
          <w:spacing w:val="43"/>
          <w:sz w:val="32"/>
          <w:szCs w:val="32"/>
          <w:lang w:val="en-US" w:eastAsia="zh-CN"/>
        </w:rPr>
        <w:t>28</w:t>
      </w:r>
      <w:r>
        <w:rPr>
          <w:rFonts w:hint="eastAsia" w:ascii="仿宋_GB2312" w:hAnsi="仿宋_GB2312" w:eastAsia="仿宋_GB2312" w:cs="仿宋_GB2312"/>
          <w:spacing w:val="-8"/>
          <w:sz w:val="32"/>
          <w:szCs w:val="32"/>
        </w:rPr>
        <w:t>日</w:t>
      </w:r>
    </w:p>
    <w:p>
      <w:pPr>
        <w:spacing w:line="335" w:lineRule="auto"/>
        <w:rPr>
          <w:rFonts w:hint="eastAsia" w:ascii="仿宋_GB2312" w:hAnsi="仿宋_GB2312" w:eastAsia="仿宋_GB2312" w:cs="仿宋_GB2312"/>
          <w:sz w:val="32"/>
          <w:szCs w:val="32"/>
        </w:rPr>
      </w:pPr>
    </w:p>
    <w:p>
      <w:r>
        <w:br w:type="page"/>
      </w:r>
    </w:p>
    <w:p>
      <w:pPr>
        <w:pStyle w:val="5"/>
        <w:sectPr>
          <w:footerReference r:id="rId3" w:type="default"/>
          <w:pgSz w:w="11905" w:h="16838"/>
          <w:pgMar w:top="1984" w:right="1701" w:bottom="1984" w:left="1701" w:header="850" w:footer="1587" w:gutter="0"/>
          <w:pgNumType w:fmt="numberInDash" w:start="7"/>
          <w:cols w:space="0" w:num="1"/>
          <w:rtlGutter w:val="0"/>
          <w:docGrid w:type="lines" w:linePitch="314" w:charSpace="0"/>
        </w:sectPr>
      </w:pPr>
    </w:p>
    <w:p>
      <w:pPr>
        <w:keepNext w:val="0"/>
        <w:keepLines w:val="0"/>
        <w:pageBreakBefore w:val="0"/>
        <w:widowControl w:val="0"/>
        <w:kinsoku/>
        <w:wordWrap/>
        <w:overflowPunct/>
        <w:topLinePunct w:val="0"/>
        <w:autoSpaceDE/>
        <w:autoSpaceDN/>
        <w:bidi w:val="0"/>
        <w:adjustRightInd/>
        <w:snapToGrid/>
        <w:spacing w:line="580" w:lineRule="exact"/>
        <w:ind w:left="0" w:firstLine="0" w:firstLineChars="0"/>
        <w:jc w:val="center"/>
        <w:textAlignment w:val="auto"/>
        <w:rPr>
          <w:rFonts w:hint="eastAsia" w:ascii="方正小标宋简体" w:hAnsi="方正小标宋简体" w:eastAsia="方正小标宋简体" w:cs="方正小标宋简体"/>
          <w:spacing w:val="6"/>
          <w:sz w:val="44"/>
          <w:szCs w:val="44"/>
        </w:rPr>
      </w:pPr>
    </w:p>
    <w:p>
      <w:pPr>
        <w:pStyle w:val="5"/>
        <w:rPr>
          <w:rFonts w:hint="eastAsia"/>
        </w:rPr>
      </w:pPr>
    </w:p>
    <w:p>
      <w:pPr>
        <w:keepNext w:val="0"/>
        <w:keepLines w:val="0"/>
        <w:pageBreakBefore w:val="0"/>
        <w:widowControl w:val="0"/>
        <w:kinsoku/>
        <w:wordWrap/>
        <w:overflowPunct/>
        <w:topLinePunct w:val="0"/>
        <w:autoSpaceDE/>
        <w:autoSpaceDN/>
        <w:bidi w:val="0"/>
        <w:adjustRightInd/>
        <w:snapToGrid/>
        <w:spacing w:line="580" w:lineRule="exact"/>
        <w:ind w:left="0" w:firstLine="0" w:firstLineChars="0"/>
        <w:jc w:val="center"/>
        <w:textAlignment w:val="auto"/>
        <w:rPr>
          <w:rFonts w:hint="eastAsia" w:ascii="方正小标宋简体" w:hAnsi="方正小标宋简体" w:eastAsia="方正小标宋简体" w:cs="方正小标宋简体"/>
          <w:spacing w:val="6"/>
          <w:sz w:val="44"/>
          <w:szCs w:val="44"/>
          <w:lang w:eastAsia="zh-CN"/>
        </w:rPr>
      </w:pPr>
      <w:r>
        <w:rPr>
          <w:rFonts w:hint="eastAsia" w:ascii="方正小标宋简体" w:hAnsi="方正小标宋简体" w:eastAsia="方正小标宋简体" w:cs="方正小标宋简体"/>
          <w:spacing w:val="6"/>
          <w:sz w:val="44"/>
          <w:szCs w:val="44"/>
        </w:rPr>
        <w:t>2023年度</w:t>
      </w:r>
      <w:r>
        <w:rPr>
          <w:rFonts w:hint="eastAsia" w:ascii="方正小标宋简体" w:hAnsi="方正小标宋简体" w:eastAsia="方正小标宋简体" w:cs="方正小标宋简体"/>
          <w:spacing w:val="6"/>
          <w:sz w:val="44"/>
          <w:szCs w:val="44"/>
          <w:lang w:eastAsia="zh-CN"/>
        </w:rPr>
        <w:t>华容县老干部活动中心</w:t>
      </w:r>
    </w:p>
    <w:p>
      <w:pPr>
        <w:keepNext w:val="0"/>
        <w:keepLines w:val="0"/>
        <w:pageBreakBefore w:val="0"/>
        <w:widowControl w:val="0"/>
        <w:kinsoku/>
        <w:wordWrap/>
        <w:overflowPunct/>
        <w:topLinePunct w:val="0"/>
        <w:autoSpaceDE/>
        <w:autoSpaceDN/>
        <w:bidi w:val="0"/>
        <w:adjustRightInd/>
        <w:snapToGrid/>
        <w:spacing w:line="580" w:lineRule="exact"/>
        <w:ind w:left="0"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6"/>
          <w:sz w:val="44"/>
          <w:szCs w:val="44"/>
        </w:rPr>
        <w:t>部门整体支出</w:t>
      </w:r>
      <w:r>
        <w:rPr>
          <w:rFonts w:hint="eastAsia" w:ascii="方正小标宋简体" w:hAnsi="方正小标宋简体" w:eastAsia="方正小标宋简体" w:cs="方正小标宋简体"/>
          <w:spacing w:val="7"/>
          <w:sz w:val="44"/>
          <w:szCs w:val="44"/>
        </w:rPr>
        <w:t>绩效自评报告</w:t>
      </w:r>
    </w:p>
    <w:p>
      <w:pPr>
        <w:spacing w:line="283" w:lineRule="auto"/>
        <w:rPr>
          <w:rFonts w:ascii="Arial"/>
          <w:sz w:val="21"/>
        </w:rPr>
      </w:pPr>
    </w:p>
    <w:p>
      <w:pPr>
        <w:spacing w:line="284" w:lineRule="auto"/>
        <w:rPr>
          <w:rFonts w:ascii="Arial"/>
          <w:sz w:val="21"/>
        </w:rPr>
      </w:pPr>
    </w:p>
    <w:p>
      <w:pPr>
        <w:pStyle w:val="5"/>
      </w:pPr>
    </w:p>
    <w:p>
      <w:pPr>
        <w:numPr>
          <w:ilvl w:val="0"/>
          <w:numId w:val="1"/>
        </w:numPr>
        <w:spacing w:before="101" w:line="228" w:lineRule="auto"/>
        <w:ind w:left="648"/>
        <w:rPr>
          <w:rFonts w:hint="eastAsia" w:ascii="黑体" w:hAnsi="黑体" w:eastAsia="黑体" w:cs="黑体"/>
          <w:spacing w:val="5"/>
          <w:sz w:val="32"/>
          <w:szCs w:val="32"/>
        </w:rPr>
      </w:pPr>
      <w:r>
        <w:rPr>
          <w:rFonts w:hint="eastAsia" w:ascii="黑体" w:hAnsi="黑体" w:eastAsia="黑体" w:cs="黑体"/>
          <w:spacing w:val="5"/>
          <w:sz w:val="32"/>
          <w:szCs w:val="32"/>
        </w:rPr>
        <w:t>部门基本情况</w:t>
      </w:r>
    </w:p>
    <w:p>
      <w:pPr>
        <w:pStyle w:val="5"/>
        <w:keepNext w:val="0"/>
        <w:keepLines w:val="0"/>
        <w:pageBreakBefore w:val="0"/>
        <w:widowControl w:val="0"/>
        <w:kinsoku/>
        <w:wordWrap/>
        <w:overflowPunct/>
        <w:topLinePunct w:val="0"/>
        <w:autoSpaceDE/>
        <w:autoSpaceDN/>
        <w:bidi w:val="0"/>
        <w:adjustRightInd/>
        <w:snapToGrid w:val="0"/>
        <w:spacing w:line="610" w:lineRule="exact"/>
        <w:ind w:firstLine="640" w:firstLineChars="200"/>
        <w:textAlignment w:val="auto"/>
        <w:rPr>
          <w:rFonts w:hint="eastAsia"/>
        </w:rPr>
      </w:pPr>
      <w:r>
        <w:rPr>
          <w:rFonts w:hint="eastAsia" w:ascii="Times New Roman" w:hAnsi="Times New Roman" w:eastAsia="仿宋_GB2312" w:cs="Times New Roman"/>
          <w:color w:val="000000"/>
          <w:kern w:val="2"/>
          <w:sz w:val="32"/>
          <w:szCs w:val="32"/>
          <w:lang w:val="en-US" w:eastAsia="zh-CN" w:bidi="ar-SA"/>
        </w:rPr>
        <w:t>我中心为正科级全额拨款事业单位，现有人员编制14名，在职在编人员14人，其中正科级干部1人，副科级干部</w:t>
      </w:r>
      <w:r>
        <w:rPr>
          <w:rFonts w:hint="eastAsia" w:eastAsia="仿宋_GB2312" w:cs="Times New Roman"/>
          <w:color w:val="000000"/>
          <w:kern w:val="2"/>
          <w:sz w:val="32"/>
          <w:szCs w:val="32"/>
          <w:lang w:val="en-US" w:eastAsia="zh-CN" w:bidi="ar-SA"/>
        </w:rPr>
        <w:t>2</w:t>
      </w:r>
      <w:r>
        <w:rPr>
          <w:rFonts w:hint="eastAsia" w:ascii="Times New Roman" w:hAnsi="Times New Roman" w:eastAsia="仿宋_GB2312" w:cs="Times New Roman"/>
          <w:color w:val="000000"/>
          <w:kern w:val="2"/>
          <w:sz w:val="32"/>
          <w:szCs w:val="32"/>
          <w:lang w:val="en-US" w:eastAsia="zh-CN" w:bidi="ar-SA"/>
        </w:rPr>
        <w:t>人。单位主要职责是：</w:t>
      </w:r>
      <w:r>
        <w:rPr>
          <w:rFonts w:hint="default" w:ascii="Times New Roman" w:hAnsi="Times New Roman" w:eastAsia="仿宋_GB2312" w:cs="Times New Roman"/>
          <w:color w:val="000000"/>
          <w:kern w:val="2"/>
          <w:sz w:val="32"/>
          <w:szCs w:val="32"/>
          <w:lang w:val="en-US" w:eastAsia="zh-CN" w:bidi="ar-SA"/>
        </w:rPr>
        <w:t>做好离休干部和副处级以上退休干部的服务管理工作，督促落实离退休干部的政治和生活待遇</w:t>
      </w:r>
      <w:r>
        <w:rPr>
          <w:rFonts w:hint="eastAsia" w:ascii="Times New Roman" w:hAnsi="Times New Roman" w:eastAsia="仿宋_GB2312" w:cs="Times New Roman"/>
          <w:color w:val="000000"/>
          <w:kern w:val="2"/>
          <w:sz w:val="32"/>
          <w:szCs w:val="32"/>
          <w:lang w:val="en-US" w:eastAsia="zh-CN" w:bidi="ar-SA"/>
        </w:rPr>
        <w:t>；组织、引导老干部在政治文明、物质文明和精神文明建设中发挥作用；组织老干部开展各种健康有益的文化活动；负责对所属单位的国有资产和财产进行监督管理；办好老年大学，组织好老年体协、老年科协等群团组织的工作。</w:t>
      </w:r>
    </w:p>
    <w:p>
      <w:pPr>
        <w:spacing w:before="216" w:line="226" w:lineRule="auto"/>
        <w:ind w:left="648"/>
        <w:rPr>
          <w:rFonts w:hint="eastAsia" w:ascii="黑体" w:hAnsi="黑体" w:eastAsia="黑体" w:cs="黑体"/>
          <w:sz w:val="32"/>
          <w:szCs w:val="32"/>
        </w:rPr>
      </w:pPr>
      <w:r>
        <w:rPr>
          <w:rFonts w:hint="eastAsia" w:ascii="黑体" w:hAnsi="黑体" w:eastAsia="黑体" w:cs="黑体"/>
          <w:spacing w:val="-2"/>
          <w:sz w:val="32"/>
          <w:szCs w:val="32"/>
        </w:rPr>
        <w:t>二、一般公共预算支出情况</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（一）基本支出情况</w:t>
      </w:r>
    </w:p>
    <w:p>
      <w:pPr>
        <w:pStyle w:val="2"/>
        <w:rPr>
          <w:rFonts w:hint="eastAsia"/>
        </w:rPr>
      </w:pPr>
      <w:r>
        <w:rPr>
          <w:rFonts w:hint="eastAsia" w:ascii="Times New Roman" w:hAnsi="Times New Roman" w:eastAsia="仿宋_GB2312" w:cs="Times New Roman"/>
          <w:color w:val="000000"/>
          <w:kern w:val="2"/>
          <w:sz w:val="32"/>
          <w:szCs w:val="32"/>
          <w:lang w:val="en-US" w:eastAsia="zh-CN" w:bidi="ar-SA"/>
        </w:rPr>
        <w:t>根据202</w:t>
      </w:r>
      <w:r>
        <w:rPr>
          <w:rFonts w:hint="eastAsia" w:eastAsia="仿宋_GB2312" w:cs="Times New Roman"/>
          <w:color w:val="000000"/>
          <w:kern w:val="2"/>
          <w:sz w:val="32"/>
          <w:szCs w:val="32"/>
          <w:lang w:val="en-US" w:eastAsia="zh-CN" w:bidi="ar-SA"/>
        </w:rPr>
        <w:t>3</w:t>
      </w:r>
      <w:r>
        <w:rPr>
          <w:rFonts w:hint="eastAsia" w:ascii="Times New Roman" w:hAnsi="Times New Roman" w:eastAsia="仿宋_GB2312" w:cs="Times New Roman"/>
          <w:color w:val="000000"/>
          <w:kern w:val="2"/>
          <w:sz w:val="32"/>
          <w:szCs w:val="32"/>
          <w:lang w:val="en-US" w:eastAsia="zh-CN" w:bidi="ar-SA"/>
        </w:rPr>
        <w:t>年部门预算单位经费安排，我中心20</w:t>
      </w:r>
      <w:r>
        <w:rPr>
          <w:rFonts w:hint="eastAsia" w:eastAsia="仿宋_GB2312" w:cs="Times New Roman"/>
          <w:color w:val="000000"/>
          <w:kern w:val="2"/>
          <w:sz w:val="32"/>
          <w:szCs w:val="32"/>
          <w:lang w:val="en-US" w:eastAsia="zh-CN" w:bidi="ar-SA"/>
        </w:rPr>
        <w:t>23</w:t>
      </w:r>
      <w:r>
        <w:rPr>
          <w:rFonts w:hint="eastAsia" w:ascii="Times New Roman" w:hAnsi="Times New Roman" w:eastAsia="仿宋_GB2312" w:cs="Times New Roman"/>
          <w:color w:val="000000"/>
          <w:kern w:val="2"/>
          <w:sz w:val="32"/>
          <w:szCs w:val="32"/>
          <w:lang w:val="en-US" w:eastAsia="zh-CN" w:bidi="ar-SA"/>
        </w:rPr>
        <w:t>年基本支出最终</w:t>
      </w:r>
      <w:r>
        <w:rPr>
          <w:rFonts w:hint="eastAsia" w:eastAsia="仿宋_GB2312" w:cs="Times New Roman"/>
          <w:color w:val="000000"/>
          <w:kern w:val="2"/>
          <w:sz w:val="32"/>
          <w:szCs w:val="32"/>
          <w:lang w:val="en-US" w:eastAsia="zh-CN" w:bidi="ar-SA"/>
        </w:rPr>
        <w:t>预算</w:t>
      </w:r>
      <w:r>
        <w:rPr>
          <w:rFonts w:hint="eastAsia" w:ascii="Times New Roman" w:hAnsi="Times New Roman" w:eastAsia="仿宋_GB2312" w:cs="Times New Roman"/>
          <w:color w:val="000000"/>
          <w:kern w:val="2"/>
          <w:sz w:val="32"/>
          <w:szCs w:val="32"/>
          <w:lang w:val="en-US" w:eastAsia="zh-CN" w:bidi="ar-SA"/>
        </w:rPr>
        <w:t>金额为</w:t>
      </w:r>
      <w:r>
        <w:rPr>
          <w:rFonts w:hint="eastAsia" w:eastAsia="仿宋_GB2312" w:cs="Times New Roman"/>
          <w:color w:val="000000"/>
          <w:kern w:val="2"/>
          <w:sz w:val="32"/>
          <w:szCs w:val="32"/>
          <w:lang w:val="en-US" w:eastAsia="zh-CN" w:bidi="ar-SA"/>
        </w:rPr>
        <w:t>232.96</w:t>
      </w:r>
      <w:r>
        <w:rPr>
          <w:rFonts w:hint="eastAsia" w:ascii="Times New Roman" w:hAnsi="Times New Roman" w:eastAsia="仿宋_GB2312" w:cs="Times New Roman"/>
          <w:color w:val="000000"/>
          <w:kern w:val="2"/>
          <w:sz w:val="32"/>
          <w:szCs w:val="32"/>
          <w:lang w:val="en-US" w:eastAsia="zh-CN" w:bidi="ar-SA"/>
        </w:rPr>
        <w:t>万。基本支出主要用于中心的日常运转以及人员经费，其中，人员经费</w:t>
      </w:r>
      <w:r>
        <w:rPr>
          <w:rFonts w:hint="eastAsia" w:eastAsia="仿宋_GB2312" w:cs="Times New Roman"/>
          <w:color w:val="000000"/>
          <w:kern w:val="2"/>
          <w:sz w:val="32"/>
          <w:szCs w:val="32"/>
          <w:lang w:val="en-US" w:eastAsia="zh-CN" w:bidi="ar-SA"/>
        </w:rPr>
        <w:t>157.65</w:t>
      </w:r>
      <w:r>
        <w:rPr>
          <w:rFonts w:hint="eastAsia" w:ascii="Times New Roman" w:hAnsi="Times New Roman" w:eastAsia="仿宋_GB2312" w:cs="Times New Roman"/>
          <w:color w:val="000000"/>
          <w:kern w:val="2"/>
          <w:sz w:val="32"/>
          <w:szCs w:val="32"/>
          <w:lang w:val="en-US" w:eastAsia="zh-CN" w:bidi="ar-SA"/>
        </w:rPr>
        <w:t>万元，占基本支出的</w:t>
      </w:r>
      <w:r>
        <w:rPr>
          <w:rFonts w:hint="eastAsia" w:eastAsia="仿宋_GB2312" w:cs="Times New Roman"/>
          <w:color w:val="000000"/>
          <w:kern w:val="2"/>
          <w:sz w:val="32"/>
          <w:szCs w:val="32"/>
          <w:lang w:val="en-US" w:eastAsia="zh-CN" w:bidi="ar-SA"/>
        </w:rPr>
        <w:t>67.67</w:t>
      </w:r>
      <w:r>
        <w:rPr>
          <w:rFonts w:hint="eastAsia" w:ascii="Times New Roman" w:hAnsi="Times New Roman" w:eastAsia="仿宋_GB2312" w:cs="Times New Roman"/>
          <w:color w:val="000000"/>
          <w:kern w:val="2"/>
          <w:sz w:val="32"/>
          <w:szCs w:val="32"/>
          <w:lang w:val="en-US" w:eastAsia="zh-CN" w:bidi="ar-SA"/>
        </w:rPr>
        <w:t>%，主要包括基本工资、津贴补贴、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公用经费</w:t>
      </w:r>
      <w:r>
        <w:rPr>
          <w:rFonts w:hint="eastAsia" w:eastAsia="仿宋_GB2312" w:cs="Times New Roman"/>
          <w:color w:val="000000"/>
          <w:kern w:val="2"/>
          <w:sz w:val="32"/>
          <w:szCs w:val="32"/>
          <w:lang w:val="en-US" w:eastAsia="zh-CN" w:bidi="ar-SA"/>
        </w:rPr>
        <w:t>75.31</w:t>
      </w:r>
      <w:r>
        <w:rPr>
          <w:rFonts w:hint="eastAsia" w:ascii="Times New Roman" w:hAnsi="Times New Roman" w:eastAsia="仿宋_GB2312" w:cs="Times New Roman"/>
          <w:color w:val="000000"/>
          <w:kern w:val="2"/>
          <w:sz w:val="32"/>
          <w:szCs w:val="32"/>
          <w:lang w:val="en-US" w:eastAsia="zh-CN" w:bidi="ar-SA"/>
        </w:rPr>
        <w:t>万元，占基本支出的</w:t>
      </w:r>
      <w:r>
        <w:rPr>
          <w:rFonts w:hint="eastAsia" w:eastAsia="仿宋_GB2312" w:cs="Times New Roman"/>
          <w:color w:val="000000"/>
          <w:kern w:val="2"/>
          <w:sz w:val="32"/>
          <w:szCs w:val="32"/>
          <w:lang w:val="en-US" w:eastAsia="zh-CN" w:bidi="ar-SA"/>
        </w:rPr>
        <w:t>32.33</w:t>
      </w:r>
      <w:r>
        <w:rPr>
          <w:rFonts w:hint="eastAsia" w:ascii="Times New Roman" w:hAnsi="Times New Roman" w:eastAsia="仿宋_GB2312" w:cs="Times New Roman"/>
          <w:color w:val="000000"/>
          <w:kern w:val="2"/>
          <w:sz w:val="32"/>
          <w:szCs w:val="32"/>
          <w:lang w:val="en-US" w:eastAsia="zh-CN" w:bidi="ar-SA"/>
        </w:rPr>
        <w:t>%，主要包括办公费、印刷费、咨询费、手续费、水费、电费、邮电费、差旅费、维修（护）费、租赁费、会议费、培训费、公务接待费、专用材料费、劳务费、委托业务费、工会经费、福利费等。</w:t>
      </w:r>
    </w:p>
    <w:p>
      <w:pPr>
        <w:keepNext w:val="0"/>
        <w:keepLines w:val="0"/>
        <w:pageBreakBefore w:val="0"/>
        <w:widowControl w:val="0"/>
        <w:numPr>
          <w:ilvl w:val="0"/>
          <w:numId w:val="2"/>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项目支出情况</w:t>
      </w:r>
    </w:p>
    <w:p>
      <w:pPr>
        <w:pStyle w:val="8"/>
        <w:keepNext w:val="0"/>
        <w:keepLines w:val="0"/>
        <w:pageBreakBefore w:val="0"/>
        <w:widowControl/>
        <w:numPr>
          <w:ilvl w:val="0"/>
          <w:numId w:val="0"/>
        </w:numPr>
        <w:kinsoku/>
        <w:wordWrap/>
        <w:overflowPunct/>
        <w:topLinePunct w:val="0"/>
        <w:autoSpaceDE/>
        <w:autoSpaceDN/>
        <w:bidi w:val="0"/>
        <w:adjustRightInd/>
        <w:snapToGrid/>
        <w:spacing w:line="610" w:lineRule="exact"/>
        <w:ind w:leftChars="0" w:firstLine="640" w:firstLineChars="200"/>
        <w:jc w:val="both"/>
        <w:textAlignment w:val="auto"/>
        <w:rPr>
          <w:rFonts w:hint="eastAsia"/>
        </w:rPr>
      </w:pPr>
      <w:r>
        <w:rPr>
          <w:rFonts w:hint="eastAsia" w:ascii="Times New Roman" w:hAnsi="Times New Roman" w:eastAsia="仿宋_GB2312" w:cs="Times New Roman"/>
          <w:color w:val="000000"/>
          <w:kern w:val="2"/>
          <w:sz w:val="32"/>
          <w:szCs w:val="32"/>
          <w:lang w:val="en-US" w:eastAsia="zh-CN" w:bidi="ar-SA"/>
        </w:rPr>
        <w:t>我中心2023年专项经费支出439.16万元。该专项资金用于保障离休干部两项待遇；服务7大老年群团组织及离退休干部工委运转；开展离退休老干部服务工作。</w:t>
      </w:r>
    </w:p>
    <w:p>
      <w:pPr>
        <w:numPr>
          <w:ilvl w:val="0"/>
          <w:numId w:val="1"/>
        </w:numPr>
        <w:spacing w:before="224" w:line="227" w:lineRule="auto"/>
        <w:ind w:left="648" w:leftChars="0" w:firstLine="0" w:firstLineChars="0"/>
        <w:rPr>
          <w:rFonts w:hint="eastAsia" w:ascii="黑体" w:hAnsi="黑体" w:eastAsia="黑体" w:cs="黑体"/>
          <w:spacing w:val="8"/>
          <w:sz w:val="32"/>
          <w:szCs w:val="32"/>
        </w:rPr>
      </w:pPr>
      <w:r>
        <w:rPr>
          <w:rFonts w:hint="eastAsia" w:ascii="黑体" w:hAnsi="黑体" w:eastAsia="黑体" w:cs="黑体"/>
          <w:spacing w:val="8"/>
          <w:sz w:val="32"/>
          <w:szCs w:val="32"/>
        </w:rPr>
        <w:t>政府性基金预算支出情况</w:t>
      </w:r>
    </w:p>
    <w:p>
      <w:pPr>
        <w:pStyle w:val="2"/>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eastAsia="宋体"/>
          <w:lang w:val="en-US" w:eastAsia="zh-CN"/>
        </w:rPr>
      </w:pPr>
      <w:r>
        <w:rPr>
          <w:rFonts w:hint="eastAsia" w:eastAsia="仿宋_GB2312" w:cs="Times New Roman"/>
          <w:color w:val="000000"/>
          <w:kern w:val="2"/>
          <w:sz w:val="32"/>
          <w:szCs w:val="32"/>
          <w:lang w:val="en-US" w:eastAsia="zh-CN" w:bidi="ar-SA"/>
        </w:rPr>
        <w:t>我中心2023年政府性基金预算支出金额11万元，全部用于发展老年群团事业及老干部服务支出。</w:t>
      </w:r>
    </w:p>
    <w:p>
      <w:pPr>
        <w:numPr>
          <w:ilvl w:val="0"/>
          <w:numId w:val="1"/>
        </w:numPr>
        <w:spacing w:before="219" w:line="600" w:lineRule="exact"/>
        <w:ind w:left="648" w:leftChars="0" w:firstLine="0" w:firstLineChars="0"/>
        <w:rPr>
          <w:rFonts w:hint="eastAsia" w:ascii="黑体" w:hAnsi="黑体" w:eastAsia="黑体" w:cs="黑体"/>
          <w:spacing w:val="7"/>
          <w:position w:val="21"/>
          <w:sz w:val="32"/>
          <w:szCs w:val="32"/>
        </w:rPr>
      </w:pPr>
      <w:r>
        <w:rPr>
          <w:rFonts w:hint="eastAsia" w:ascii="黑体" w:hAnsi="黑体" w:eastAsia="黑体" w:cs="黑体"/>
          <w:spacing w:val="7"/>
          <w:position w:val="21"/>
          <w:sz w:val="32"/>
          <w:szCs w:val="32"/>
        </w:rPr>
        <w:t>国有资本经营预算支出情况</w:t>
      </w:r>
    </w:p>
    <w:p>
      <w:pPr>
        <w:pStyle w:val="2"/>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eastAsia="仿宋_GB2312" w:cs="Times New Roman"/>
          <w:color w:val="000000"/>
          <w:kern w:val="2"/>
          <w:sz w:val="32"/>
          <w:szCs w:val="32"/>
          <w:lang w:val="en-US" w:eastAsia="zh-CN" w:bidi="ar-SA"/>
        </w:rPr>
      </w:pPr>
      <w:r>
        <w:rPr>
          <w:rFonts w:hint="eastAsia" w:eastAsia="仿宋_GB2312" w:cs="Times New Roman"/>
          <w:color w:val="000000"/>
          <w:kern w:val="2"/>
          <w:sz w:val="32"/>
          <w:szCs w:val="32"/>
          <w:lang w:val="en-US" w:eastAsia="zh-CN" w:bidi="ar-SA"/>
        </w:rPr>
        <w:t>我中心无国有资本经营预算支出。</w:t>
      </w:r>
    </w:p>
    <w:p>
      <w:pPr>
        <w:numPr>
          <w:ilvl w:val="0"/>
          <w:numId w:val="1"/>
        </w:numPr>
        <w:spacing w:line="227" w:lineRule="auto"/>
        <w:ind w:left="648" w:leftChars="0" w:firstLine="0" w:firstLineChars="0"/>
        <w:rPr>
          <w:rFonts w:hint="eastAsia" w:ascii="黑体" w:hAnsi="黑体" w:eastAsia="黑体" w:cs="黑体"/>
          <w:spacing w:val="8"/>
          <w:sz w:val="32"/>
          <w:szCs w:val="32"/>
        </w:rPr>
      </w:pPr>
      <w:r>
        <w:rPr>
          <w:rFonts w:hint="eastAsia" w:ascii="黑体" w:hAnsi="黑体" w:eastAsia="黑体" w:cs="黑体"/>
          <w:spacing w:val="8"/>
          <w:sz w:val="32"/>
          <w:szCs w:val="32"/>
        </w:rPr>
        <w:t>社会保险基金预算支出情况</w:t>
      </w:r>
    </w:p>
    <w:p>
      <w:pPr>
        <w:pStyle w:val="2"/>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eastAsia="仿宋_GB2312" w:cs="Times New Roman"/>
          <w:color w:val="000000"/>
          <w:kern w:val="2"/>
          <w:sz w:val="32"/>
          <w:szCs w:val="32"/>
          <w:lang w:val="en-US" w:eastAsia="zh-CN" w:bidi="ar-SA"/>
        </w:rPr>
      </w:pPr>
      <w:r>
        <w:rPr>
          <w:rFonts w:hint="eastAsia" w:eastAsia="仿宋_GB2312" w:cs="Times New Roman"/>
          <w:color w:val="000000"/>
          <w:kern w:val="2"/>
          <w:sz w:val="32"/>
          <w:szCs w:val="32"/>
          <w:lang w:val="en-US" w:eastAsia="zh-CN" w:bidi="ar-SA"/>
        </w:rPr>
        <w:t>我中心无社会保险基金预算支出。</w:t>
      </w:r>
    </w:p>
    <w:p>
      <w:pPr>
        <w:pStyle w:val="2"/>
        <w:numPr>
          <w:ilvl w:val="0"/>
          <w:numId w:val="0"/>
        </w:numPr>
        <w:ind w:left="648" w:leftChars="0"/>
        <w:rPr>
          <w:rFonts w:hint="eastAsia"/>
        </w:rPr>
      </w:pPr>
    </w:p>
    <w:p>
      <w:pPr>
        <w:numPr>
          <w:ilvl w:val="0"/>
          <w:numId w:val="1"/>
        </w:numPr>
        <w:spacing w:before="219" w:line="226" w:lineRule="auto"/>
        <w:ind w:left="648" w:leftChars="0" w:firstLine="0" w:firstLineChars="0"/>
        <w:rPr>
          <w:rFonts w:hint="eastAsia" w:ascii="黑体" w:hAnsi="黑体" w:eastAsia="黑体" w:cs="黑体"/>
          <w:spacing w:val="8"/>
          <w:sz w:val="32"/>
          <w:szCs w:val="32"/>
        </w:rPr>
      </w:pPr>
      <w:r>
        <w:rPr>
          <w:rFonts w:hint="eastAsia" w:ascii="黑体" w:hAnsi="黑体" w:eastAsia="黑体" w:cs="黑体"/>
          <w:spacing w:val="8"/>
          <w:sz w:val="32"/>
          <w:szCs w:val="32"/>
        </w:rPr>
        <w:t>部门整体支出绩效情况</w:t>
      </w:r>
    </w:p>
    <w:p>
      <w:pPr>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eastAsia" w:eastAsia="仿宋_GB2312" w:cs="Times New Roman"/>
          <w:color w:val="000000"/>
          <w:sz w:val="32"/>
          <w:szCs w:val="32"/>
          <w:lang w:val="en-US" w:eastAsia="zh-CN"/>
        </w:rPr>
      </w:pPr>
      <w:r>
        <w:rPr>
          <w:rFonts w:hint="eastAsia" w:eastAsia="仿宋_GB2312" w:cs="Times New Roman"/>
          <w:color w:val="000000"/>
          <w:sz w:val="32"/>
          <w:szCs w:val="32"/>
          <w:lang w:val="en-US" w:eastAsia="zh-CN"/>
        </w:rPr>
        <w:t>2023年活动中心整体支出672.12万。按收入性质分，其中：一般公共预算财政拨款收入661.12万，政府性基金预算收入11万元；按支出性质分，其中基本支出232.96万，项目支出439.16万。支出效益情况如下：</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党建工作走深走实。</w:t>
      </w:r>
      <w:r>
        <w:rPr>
          <w:rFonts w:hint="eastAsia" w:ascii="仿宋_GB2312" w:hAnsi="仿宋_GB2312" w:eastAsia="仿宋_GB2312" w:cs="仿宋_GB2312"/>
          <w:b w:val="0"/>
          <w:bCs w:val="0"/>
          <w:sz w:val="32"/>
          <w:szCs w:val="32"/>
        </w:rPr>
        <w:t>机关党建务实有效</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rPr>
        <w:t>今年来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7名在职党员中先后有</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名党员得到县级表彰。按</w:t>
      </w:r>
      <w:r>
        <w:rPr>
          <w:rFonts w:hint="eastAsia" w:ascii="仿宋_GB2312" w:hAnsi="仿宋_GB2312" w:eastAsia="仿宋_GB2312" w:cs="仿宋_GB2312"/>
          <w:sz w:val="32"/>
          <w:szCs w:val="32"/>
          <w:lang w:eastAsia="zh-CN"/>
        </w:rPr>
        <w:t>照</w:t>
      </w:r>
      <w:r>
        <w:rPr>
          <w:rFonts w:hint="eastAsia" w:ascii="仿宋_GB2312" w:hAnsi="仿宋_GB2312" w:eastAsia="仿宋_GB2312" w:cs="仿宋_GB2312"/>
          <w:sz w:val="32"/>
          <w:szCs w:val="32"/>
        </w:rPr>
        <w:t>主题教育要求，扎实开展</w:t>
      </w:r>
      <w:r>
        <w:rPr>
          <w:rFonts w:hint="eastAsia" w:ascii="仿宋_GB2312" w:hAnsi="仿宋_GB2312" w:eastAsia="仿宋_GB2312" w:cs="仿宋_GB2312"/>
          <w:sz w:val="32"/>
          <w:szCs w:val="32"/>
          <w:lang w:eastAsia="zh-CN"/>
        </w:rPr>
        <w:t>“我</w:t>
      </w:r>
      <w:r>
        <w:rPr>
          <w:rFonts w:hint="eastAsia" w:ascii="仿宋_GB2312" w:hAnsi="仿宋_GB2312" w:eastAsia="仿宋_GB2312" w:cs="仿宋_GB2312"/>
          <w:sz w:val="32"/>
          <w:szCs w:val="32"/>
        </w:rPr>
        <w:t>为老干部办实事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件，其中联合</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老年体协举办的门球基础培训班，培训13个单位60人，深受欢迎。</w:t>
      </w:r>
      <w:r>
        <w:rPr>
          <w:rFonts w:hint="eastAsia" w:ascii="仿宋_GB2312" w:hAnsi="仿宋_GB2312" w:eastAsia="仿宋_GB2312" w:cs="仿宋_GB2312"/>
          <w:b w:val="0"/>
          <w:bCs w:val="0"/>
          <w:sz w:val="32"/>
          <w:szCs w:val="32"/>
        </w:rPr>
        <w:t>离退休党建创新有为</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rPr>
        <w:t>落实湖南省干部荣誉退休制度，指导推进县政协、县检察院等1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个单位举办干部荣誉退休仪式，增进了老干部的归属感。扎实举办离退休党建业务培训班，培训</w:t>
      </w:r>
      <w:r>
        <w:rPr>
          <w:rFonts w:hint="eastAsia" w:ascii="仿宋_GB2312" w:hAnsi="仿宋_GB2312" w:eastAsia="仿宋_GB2312" w:cs="仿宋_GB2312"/>
          <w:sz w:val="32"/>
          <w:szCs w:val="32"/>
          <w:lang w:val="en-US" w:eastAsia="zh-CN"/>
        </w:rPr>
        <w:t>离退休干部党支部书记</w:t>
      </w:r>
      <w:r>
        <w:rPr>
          <w:rFonts w:hint="eastAsia" w:ascii="仿宋_GB2312" w:hAnsi="仿宋_GB2312" w:eastAsia="仿宋_GB2312" w:cs="仿宋_GB2312"/>
          <w:sz w:val="32"/>
          <w:szCs w:val="32"/>
        </w:rPr>
        <w:t>、党建联络员110多人。组织离退休党员收看网上报告会5次，6000多人次参与，老党员4篇心得体会文章在</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媒体刊出。拍摄反映离退休党建工作的视频短片4部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挖掘宣传身边</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榜样，推荐县农业农村局退休干部杨开炎获评全省“最美老干部”。组织</w:t>
      </w:r>
      <w:r>
        <w:rPr>
          <w:rFonts w:hint="eastAsia" w:ascii="仿宋_GB2312" w:hAnsi="仿宋_GB2312" w:eastAsia="仿宋_GB2312" w:cs="仿宋_GB2312"/>
          <w:sz w:val="32"/>
          <w:szCs w:val="32"/>
          <w:lang w:eastAsia="zh-CN"/>
        </w:rPr>
        <w:t>离退休干部党</w:t>
      </w:r>
      <w:r>
        <w:rPr>
          <w:rFonts w:hint="eastAsia" w:ascii="仿宋_GB2312" w:hAnsi="仿宋_GB2312" w:eastAsia="仿宋_GB2312" w:cs="仿宋_GB2312"/>
          <w:sz w:val="32"/>
          <w:szCs w:val="32"/>
        </w:rPr>
        <w:t>支</w:t>
      </w:r>
      <w:r>
        <w:rPr>
          <w:rFonts w:hint="eastAsia" w:ascii="仿宋_GB2312" w:hAnsi="仿宋_GB2312" w:eastAsia="仿宋_GB2312" w:cs="仿宋_GB2312"/>
          <w:sz w:val="32"/>
          <w:szCs w:val="32"/>
          <w:lang w:eastAsia="zh-CN"/>
        </w:rPr>
        <w:t>部</w:t>
      </w:r>
      <w:r>
        <w:rPr>
          <w:rFonts w:hint="eastAsia" w:ascii="仿宋_GB2312" w:hAnsi="仿宋_GB2312" w:eastAsia="仿宋_GB2312" w:cs="仿宋_GB2312"/>
          <w:sz w:val="32"/>
          <w:szCs w:val="32"/>
        </w:rPr>
        <w:t>书</w:t>
      </w:r>
      <w:r>
        <w:rPr>
          <w:rFonts w:hint="eastAsia" w:ascii="仿宋_GB2312" w:hAnsi="仿宋_GB2312" w:eastAsia="仿宋_GB2312" w:cs="仿宋_GB2312"/>
          <w:sz w:val="32"/>
          <w:szCs w:val="32"/>
          <w:lang w:eastAsia="zh-CN"/>
        </w:rPr>
        <w:t>记</w:t>
      </w:r>
      <w:r>
        <w:rPr>
          <w:rFonts w:hint="eastAsia" w:ascii="仿宋_GB2312" w:hAnsi="仿宋_GB2312" w:eastAsia="仿宋_GB2312" w:cs="仿宋_GB2312"/>
          <w:sz w:val="32"/>
          <w:szCs w:val="32"/>
        </w:rPr>
        <w:t>代表参加全市微党课比赛，</w:t>
      </w:r>
      <w:r>
        <w:rPr>
          <w:rFonts w:hint="eastAsia" w:ascii="仿宋_GB2312" w:hAnsi="仿宋_GB2312" w:eastAsia="仿宋_GB2312" w:cs="仿宋_GB2312"/>
          <w:sz w:val="32"/>
          <w:szCs w:val="32"/>
          <w:lang w:eastAsia="zh-CN"/>
        </w:rPr>
        <w:t>荣</w:t>
      </w:r>
      <w:r>
        <w:rPr>
          <w:rFonts w:hint="eastAsia" w:ascii="仿宋_GB2312" w:hAnsi="仿宋_GB2312" w:eastAsia="仿宋_GB2312" w:cs="仿宋_GB2312"/>
          <w:sz w:val="32"/>
          <w:szCs w:val="32"/>
        </w:rPr>
        <w:t>获第2名的好成绩。成功创建1个省级示范离退休</w:t>
      </w:r>
      <w:r>
        <w:rPr>
          <w:rFonts w:hint="eastAsia" w:ascii="仿宋_GB2312" w:hAnsi="仿宋_GB2312" w:eastAsia="仿宋_GB2312" w:cs="仿宋_GB2312"/>
          <w:sz w:val="32"/>
          <w:szCs w:val="32"/>
          <w:lang w:val="en-US" w:eastAsia="zh-CN"/>
        </w:rPr>
        <w:t>干部</w:t>
      </w:r>
      <w:r>
        <w:rPr>
          <w:rFonts w:hint="eastAsia" w:ascii="仿宋_GB2312" w:hAnsi="仿宋_GB2312" w:eastAsia="仿宋_GB2312" w:cs="仿宋_GB2312"/>
          <w:sz w:val="32"/>
          <w:szCs w:val="32"/>
        </w:rPr>
        <w:t>党支部（县</w:t>
      </w:r>
      <w:r>
        <w:rPr>
          <w:rFonts w:hint="eastAsia" w:ascii="仿宋_GB2312" w:hAnsi="仿宋_GB2312" w:eastAsia="仿宋_GB2312" w:cs="仿宋_GB2312"/>
          <w:sz w:val="32"/>
          <w:szCs w:val="32"/>
          <w:lang w:eastAsia="zh-CN"/>
        </w:rPr>
        <w:t>税务</w:t>
      </w:r>
      <w:r>
        <w:rPr>
          <w:rFonts w:hint="eastAsia" w:ascii="仿宋_GB2312" w:hAnsi="仿宋_GB2312" w:eastAsia="仿宋_GB2312" w:cs="仿宋_GB2312"/>
          <w:sz w:val="32"/>
          <w:szCs w:val="32"/>
        </w:rPr>
        <w:t>局）、1个市级示范离退休</w:t>
      </w:r>
      <w:r>
        <w:rPr>
          <w:rFonts w:hint="eastAsia" w:ascii="仿宋_GB2312" w:hAnsi="仿宋_GB2312" w:eastAsia="仿宋_GB2312" w:cs="仿宋_GB2312"/>
          <w:sz w:val="32"/>
          <w:szCs w:val="32"/>
          <w:lang w:val="en-US" w:eastAsia="zh-CN"/>
        </w:rPr>
        <w:t>干部</w:t>
      </w:r>
      <w:r>
        <w:rPr>
          <w:rFonts w:hint="eastAsia" w:ascii="仿宋_GB2312" w:hAnsi="仿宋_GB2312" w:eastAsia="仿宋_GB2312" w:cs="仿宋_GB2312"/>
          <w:sz w:val="32"/>
          <w:szCs w:val="32"/>
        </w:rPr>
        <w:t>党支部（县卫健局），新建4家“美在金秋”老党员之家，离退休干部支部建设和活动阵地得到</w:t>
      </w:r>
      <w:r>
        <w:rPr>
          <w:rFonts w:hint="eastAsia" w:ascii="仿宋_GB2312" w:hAnsi="仿宋_GB2312" w:eastAsia="仿宋_GB2312" w:cs="仿宋_GB2312"/>
          <w:sz w:val="32"/>
          <w:szCs w:val="32"/>
          <w:lang w:eastAsia="zh-CN"/>
        </w:rPr>
        <w:t>进一步</w:t>
      </w:r>
      <w:r>
        <w:rPr>
          <w:rFonts w:hint="eastAsia" w:ascii="仿宋_GB2312" w:hAnsi="仿宋_GB2312" w:eastAsia="仿宋_GB2312" w:cs="仿宋_GB2312"/>
          <w:sz w:val="32"/>
          <w:szCs w:val="32"/>
        </w:rPr>
        <w:t>加强。</w:t>
      </w:r>
    </w:p>
    <w:p>
      <w:pPr>
        <w:pStyle w:val="2"/>
        <w:numPr>
          <w:ilvl w:val="0"/>
          <w:numId w:val="0"/>
        </w:numPr>
        <w:ind w:firstLine="643" w:firstLineChars="200"/>
        <w:rPr>
          <w:rFonts w:hint="eastAsia" w:ascii="仿宋_GB2312" w:hAnsi="仿宋_GB2312" w:eastAsia="仿宋_GB2312" w:cs="仿宋_GB2312"/>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待遇保障用心用情。</w:t>
      </w:r>
      <w:r>
        <w:rPr>
          <w:rFonts w:hint="eastAsia" w:ascii="仿宋_GB2312" w:hAnsi="仿宋_GB2312" w:eastAsia="仿宋_GB2312" w:cs="仿宋_GB2312"/>
          <w:sz w:val="32"/>
          <w:szCs w:val="32"/>
        </w:rPr>
        <w:t>举办全县庆祝重阳节活动暨向老干部工作汇报会等活动</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组织退休处级干部参加县委全会、人大政协两会、主题教育动员会和县委领导调研关工委座谈会等活动</w:t>
      </w:r>
      <w:r>
        <w:rPr>
          <w:rFonts w:hint="eastAsia" w:ascii="仿宋" w:hAnsi="仿宋" w:eastAsia="仿宋" w:cs="仿宋"/>
          <w:sz w:val="32"/>
          <w:szCs w:val="32"/>
          <w:lang w:eastAsia="zh-CN"/>
        </w:rPr>
        <w:t>。</w:t>
      </w:r>
      <w:r>
        <w:rPr>
          <w:rFonts w:hint="eastAsia" w:ascii="仿宋" w:hAnsi="仿宋" w:eastAsia="仿宋" w:cs="仿宋"/>
          <w:sz w:val="32"/>
          <w:szCs w:val="32"/>
        </w:rPr>
        <w:t>老</w:t>
      </w:r>
      <w:r>
        <w:rPr>
          <w:rFonts w:hint="eastAsia" w:ascii="仿宋" w:hAnsi="仿宋" w:eastAsia="仿宋" w:cs="仿宋"/>
          <w:sz w:val="32"/>
          <w:szCs w:val="32"/>
          <w:lang w:eastAsia="zh-CN"/>
        </w:rPr>
        <w:t>干部先后</w:t>
      </w:r>
      <w:r>
        <w:rPr>
          <w:rFonts w:hint="eastAsia" w:ascii="仿宋" w:hAnsi="仿宋" w:eastAsia="仿宋" w:cs="仿宋"/>
          <w:sz w:val="32"/>
          <w:szCs w:val="32"/>
        </w:rPr>
        <w:t>为人才工作</w:t>
      </w:r>
      <w:r>
        <w:rPr>
          <w:rFonts w:hint="eastAsia" w:ascii="仿宋" w:hAnsi="仿宋" w:eastAsia="仿宋" w:cs="仿宋"/>
          <w:sz w:val="32"/>
          <w:szCs w:val="32"/>
          <w:lang w:eastAsia="zh-CN"/>
        </w:rPr>
        <w:t>、</w:t>
      </w:r>
      <w:r>
        <w:rPr>
          <w:rFonts w:hint="eastAsia" w:ascii="仿宋" w:hAnsi="仿宋" w:eastAsia="仿宋" w:cs="仿宋"/>
          <w:sz w:val="32"/>
          <w:szCs w:val="32"/>
        </w:rPr>
        <w:t>国土空间规划</w:t>
      </w:r>
      <w:r>
        <w:rPr>
          <w:rFonts w:hint="eastAsia" w:ascii="仿宋" w:hAnsi="仿宋" w:eastAsia="仿宋" w:cs="仿宋"/>
          <w:sz w:val="32"/>
          <w:szCs w:val="32"/>
          <w:lang w:eastAsia="zh-CN"/>
        </w:rPr>
        <w:t>和政府工作报告</w:t>
      </w:r>
      <w:r>
        <w:rPr>
          <w:rFonts w:hint="eastAsia" w:ascii="仿宋" w:hAnsi="仿宋" w:eastAsia="仿宋" w:cs="仿宋"/>
          <w:sz w:val="32"/>
          <w:szCs w:val="32"/>
        </w:rPr>
        <w:t>等提出意见建议</w:t>
      </w:r>
      <w:r>
        <w:rPr>
          <w:rFonts w:hint="eastAsia" w:ascii="仿宋" w:hAnsi="仿宋" w:eastAsia="仿宋" w:cs="仿宋"/>
          <w:sz w:val="32"/>
          <w:szCs w:val="32"/>
          <w:lang w:val="en-US" w:eastAsia="zh-CN"/>
        </w:rPr>
        <w:t>3</w:t>
      </w:r>
      <w:r>
        <w:rPr>
          <w:rFonts w:hint="eastAsia" w:ascii="仿宋" w:hAnsi="仿宋" w:eastAsia="仿宋" w:cs="仿宋"/>
          <w:sz w:val="32"/>
          <w:szCs w:val="32"/>
        </w:rPr>
        <w:t>0多条</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rPr>
        <w:t>全面落实政策，</w:t>
      </w:r>
      <w:r>
        <w:rPr>
          <w:rFonts w:hint="eastAsia" w:ascii="仿宋" w:hAnsi="仿宋" w:eastAsia="仿宋" w:cs="仿宋"/>
          <w:sz w:val="32"/>
          <w:szCs w:val="32"/>
        </w:rPr>
        <w:t>追补了2018年以来的交通费差额和企业离休干部</w:t>
      </w:r>
      <w:r>
        <w:rPr>
          <w:rFonts w:hint="eastAsia" w:ascii="仿宋" w:hAnsi="仿宋" w:eastAsia="仿宋" w:cs="仿宋"/>
          <w:sz w:val="32"/>
          <w:szCs w:val="32"/>
          <w:lang w:val="en-US" w:eastAsia="zh-CN"/>
        </w:rPr>
        <w:t>2021-2022年</w:t>
      </w:r>
      <w:r>
        <w:rPr>
          <w:rFonts w:hint="eastAsia" w:ascii="仿宋" w:hAnsi="仿宋" w:eastAsia="仿宋" w:cs="仿宋"/>
          <w:sz w:val="32"/>
          <w:szCs w:val="32"/>
        </w:rPr>
        <w:t>的绩效奖2</w:t>
      </w:r>
      <w:r>
        <w:rPr>
          <w:rFonts w:hint="eastAsia" w:ascii="仿宋" w:hAnsi="仿宋" w:eastAsia="仿宋" w:cs="仿宋"/>
          <w:sz w:val="32"/>
          <w:szCs w:val="32"/>
          <w:lang w:val="en-US" w:eastAsia="zh-CN"/>
        </w:rPr>
        <w:t>2</w:t>
      </w:r>
      <w:r>
        <w:rPr>
          <w:rFonts w:hint="eastAsia" w:ascii="仿宋" w:hAnsi="仿宋" w:eastAsia="仿宋" w:cs="仿宋"/>
          <w:sz w:val="32"/>
          <w:szCs w:val="32"/>
        </w:rPr>
        <w:t>.</w:t>
      </w:r>
      <w:r>
        <w:rPr>
          <w:rFonts w:hint="eastAsia" w:ascii="仿宋" w:hAnsi="仿宋" w:eastAsia="仿宋" w:cs="仿宋"/>
          <w:sz w:val="32"/>
          <w:szCs w:val="32"/>
          <w:lang w:val="en-US" w:eastAsia="zh-CN"/>
        </w:rPr>
        <w:t>9</w:t>
      </w:r>
      <w:r>
        <w:rPr>
          <w:rFonts w:hint="eastAsia" w:ascii="仿宋" w:hAnsi="仿宋" w:eastAsia="仿宋" w:cs="仿宋"/>
          <w:sz w:val="32"/>
          <w:szCs w:val="32"/>
        </w:rPr>
        <w:t>万元</w:t>
      </w:r>
      <w:r>
        <w:rPr>
          <w:rFonts w:hint="eastAsia" w:ascii="仿宋_GB2312" w:hAnsi="仿宋_GB2312" w:eastAsia="仿宋_GB2312" w:cs="仿宋_GB2312"/>
          <w:sz w:val="32"/>
          <w:szCs w:val="32"/>
        </w:rPr>
        <w:t>。全县离休干部离休费等生活待遇资金足额及时发放到位，1至12月份共发放离休干部打卡工资、护理费、交通费等生活待遇资金130余万元。创新开展离休干部“四对一”精准服务（即一名工作人员、一名县人民医院医疗保健专家、两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爱在始终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志愿者），得到省</w:t>
      </w:r>
      <w:r>
        <w:rPr>
          <w:rFonts w:hint="eastAsia" w:ascii="仿宋_GB2312" w:hAnsi="仿宋_GB2312" w:eastAsia="仿宋_GB2312" w:cs="仿宋_GB2312"/>
          <w:sz w:val="32"/>
          <w:szCs w:val="32"/>
          <w:lang w:eastAsia="zh-CN"/>
        </w:rPr>
        <w:t>委、</w:t>
      </w:r>
      <w:r>
        <w:rPr>
          <w:rFonts w:hint="eastAsia" w:ascii="仿宋_GB2312" w:hAnsi="仿宋_GB2312" w:eastAsia="仿宋_GB2312" w:cs="仿宋_GB2312"/>
          <w:sz w:val="32"/>
          <w:szCs w:val="32"/>
        </w:rPr>
        <w:t>市委老干部局领导高度肯定。全年班子成员带队走访慰问老干部近400人次，离退休干部整生上门送祝福23人</w:t>
      </w:r>
      <w:r>
        <w:rPr>
          <w:rFonts w:hint="eastAsia" w:ascii="仿宋_GB2312" w:hAnsi="仿宋_GB2312" w:eastAsia="仿宋_GB2312" w:cs="仿宋_GB2312"/>
          <w:sz w:val="32"/>
          <w:szCs w:val="32"/>
          <w:lang w:eastAsia="zh-CN"/>
        </w:rPr>
        <w:t>次</w:t>
      </w:r>
      <w:r>
        <w:rPr>
          <w:rFonts w:hint="eastAsia" w:ascii="仿宋_GB2312" w:hAnsi="仿宋_GB2312" w:eastAsia="仿宋_GB2312" w:cs="仿宋_GB2312"/>
          <w:sz w:val="32"/>
          <w:szCs w:val="32"/>
        </w:rPr>
        <w:t>，生病住院探望16人次，逝世吊唁8人，发放丧葬抚恤金125.7万元。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协调服务高质高效。</w:t>
      </w:r>
      <w:r>
        <w:rPr>
          <w:rFonts w:hint="eastAsia" w:ascii="仿宋_GB2312" w:hAnsi="仿宋_GB2312" w:eastAsia="仿宋_GB2312" w:cs="仿宋_GB2312"/>
          <w:sz w:val="32"/>
          <w:szCs w:val="32"/>
        </w:rPr>
        <w:t>全力协调服务老年群团组织工作开展。精心服务县关工委召开关心下一代工作会议、</w:t>
      </w:r>
      <w:r>
        <w:rPr>
          <w:rFonts w:hint="eastAsia" w:ascii="仿宋_GB2312" w:hAnsi="仿宋_GB2312" w:eastAsia="仿宋_GB2312" w:cs="仿宋_GB2312"/>
          <w:sz w:val="32"/>
          <w:szCs w:val="32"/>
          <w:lang w:eastAsia="zh-CN"/>
        </w:rPr>
        <w:t>县委专题调研关工委工作、</w:t>
      </w:r>
      <w:r>
        <w:rPr>
          <w:rFonts w:hint="eastAsia" w:ascii="仿宋_GB2312" w:hAnsi="仿宋_GB2312" w:eastAsia="仿宋_GB2312" w:cs="仿宋_GB2312"/>
          <w:sz w:val="32"/>
          <w:szCs w:val="32"/>
        </w:rPr>
        <w:t>“五老”宣讲团进校园宣讲活动；服务县老年体协成功举办湘鄂边四县区门球邀请赛、全县“三八”女子门球赛、全县老年人象棋大赛、岳阳市老年人围棋赛等文体赛事活动；服务县老科协接待省、市老科协来华容专题调研；服务县老年保健协会举行离退休干部与医疗专家结对联系见面会暨健康体检活动、“健康长寿老人”“长寿之星”颁奖仪式暨老年保健才艺表演活动等。</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rPr>
      </w:pPr>
      <w:r>
        <w:rPr>
          <w:rFonts w:hint="eastAsia" w:ascii="楷体" w:hAnsi="楷体" w:eastAsia="楷体" w:cs="楷体"/>
          <w:b/>
          <w:bCs/>
          <w:sz w:val="32"/>
          <w:szCs w:val="32"/>
          <w:lang w:eastAsia="zh-CN"/>
        </w:rPr>
        <w:t>（四）</w:t>
      </w:r>
      <w:r>
        <w:rPr>
          <w:rFonts w:hint="eastAsia" w:ascii="楷体" w:hAnsi="楷体" w:eastAsia="楷体" w:cs="楷体"/>
          <w:b/>
          <w:bCs/>
          <w:sz w:val="32"/>
          <w:szCs w:val="32"/>
        </w:rPr>
        <w:t>老年教育出色出彩。</w:t>
      </w:r>
      <w:r>
        <w:rPr>
          <w:rFonts w:hint="eastAsia" w:ascii="仿宋_GB2312" w:hAnsi="仿宋_GB2312" w:eastAsia="仿宋_GB2312" w:cs="仿宋_GB2312"/>
          <w:sz w:val="32"/>
          <w:szCs w:val="32"/>
        </w:rPr>
        <w:t>进一步确立“党建办学、政治立校”的方向，开设思想政治、诗词、书法、音乐、二胡、舞蹈、太极拳等10门课程，共招收学员</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个班近2000人次。今年来，除日常教学外，还创新开展了专题党课、消防安全培训、保健知识讲座等活动</w:t>
      </w:r>
      <w:r>
        <w:rPr>
          <w:rFonts w:hint="eastAsia" w:ascii="仿宋_GB2312" w:hAnsi="仿宋_GB2312" w:eastAsia="仿宋_GB2312" w:cs="仿宋_GB2312"/>
          <w:sz w:val="32"/>
          <w:szCs w:val="32"/>
          <w:lang w:eastAsia="zh-CN"/>
        </w:rPr>
        <w:t>，为县</w:t>
      </w:r>
      <w:r>
        <w:rPr>
          <w:rFonts w:hint="eastAsia" w:ascii="仿宋_GB2312" w:hAnsi="仿宋_GB2312" w:eastAsia="仿宋_GB2312" w:cs="仿宋_GB2312"/>
          <w:sz w:val="32"/>
          <w:szCs w:val="32"/>
          <w:lang w:val="en-US" w:eastAsia="zh-CN"/>
        </w:rPr>
        <w:t>3场</w:t>
      </w:r>
      <w:r>
        <w:rPr>
          <w:rFonts w:hint="eastAsia" w:ascii="仿宋_GB2312" w:hAnsi="仿宋_GB2312" w:eastAsia="仿宋_GB2312" w:cs="仿宋_GB2312"/>
          <w:sz w:val="32"/>
          <w:szCs w:val="32"/>
          <w:lang w:eastAsia="zh-CN"/>
        </w:rPr>
        <w:t>大型活动贡献节目表演，</w:t>
      </w:r>
      <w:r>
        <w:rPr>
          <w:rFonts w:hint="eastAsia" w:ascii="仿宋_GB2312" w:hAnsi="仿宋_GB2312" w:eastAsia="仿宋_GB2312" w:cs="仿宋_GB2312"/>
          <w:sz w:val="32"/>
          <w:szCs w:val="32"/>
        </w:rPr>
        <w:t>老年大学新时代文明实践志愿服务队积极参加社区实践、敬老院慰问、“爱在始终”志愿服务等公益活动</w:t>
      </w:r>
      <w:r>
        <w:rPr>
          <w:rFonts w:hint="eastAsia" w:ascii="仿宋_GB2312" w:hAnsi="仿宋_GB2312" w:eastAsia="仿宋_GB2312" w:cs="仿宋_GB2312"/>
          <w:sz w:val="32"/>
          <w:szCs w:val="32"/>
          <w:lang w:eastAsia="zh-CN"/>
        </w:rPr>
        <w:t>，惠及广大基层群众</w:t>
      </w:r>
      <w:r>
        <w:rPr>
          <w:rFonts w:hint="eastAsia" w:ascii="仿宋_GB2312" w:hAnsi="仿宋_GB2312" w:eastAsia="仿宋_GB2312" w:cs="仿宋_GB2312"/>
          <w:sz w:val="32"/>
          <w:szCs w:val="32"/>
        </w:rPr>
        <w:t>。</w:t>
      </w:r>
    </w:p>
    <w:p>
      <w:pPr>
        <w:spacing w:before="220" w:line="600" w:lineRule="exact"/>
        <w:ind w:left="641"/>
        <w:rPr>
          <w:rFonts w:hint="eastAsia" w:ascii="黑体" w:hAnsi="黑体" w:eastAsia="黑体" w:cs="黑体"/>
          <w:spacing w:val="9"/>
          <w:position w:val="21"/>
          <w:sz w:val="32"/>
          <w:szCs w:val="32"/>
        </w:rPr>
      </w:pPr>
      <w:r>
        <w:rPr>
          <w:rFonts w:hint="eastAsia" w:ascii="黑体" w:hAnsi="黑体" w:eastAsia="黑体" w:cs="黑体"/>
          <w:spacing w:val="9"/>
          <w:position w:val="21"/>
          <w:sz w:val="32"/>
          <w:szCs w:val="32"/>
        </w:rPr>
        <w:t>七、存在的问题及原因分析</w:t>
      </w:r>
    </w:p>
    <w:p>
      <w:pPr>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eastAsia"/>
        </w:rPr>
      </w:pPr>
      <w:r>
        <w:rPr>
          <w:rFonts w:hint="eastAsia" w:eastAsia="仿宋_GB2312" w:cs="Times New Roman"/>
          <w:color w:val="000000"/>
          <w:sz w:val="32"/>
          <w:szCs w:val="32"/>
          <w:lang w:val="en-US" w:eastAsia="zh-CN"/>
        </w:rPr>
        <w:t>基本支出与项目支出年初预算与年末决算差额大。由于每年年初预算金额仅预算基本支出，项目支出按财政年度财力情况予以安排，所以在预算执行中存在预算调整的情况。</w:t>
      </w:r>
    </w:p>
    <w:p>
      <w:pPr>
        <w:spacing w:line="227" w:lineRule="auto"/>
        <w:ind w:left="643"/>
        <w:rPr>
          <w:rFonts w:hint="eastAsia" w:ascii="黑体" w:hAnsi="黑体" w:eastAsia="黑体" w:cs="黑体"/>
          <w:spacing w:val="8"/>
          <w:sz w:val="32"/>
          <w:szCs w:val="32"/>
        </w:rPr>
      </w:pPr>
      <w:r>
        <w:rPr>
          <w:rFonts w:hint="eastAsia" w:ascii="黑体" w:hAnsi="黑体" w:eastAsia="黑体" w:cs="黑体"/>
          <w:spacing w:val="8"/>
          <w:sz w:val="32"/>
          <w:szCs w:val="32"/>
        </w:rPr>
        <w:t>八、下一步改进措施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ab/>
      </w:r>
      <w:r>
        <w:rPr>
          <w:rFonts w:hint="default" w:ascii="Times New Roman" w:hAnsi="Times New Roman" w:eastAsia="仿宋_GB2312" w:cs="Times New Roman"/>
          <w:color w:val="000000"/>
          <w:kern w:val="2"/>
          <w:sz w:val="32"/>
          <w:szCs w:val="32"/>
          <w:lang w:val="en-US" w:eastAsia="zh-CN" w:bidi="ar-SA"/>
        </w:rPr>
        <w:t>提高编制预算的科学性</w:t>
      </w:r>
      <w:r>
        <w:rPr>
          <w:rFonts w:hint="eastAsia" w:ascii="Times New Roman" w:hAnsi="Times New Roman" w:eastAsia="仿宋_GB2312" w:cs="Times New Roman"/>
          <w:color w:val="000000"/>
          <w:kern w:val="2"/>
          <w:sz w:val="32"/>
          <w:szCs w:val="32"/>
          <w:lang w:val="en-US" w:eastAsia="zh-CN" w:bidi="ar-SA"/>
        </w:rPr>
        <w:t>准确性</w:t>
      </w:r>
      <w:r>
        <w:rPr>
          <w:rFonts w:hint="default" w:ascii="Times New Roman" w:hAnsi="Times New Roman" w:eastAsia="仿宋_GB2312" w:cs="Times New Roman"/>
          <w:color w:val="000000"/>
          <w:kern w:val="2"/>
          <w:sz w:val="32"/>
          <w:szCs w:val="32"/>
          <w:lang w:val="en-US" w:eastAsia="zh-CN" w:bidi="ar-SA"/>
        </w:rPr>
        <w:t>。强化部门预算管理，切实提高预算编制的科学性、精准度。规范部门预算收支核算，及时了解预算执行差异，与财政相关部门沟通，合理调整、纠正预算执行偏差，确保各项预算资金足额拨付到位。</w:t>
      </w:r>
    </w:p>
    <w:p>
      <w:pPr>
        <w:numPr>
          <w:ilvl w:val="0"/>
          <w:numId w:val="3"/>
        </w:numPr>
        <w:spacing w:before="219" w:line="600" w:lineRule="exact"/>
        <w:ind w:left="650"/>
        <w:rPr>
          <w:rFonts w:hint="eastAsia" w:ascii="黑体" w:hAnsi="黑体" w:eastAsia="黑体" w:cs="黑体"/>
          <w:spacing w:val="8"/>
          <w:position w:val="21"/>
          <w:sz w:val="32"/>
          <w:szCs w:val="32"/>
        </w:rPr>
      </w:pPr>
      <w:r>
        <w:rPr>
          <w:rFonts w:hint="eastAsia" w:ascii="黑体" w:hAnsi="黑体" w:eastAsia="黑体" w:cs="黑体"/>
          <w:spacing w:val="9"/>
          <w:position w:val="21"/>
          <w:sz w:val="32"/>
          <w:szCs w:val="32"/>
        </w:rPr>
        <w:t>部门整体支出绩效自评结果拟应用和公开</w:t>
      </w:r>
      <w:r>
        <w:rPr>
          <w:rFonts w:hint="eastAsia" w:ascii="黑体" w:hAnsi="黑体" w:eastAsia="黑体" w:cs="黑体"/>
          <w:spacing w:val="8"/>
          <w:position w:val="21"/>
          <w:sz w:val="32"/>
          <w:szCs w:val="32"/>
        </w:rPr>
        <w:t>情况</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我中心部门整体支出绩效自评结果拟应用于24年整体支出安排，并作为近两年预算编制的重要参考依据。本次部门整体支出绩效自评结果按要求向社会予以公开。</w:t>
      </w:r>
    </w:p>
    <w:p>
      <w:pPr>
        <w:numPr>
          <w:ilvl w:val="0"/>
          <w:numId w:val="3"/>
        </w:numPr>
        <w:spacing w:line="226" w:lineRule="auto"/>
        <w:ind w:left="650" w:leftChars="0" w:firstLine="0" w:firstLineChars="0"/>
        <w:rPr>
          <w:rFonts w:hint="eastAsia" w:ascii="Times New Roman" w:hAnsi="Times New Roman" w:eastAsia="仿宋_GB2312" w:cs="Times New Roman"/>
          <w:color w:val="000000"/>
          <w:kern w:val="2"/>
          <w:sz w:val="32"/>
          <w:szCs w:val="32"/>
          <w:lang w:val="en-US" w:eastAsia="zh-CN" w:bidi="ar-SA"/>
        </w:rPr>
      </w:pPr>
      <w:r>
        <w:rPr>
          <w:rFonts w:hint="eastAsia" w:ascii="黑体" w:hAnsi="黑体" w:eastAsia="黑体" w:cs="黑体"/>
          <w:spacing w:val="-3"/>
          <w:sz w:val="32"/>
          <w:szCs w:val="32"/>
        </w:rPr>
        <w:t>其他需要说明的情况</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000000"/>
          <w:kern w:val="2"/>
          <w:sz w:val="32"/>
          <w:szCs w:val="32"/>
          <w:lang w:val="en-US" w:eastAsia="zh-CN" w:bidi="ar-SA"/>
        </w:rPr>
        <w:sectPr>
          <w:footerReference r:id="rId4" w:type="default"/>
          <w:pgSz w:w="11905" w:h="16838"/>
          <w:pgMar w:top="1984" w:right="1701" w:bottom="1984" w:left="1701" w:header="850" w:footer="992" w:gutter="0"/>
          <w:pgNumType w:fmt="numberInDash"/>
          <w:cols w:space="0" w:num="1"/>
          <w:rtlGutter w:val="0"/>
          <w:docGrid w:type="lines" w:linePitch="314" w:charSpace="0"/>
        </w:sectPr>
      </w:pPr>
      <w:r>
        <w:rPr>
          <w:rFonts w:hint="eastAsia" w:ascii="Times New Roman" w:hAnsi="Times New Roman" w:eastAsia="仿宋_GB2312" w:cs="Times New Roman"/>
          <w:color w:val="000000"/>
          <w:kern w:val="2"/>
          <w:sz w:val="32"/>
          <w:szCs w:val="32"/>
          <w:lang w:val="en-US" w:eastAsia="zh-CN" w:bidi="ar-SA"/>
        </w:rPr>
        <w:t>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 w:line="174" w:lineRule="auto"/>
      <w:jc w:val="center"/>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7</w:t>
                          </w:r>
                          <w:r>
                            <w:rPr>
                              <w:rFonts w:hint="default" w:ascii="Times New Roman" w:hAnsi="Times New Roman" w:eastAsia="华文仿宋"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4"/>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7</w:t>
                    </w:r>
                    <w:r>
                      <w:rPr>
                        <w:rFonts w:hint="default" w:ascii="Times New Roman" w:hAnsi="Times New Roman" w:eastAsia="华文仿宋" w:cs="Times New Roman"/>
                        <w:sz w:val="32"/>
                        <w:szCs w:val="3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 w:line="174" w:lineRule="auto"/>
      <w:ind w:left="8576"/>
      <w:rPr>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华文仿宋" w:hAnsi="华文仿宋" w:eastAsia="华文仿宋" w:cs="华文仿宋"/>
                              <w:sz w:val="28"/>
                              <w:szCs w:val="28"/>
                            </w:rPr>
                          </w:pPr>
                          <w:r>
                            <w:rPr>
                              <w:rFonts w:hint="eastAsia" w:ascii="华文仿宋" w:hAnsi="华文仿宋" w:eastAsia="华文仿宋" w:cs="华文仿宋"/>
                              <w:sz w:val="28"/>
                              <w:szCs w:val="28"/>
                            </w:rPr>
                            <w:fldChar w:fldCharType="begin"/>
                          </w:r>
                          <w:r>
                            <w:rPr>
                              <w:rFonts w:hint="eastAsia" w:ascii="华文仿宋" w:hAnsi="华文仿宋" w:eastAsia="华文仿宋" w:cs="华文仿宋"/>
                              <w:sz w:val="28"/>
                              <w:szCs w:val="28"/>
                            </w:rPr>
                            <w:instrText xml:space="preserve"> PAGE  \* MERGEFORMAT </w:instrText>
                          </w:r>
                          <w:r>
                            <w:rPr>
                              <w:rFonts w:hint="eastAsia" w:ascii="华文仿宋" w:hAnsi="华文仿宋" w:eastAsia="华文仿宋" w:cs="华文仿宋"/>
                              <w:sz w:val="28"/>
                              <w:szCs w:val="28"/>
                            </w:rPr>
                            <w:fldChar w:fldCharType="separate"/>
                          </w:r>
                          <w:r>
                            <w:rPr>
                              <w:rFonts w:hint="eastAsia" w:ascii="华文仿宋" w:hAnsi="华文仿宋" w:eastAsia="华文仿宋" w:cs="华文仿宋"/>
                              <w:sz w:val="28"/>
                              <w:szCs w:val="28"/>
                            </w:rPr>
                            <w:t>10</w:t>
                          </w:r>
                          <w:r>
                            <w:rPr>
                              <w:rFonts w:hint="eastAsia" w:ascii="华文仿宋" w:hAnsi="华文仿宋" w:eastAsia="华文仿宋" w:cs="华文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华文仿宋" w:hAnsi="华文仿宋" w:eastAsia="华文仿宋" w:cs="华文仿宋"/>
                        <w:sz w:val="28"/>
                        <w:szCs w:val="28"/>
                      </w:rPr>
                    </w:pPr>
                    <w:r>
                      <w:rPr>
                        <w:rFonts w:hint="eastAsia" w:ascii="华文仿宋" w:hAnsi="华文仿宋" w:eastAsia="华文仿宋" w:cs="华文仿宋"/>
                        <w:sz w:val="28"/>
                        <w:szCs w:val="28"/>
                      </w:rPr>
                      <w:fldChar w:fldCharType="begin"/>
                    </w:r>
                    <w:r>
                      <w:rPr>
                        <w:rFonts w:hint="eastAsia" w:ascii="华文仿宋" w:hAnsi="华文仿宋" w:eastAsia="华文仿宋" w:cs="华文仿宋"/>
                        <w:sz w:val="28"/>
                        <w:szCs w:val="28"/>
                      </w:rPr>
                      <w:instrText xml:space="preserve"> PAGE  \* MERGEFORMAT </w:instrText>
                    </w:r>
                    <w:r>
                      <w:rPr>
                        <w:rFonts w:hint="eastAsia" w:ascii="华文仿宋" w:hAnsi="华文仿宋" w:eastAsia="华文仿宋" w:cs="华文仿宋"/>
                        <w:sz w:val="28"/>
                        <w:szCs w:val="28"/>
                      </w:rPr>
                      <w:fldChar w:fldCharType="separate"/>
                    </w:r>
                    <w:r>
                      <w:rPr>
                        <w:rFonts w:hint="eastAsia" w:ascii="华文仿宋" w:hAnsi="华文仿宋" w:eastAsia="华文仿宋" w:cs="华文仿宋"/>
                        <w:sz w:val="28"/>
                        <w:szCs w:val="28"/>
                      </w:rPr>
                      <w:t>10</w:t>
                    </w:r>
                    <w:r>
                      <w:rPr>
                        <w:rFonts w:hint="eastAsia" w:ascii="华文仿宋" w:hAnsi="华文仿宋" w:eastAsia="华文仿宋" w:cs="华文仿宋"/>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D2B5F"/>
    <w:multiLevelType w:val="singleLevel"/>
    <w:tmpl w:val="87AD2B5F"/>
    <w:lvl w:ilvl="0" w:tentative="0">
      <w:start w:val="1"/>
      <w:numFmt w:val="chineseCounting"/>
      <w:suff w:val="nothing"/>
      <w:lvlText w:val="%1、"/>
      <w:lvlJc w:val="left"/>
      <w:rPr>
        <w:rFonts w:hint="eastAsia"/>
      </w:rPr>
    </w:lvl>
  </w:abstractNum>
  <w:abstractNum w:abstractNumId="1">
    <w:nsid w:val="E5AD7345"/>
    <w:multiLevelType w:val="singleLevel"/>
    <w:tmpl w:val="E5AD7345"/>
    <w:lvl w:ilvl="0" w:tentative="0">
      <w:start w:val="9"/>
      <w:numFmt w:val="chineseCounting"/>
      <w:suff w:val="nothing"/>
      <w:lvlText w:val="%1、"/>
      <w:lvlJc w:val="left"/>
      <w:rPr>
        <w:rFonts w:hint="eastAsia"/>
      </w:rPr>
    </w:lvl>
  </w:abstractNum>
  <w:abstractNum w:abstractNumId="2">
    <w:nsid w:val="4706B7F9"/>
    <w:multiLevelType w:val="singleLevel"/>
    <w:tmpl w:val="4706B7F9"/>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2N2NmYTU4N2JmM2YzMDkzOGRhOTIxZTVlYzA4ZjAifQ=="/>
  </w:docVars>
  <w:rsids>
    <w:rsidRoot w:val="0B7876F3"/>
    <w:rsid w:val="0B787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Cs w:val="21"/>
    </w:r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footnote text"/>
    <w:basedOn w:val="1"/>
    <w:next w:val="1"/>
    <w:qFormat/>
    <w:uiPriority w:val="0"/>
    <w:pPr>
      <w:snapToGrid w:val="0"/>
      <w:jc w:val="left"/>
    </w:pPr>
    <w:rPr>
      <w:sz w:val="18"/>
      <w:szCs w:val="18"/>
    </w:rPr>
  </w:style>
  <w:style w:type="paragraph" w:styleId="8">
    <w:name w:val="List Paragraph"/>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2024-05-28T13:33:00Z</dcterms:created>
  <dc:creator>Haa</dc:creator>
  <cp:lastModifiedBy>Haa</cp:lastModifiedBy>
  <dcterms:modified xsi:type="dcterms:W3CDTF">2024-05-28T13:34:09Z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EC5FAD7CC224447F86BAD972BB9D7DFE_11</vt:lpwstr>
  </property>
</Properties>
</file>