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22B4" w:rsidRDefault="00B022B4" w:rsidP="00B022B4">
      <w:pPr>
        <w:rPr>
          <w:rFonts w:ascii="仿宋_GB2312" w:eastAsia="仿宋_GB2312" w:hAnsi="仿宋_GB2312" w:cs="仿宋_GB2312"/>
          <w:spacing w:val="-4"/>
          <w:sz w:val="32"/>
          <w:szCs w:val="32"/>
        </w:rPr>
      </w:pPr>
      <w:r>
        <w:rPr>
          <w:rFonts w:ascii="仿宋_GB2312" w:eastAsia="仿宋_GB2312" w:hAnsi="仿宋_GB2312" w:cs="仿宋_GB2312" w:hint="eastAsia"/>
          <w:spacing w:val="-4"/>
          <w:sz w:val="32"/>
          <w:szCs w:val="32"/>
        </w:rPr>
        <w:t>附件3</w:t>
      </w:r>
    </w:p>
    <w:p w:rsidR="00B022B4" w:rsidRDefault="00B022B4" w:rsidP="00B022B4">
      <w:pPr>
        <w:spacing w:line="251" w:lineRule="auto"/>
        <w:rPr>
          <w:rFonts w:ascii="Arial"/>
        </w:rPr>
      </w:pPr>
    </w:p>
    <w:p w:rsidR="00B022B4" w:rsidRDefault="00B022B4" w:rsidP="00B022B4">
      <w:pPr>
        <w:spacing w:line="251" w:lineRule="auto"/>
        <w:rPr>
          <w:rFonts w:ascii="Arial"/>
        </w:rPr>
      </w:pPr>
    </w:p>
    <w:p w:rsidR="00B022B4" w:rsidRDefault="00B022B4" w:rsidP="00B022B4">
      <w:pPr>
        <w:rPr>
          <w:rFonts w:ascii="Arial"/>
        </w:rPr>
      </w:pPr>
    </w:p>
    <w:p w:rsidR="00B022B4" w:rsidRDefault="00B022B4" w:rsidP="00B022B4">
      <w:pPr>
        <w:pStyle w:val="a0"/>
      </w:pPr>
    </w:p>
    <w:p w:rsidR="00B022B4" w:rsidRDefault="00B022B4" w:rsidP="00B022B4"/>
    <w:p w:rsidR="00B022B4" w:rsidRDefault="00B022B4" w:rsidP="00B022B4">
      <w:pPr>
        <w:spacing w:before="223" w:line="218" w:lineRule="auto"/>
        <w:rPr>
          <w:rFonts w:ascii="方正小标宋简体" w:eastAsia="方正小标宋简体" w:hAnsi="方正小标宋简体" w:cs="方正小标宋简体"/>
          <w:sz w:val="52"/>
          <w:szCs w:val="52"/>
        </w:rPr>
      </w:pPr>
      <w:r>
        <w:rPr>
          <w:rFonts w:ascii="方正小标宋简体" w:eastAsia="方正小标宋简体" w:hAnsi="方正小标宋简体" w:cs="方正小标宋简体" w:hint="eastAsia"/>
          <w:spacing w:val="-1"/>
          <w:sz w:val="52"/>
          <w:szCs w:val="52"/>
        </w:rPr>
        <w:t>2023年度中共华容县委机构编制委员会办公室部门整体支出</w:t>
      </w:r>
      <w:r>
        <w:rPr>
          <w:rFonts w:ascii="方正小标宋简体" w:eastAsia="方正小标宋简体" w:hAnsi="方正小标宋简体" w:cs="方正小标宋简体" w:hint="eastAsia"/>
          <w:spacing w:val="-3"/>
          <w:sz w:val="52"/>
          <w:szCs w:val="52"/>
        </w:rPr>
        <w:t>绩效自评报告</w:t>
      </w:r>
    </w:p>
    <w:p w:rsidR="00B022B4" w:rsidRDefault="00B022B4" w:rsidP="00B022B4">
      <w:pPr>
        <w:spacing w:line="243" w:lineRule="auto"/>
        <w:rPr>
          <w:rFonts w:ascii="Arial"/>
        </w:rPr>
      </w:pPr>
    </w:p>
    <w:p w:rsidR="00B022B4" w:rsidRDefault="00B022B4" w:rsidP="00B022B4">
      <w:pPr>
        <w:spacing w:line="243" w:lineRule="auto"/>
        <w:rPr>
          <w:rFonts w:ascii="Arial"/>
        </w:rPr>
      </w:pPr>
    </w:p>
    <w:p w:rsidR="00B022B4" w:rsidRDefault="00B022B4" w:rsidP="00B022B4">
      <w:pPr>
        <w:spacing w:line="243" w:lineRule="auto"/>
        <w:rPr>
          <w:rFonts w:ascii="Arial"/>
        </w:rPr>
      </w:pPr>
    </w:p>
    <w:p w:rsidR="00B022B4" w:rsidRDefault="00B022B4" w:rsidP="00B022B4">
      <w:pPr>
        <w:spacing w:line="243" w:lineRule="auto"/>
        <w:rPr>
          <w:rFonts w:ascii="Arial"/>
        </w:rPr>
      </w:pPr>
    </w:p>
    <w:p w:rsidR="00B022B4" w:rsidRDefault="00B022B4" w:rsidP="00B022B4">
      <w:pPr>
        <w:spacing w:line="243" w:lineRule="auto"/>
        <w:rPr>
          <w:rFonts w:ascii="Arial"/>
        </w:rPr>
      </w:pPr>
    </w:p>
    <w:p w:rsidR="00B022B4" w:rsidRDefault="00B022B4" w:rsidP="00B022B4">
      <w:pPr>
        <w:spacing w:line="243" w:lineRule="auto"/>
        <w:rPr>
          <w:rFonts w:ascii="Arial"/>
        </w:rPr>
      </w:pPr>
    </w:p>
    <w:p w:rsidR="00B022B4" w:rsidRDefault="00B022B4" w:rsidP="00B022B4">
      <w:pPr>
        <w:pStyle w:val="a0"/>
        <w:rPr>
          <w:rFonts w:ascii="Arial"/>
          <w:sz w:val="21"/>
        </w:rPr>
      </w:pPr>
    </w:p>
    <w:p w:rsidR="00B022B4" w:rsidRDefault="00B022B4" w:rsidP="00B022B4">
      <w:pPr>
        <w:spacing w:line="243" w:lineRule="auto"/>
        <w:rPr>
          <w:rFonts w:ascii="Arial"/>
        </w:rPr>
      </w:pPr>
    </w:p>
    <w:p w:rsidR="00B022B4" w:rsidRDefault="00B022B4" w:rsidP="00B022B4">
      <w:pPr>
        <w:spacing w:line="243" w:lineRule="auto"/>
        <w:rPr>
          <w:rFonts w:ascii="Arial"/>
        </w:rPr>
      </w:pPr>
    </w:p>
    <w:p w:rsidR="00B022B4" w:rsidRDefault="00B022B4" w:rsidP="00B022B4">
      <w:pPr>
        <w:spacing w:line="243" w:lineRule="auto"/>
        <w:rPr>
          <w:rFonts w:ascii="Arial"/>
        </w:rPr>
      </w:pPr>
    </w:p>
    <w:p w:rsidR="00B022B4" w:rsidRDefault="00B022B4" w:rsidP="00B022B4">
      <w:pPr>
        <w:spacing w:line="243" w:lineRule="auto"/>
        <w:rPr>
          <w:rFonts w:ascii="Arial"/>
        </w:rPr>
      </w:pPr>
    </w:p>
    <w:p w:rsidR="00B022B4" w:rsidRDefault="00B022B4" w:rsidP="00B022B4">
      <w:pPr>
        <w:spacing w:line="243" w:lineRule="auto"/>
        <w:rPr>
          <w:rFonts w:ascii="Arial"/>
        </w:rPr>
      </w:pPr>
    </w:p>
    <w:p w:rsidR="00B022B4" w:rsidRDefault="00B022B4" w:rsidP="00B022B4">
      <w:pPr>
        <w:spacing w:line="243" w:lineRule="auto"/>
        <w:rPr>
          <w:rFonts w:ascii="Arial"/>
        </w:rPr>
      </w:pPr>
    </w:p>
    <w:p w:rsidR="00B022B4" w:rsidRDefault="00B022B4" w:rsidP="00B022B4">
      <w:pPr>
        <w:spacing w:line="244" w:lineRule="auto"/>
        <w:rPr>
          <w:rFonts w:ascii="Arial"/>
        </w:rPr>
      </w:pPr>
    </w:p>
    <w:p w:rsidR="00B022B4" w:rsidRDefault="00B022B4" w:rsidP="00B022B4">
      <w:pPr>
        <w:spacing w:line="244" w:lineRule="auto"/>
        <w:rPr>
          <w:rFonts w:ascii="Arial"/>
        </w:rPr>
      </w:pPr>
    </w:p>
    <w:p w:rsidR="00B022B4" w:rsidRDefault="00B022B4" w:rsidP="00B022B4">
      <w:pPr>
        <w:pStyle w:val="a6"/>
        <w:spacing w:before="100" w:line="221" w:lineRule="auto"/>
        <w:ind w:firstLineChars="200" w:firstLine="600"/>
        <w:rPr>
          <w:rFonts w:ascii="仿宋_GB2312" w:eastAsia="仿宋_GB2312" w:hAnsi="仿宋_GB2312" w:cs="仿宋_GB2312"/>
          <w:sz w:val="32"/>
          <w:szCs w:val="32"/>
          <w:lang w:eastAsia="zh-CN"/>
        </w:rPr>
      </w:pPr>
      <w:r>
        <w:rPr>
          <w:rFonts w:ascii="仿宋_GB2312" w:eastAsia="仿宋_GB2312" w:hAnsi="仿宋_GB2312" w:cs="仿宋_GB2312" w:hint="eastAsia"/>
          <w:spacing w:val="-10"/>
          <w:sz w:val="32"/>
          <w:szCs w:val="32"/>
          <w:lang w:eastAsia="zh-CN"/>
        </w:rPr>
        <w:t>部门（单位）名称</w:t>
      </w:r>
      <w:r>
        <w:rPr>
          <w:rFonts w:ascii="仿宋_GB2312" w:eastAsia="仿宋_GB2312" w:hAnsi="仿宋_GB2312" w:cs="仿宋_GB2312" w:hint="eastAsia"/>
          <w:spacing w:val="4"/>
          <w:sz w:val="32"/>
          <w:szCs w:val="32"/>
          <w:lang w:eastAsia="zh-CN"/>
        </w:rPr>
        <w:t>：</w:t>
      </w:r>
      <w:r>
        <w:rPr>
          <w:rFonts w:ascii="仿宋_GB2312" w:eastAsia="仿宋_GB2312" w:hAnsi="仿宋_GB2312" w:cs="仿宋_GB2312" w:hint="eastAsia"/>
          <w:spacing w:val="4"/>
          <w:sz w:val="32"/>
          <w:szCs w:val="32"/>
          <w:u w:val="single"/>
          <w:lang w:eastAsia="zh-CN"/>
        </w:rPr>
        <w:t>(</w:t>
      </w:r>
      <w:r>
        <w:rPr>
          <w:rFonts w:ascii="仿宋_GB2312" w:eastAsia="仿宋_GB2312" w:hAnsi="仿宋_GB2312" w:cs="仿宋_GB2312" w:hint="eastAsia"/>
          <w:spacing w:val="-10"/>
          <w:sz w:val="32"/>
          <w:szCs w:val="32"/>
          <w:u w:val="single"/>
          <w:lang w:eastAsia="zh-CN"/>
        </w:rPr>
        <w:t>盖章）</w:t>
      </w:r>
    </w:p>
    <w:p w:rsidR="00B022B4" w:rsidRDefault="00B022B4" w:rsidP="00B022B4">
      <w:pPr>
        <w:spacing w:before="228" w:line="222" w:lineRule="auto"/>
        <w:ind w:firstLineChars="1050" w:firstLine="3192"/>
        <w:rPr>
          <w:rFonts w:ascii="仿宋_GB2312" w:eastAsia="仿宋_GB2312" w:hAnsi="仿宋_GB2312" w:cs="仿宋_GB2312"/>
          <w:sz w:val="32"/>
          <w:szCs w:val="32"/>
        </w:rPr>
      </w:pPr>
      <w:r>
        <w:rPr>
          <w:rFonts w:ascii="仿宋_GB2312" w:eastAsia="仿宋_GB2312" w:hAnsi="仿宋_GB2312" w:cs="仿宋_GB2312" w:hint="eastAsia"/>
          <w:spacing w:val="-8"/>
          <w:sz w:val="32"/>
          <w:szCs w:val="32"/>
        </w:rPr>
        <w:t>2024年 5月  28日</w:t>
      </w:r>
    </w:p>
    <w:p w:rsidR="00B022B4" w:rsidRDefault="00B022B4" w:rsidP="00B022B4">
      <w:pPr>
        <w:spacing w:line="335" w:lineRule="auto"/>
        <w:rPr>
          <w:rFonts w:ascii="仿宋_GB2312" w:eastAsia="仿宋_GB2312" w:hAnsi="仿宋_GB2312" w:cs="仿宋_GB2312"/>
          <w:sz w:val="32"/>
          <w:szCs w:val="32"/>
        </w:rPr>
      </w:pPr>
    </w:p>
    <w:p w:rsidR="00B022B4" w:rsidRDefault="00B022B4" w:rsidP="00B022B4">
      <w:pPr>
        <w:pStyle w:val="a6"/>
        <w:spacing w:before="102" w:line="224" w:lineRule="auto"/>
        <w:ind w:left="3216"/>
        <w:rPr>
          <w:rFonts w:ascii="仿宋_GB2312" w:eastAsia="仿宋_GB2312" w:hAnsi="仿宋_GB2312" w:cs="仿宋_GB2312"/>
          <w:sz w:val="32"/>
          <w:szCs w:val="32"/>
          <w:lang w:eastAsia="zh-CN"/>
        </w:rPr>
      </w:pPr>
      <w:r>
        <w:rPr>
          <w:rFonts w:ascii="仿宋_GB2312" w:eastAsia="仿宋_GB2312" w:hAnsi="仿宋_GB2312" w:cs="仿宋_GB2312" w:hint="eastAsia"/>
          <w:spacing w:val="8"/>
          <w:sz w:val="32"/>
          <w:szCs w:val="32"/>
          <w:lang w:eastAsia="zh-CN"/>
        </w:rPr>
        <w:t>（此页为封面）</w:t>
      </w:r>
    </w:p>
    <w:p w:rsidR="00B022B4" w:rsidRDefault="00B022B4" w:rsidP="00B022B4">
      <w:r>
        <w:br w:type="page"/>
      </w:r>
    </w:p>
    <w:p w:rsidR="00B022B4" w:rsidRDefault="00B022B4" w:rsidP="00B022B4">
      <w:pPr>
        <w:pStyle w:val="a0"/>
        <w:sectPr w:rsidR="00B022B4">
          <w:footerReference w:type="default" r:id="rId6"/>
          <w:pgSz w:w="11905" w:h="16838"/>
          <w:pgMar w:top="1984" w:right="1701" w:bottom="1984" w:left="1701" w:header="850" w:footer="1587" w:gutter="0"/>
          <w:pgNumType w:fmt="numberInDash" w:start="7"/>
          <w:cols w:space="0"/>
          <w:docGrid w:type="lines" w:linePitch="314"/>
        </w:sectPr>
      </w:pPr>
    </w:p>
    <w:p w:rsidR="00B022B4" w:rsidRDefault="00B022B4" w:rsidP="00B022B4">
      <w:pPr>
        <w:spacing w:line="580" w:lineRule="exact"/>
        <w:jc w:val="center"/>
        <w:rPr>
          <w:rFonts w:ascii="方正小标宋简体" w:eastAsia="方正小标宋简体" w:hAnsi="方正小标宋简体" w:cs="方正小标宋简体"/>
          <w:spacing w:val="6"/>
          <w:sz w:val="44"/>
          <w:szCs w:val="44"/>
        </w:rPr>
      </w:pPr>
    </w:p>
    <w:p w:rsidR="00B022B4" w:rsidRDefault="00B022B4" w:rsidP="00B022B4">
      <w:pPr>
        <w:pStyle w:val="a0"/>
      </w:pPr>
    </w:p>
    <w:p w:rsidR="00B022B4" w:rsidRDefault="00B022B4" w:rsidP="00B022B4">
      <w:pPr>
        <w:spacing w:line="58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pacing w:val="6"/>
          <w:sz w:val="44"/>
          <w:szCs w:val="44"/>
        </w:rPr>
        <w:t>2023年度中共华容县委机构编制委员会办公室部门整体支出</w:t>
      </w:r>
      <w:r>
        <w:rPr>
          <w:rFonts w:ascii="方正小标宋简体" w:eastAsia="方正小标宋简体" w:hAnsi="方正小标宋简体" w:cs="方正小标宋简体" w:hint="eastAsia"/>
          <w:spacing w:val="7"/>
          <w:sz w:val="44"/>
          <w:szCs w:val="44"/>
        </w:rPr>
        <w:t>绩效自评报告</w:t>
      </w:r>
    </w:p>
    <w:p w:rsidR="00B022B4" w:rsidRDefault="00B022B4" w:rsidP="00B022B4">
      <w:pPr>
        <w:spacing w:line="283" w:lineRule="auto"/>
        <w:rPr>
          <w:rFonts w:ascii="Arial"/>
        </w:rPr>
      </w:pPr>
    </w:p>
    <w:p w:rsidR="00B022B4" w:rsidRDefault="00B022B4" w:rsidP="00B022B4">
      <w:pPr>
        <w:spacing w:line="284" w:lineRule="auto"/>
        <w:rPr>
          <w:rFonts w:ascii="Arial"/>
        </w:rPr>
      </w:pPr>
    </w:p>
    <w:p w:rsidR="00B022B4" w:rsidRDefault="00B022B4" w:rsidP="00B022B4">
      <w:pPr>
        <w:pStyle w:val="a0"/>
      </w:pPr>
    </w:p>
    <w:p w:rsidR="00B022B4" w:rsidRDefault="00B022B4" w:rsidP="00B022B4">
      <w:pPr>
        <w:spacing w:before="101" w:line="228" w:lineRule="auto"/>
        <w:ind w:left="648"/>
        <w:rPr>
          <w:rFonts w:ascii="黑体" w:eastAsia="黑体" w:hAnsi="黑体" w:cs="黑体"/>
          <w:sz w:val="32"/>
          <w:szCs w:val="32"/>
        </w:rPr>
      </w:pPr>
      <w:r>
        <w:rPr>
          <w:rFonts w:ascii="黑体" w:eastAsia="黑体" w:hAnsi="黑体" w:cs="黑体" w:hint="eastAsia"/>
          <w:spacing w:val="5"/>
          <w:sz w:val="32"/>
          <w:szCs w:val="32"/>
        </w:rPr>
        <w:t>一、部门基本情况</w:t>
      </w:r>
    </w:p>
    <w:p w:rsidR="00B022B4" w:rsidRDefault="00B022B4" w:rsidP="00B022B4">
      <w:pPr>
        <w:widowControl/>
        <w:spacing w:line="610" w:lineRule="exact"/>
        <w:ind w:firstLineChars="200" w:firstLine="640"/>
        <w:rPr>
          <w:rFonts w:eastAsia="仿宋_GB2312"/>
          <w:color w:val="000000"/>
          <w:sz w:val="32"/>
          <w:szCs w:val="32"/>
        </w:rPr>
      </w:pPr>
      <w:r>
        <w:rPr>
          <w:rFonts w:eastAsia="仿宋_GB2312" w:hint="eastAsia"/>
          <w:color w:val="000000"/>
          <w:sz w:val="32"/>
          <w:szCs w:val="32"/>
        </w:rPr>
        <w:t>单位为财政全额预算拨款单位，核定人员编制</w:t>
      </w:r>
      <w:r>
        <w:rPr>
          <w:rFonts w:eastAsia="仿宋_GB2312" w:hint="eastAsia"/>
          <w:color w:val="000000"/>
          <w:sz w:val="32"/>
          <w:szCs w:val="32"/>
        </w:rPr>
        <w:t>14</w:t>
      </w:r>
      <w:r>
        <w:rPr>
          <w:rFonts w:eastAsia="仿宋_GB2312" w:hint="eastAsia"/>
          <w:color w:val="000000"/>
          <w:sz w:val="32"/>
          <w:szCs w:val="32"/>
        </w:rPr>
        <w:t>人，实有人数为</w:t>
      </w:r>
      <w:r>
        <w:rPr>
          <w:rFonts w:eastAsia="仿宋_GB2312" w:hint="eastAsia"/>
          <w:color w:val="000000"/>
          <w:sz w:val="32"/>
          <w:szCs w:val="32"/>
        </w:rPr>
        <w:t>13</w:t>
      </w:r>
      <w:r>
        <w:rPr>
          <w:rFonts w:eastAsia="仿宋_GB2312" w:hint="eastAsia"/>
          <w:color w:val="000000"/>
          <w:sz w:val="32"/>
          <w:szCs w:val="32"/>
        </w:rPr>
        <w:t>人。</w:t>
      </w:r>
    </w:p>
    <w:p w:rsidR="00B022B4" w:rsidRDefault="00B022B4" w:rsidP="00B022B4">
      <w:pPr>
        <w:widowControl/>
        <w:spacing w:line="610" w:lineRule="exact"/>
        <w:ind w:firstLineChars="200" w:firstLine="640"/>
        <w:rPr>
          <w:rFonts w:eastAsia="仿宋_GB2312"/>
          <w:color w:val="000000"/>
          <w:sz w:val="32"/>
          <w:szCs w:val="32"/>
        </w:rPr>
      </w:pPr>
      <w:r>
        <w:rPr>
          <w:rFonts w:eastAsia="仿宋_GB2312" w:hint="eastAsia"/>
          <w:color w:val="000000"/>
          <w:sz w:val="32"/>
          <w:szCs w:val="32"/>
        </w:rPr>
        <w:t>1</w:t>
      </w:r>
      <w:r>
        <w:rPr>
          <w:rFonts w:eastAsia="仿宋_GB2312" w:hint="eastAsia"/>
          <w:color w:val="000000"/>
          <w:sz w:val="32"/>
          <w:szCs w:val="32"/>
        </w:rPr>
        <w:t>、单位职责职能：</w:t>
      </w:r>
    </w:p>
    <w:p w:rsidR="00B022B4" w:rsidRDefault="00B022B4" w:rsidP="00B022B4">
      <w:pPr>
        <w:widowControl/>
        <w:spacing w:line="610" w:lineRule="exact"/>
        <w:ind w:firstLineChars="200" w:firstLine="640"/>
        <w:rPr>
          <w:rFonts w:eastAsia="仿宋_GB2312"/>
          <w:color w:val="000000"/>
          <w:sz w:val="32"/>
          <w:szCs w:val="32"/>
        </w:rPr>
      </w:pPr>
      <w:r>
        <w:rPr>
          <w:rFonts w:eastAsia="仿宋_GB2312" w:hint="eastAsia"/>
          <w:color w:val="000000"/>
          <w:sz w:val="32"/>
          <w:szCs w:val="32"/>
        </w:rPr>
        <w:t>（一）贯彻执行中央和省市有关行政管理体制和机构改革以及机构编制管理的法律法规和政策；起草机构编制管理的规范性文件；统一管理全县各级党政机关（含党委、政府各部门，人大、政协、法院、检察院机关，人民团体机关以及其他行政机构，下同）和事业单位的机构编制工作。</w:t>
      </w:r>
    </w:p>
    <w:p w:rsidR="00B022B4" w:rsidRDefault="00B022B4" w:rsidP="00B022B4">
      <w:pPr>
        <w:widowControl/>
        <w:spacing w:line="610" w:lineRule="exact"/>
        <w:ind w:firstLineChars="200" w:firstLine="640"/>
        <w:rPr>
          <w:rFonts w:eastAsia="仿宋_GB2312"/>
          <w:color w:val="000000"/>
          <w:sz w:val="32"/>
          <w:szCs w:val="32"/>
        </w:rPr>
      </w:pPr>
      <w:r>
        <w:rPr>
          <w:rFonts w:eastAsia="仿宋_GB2312" w:hint="eastAsia"/>
          <w:color w:val="000000"/>
          <w:sz w:val="32"/>
          <w:szCs w:val="32"/>
        </w:rPr>
        <w:t>（二）拟订全县行政管理体制和机构改革总体方案并组织实施；审核县直党政机关各部门和乡镇党政机构改革方案；指导、协调全县行政管理体制改革和机构改革工作。</w:t>
      </w:r>
    </w:p>
    <w:p w:rsidR="00B022B4" w:rsidRDefault="00B022B4" w:rsidP="00B022B4">
      <w:pPr>
        <w:widowControl/>
        <w:spacing w:line="610" w:lineRule="exact"/>
        <w:ind w:firstLineChars="200" w:firstLine="640"/>
        <w:rPr>
          <w:rFonts w:eastAsia="仿宋_GB2312"/>
          <w:color w:val="000000"/>
          <w:sz w:val="32"/>
          <w:szCs w:val="32"/>
        </w:rPr>
      </w:pPr>
      <w:r>
        <w:rPr>
          <w:rFonts w:eastAsia="仿宋_GB2312" w:hint="eastAsia"/>
          <w:color w:val="000000"/>
          <w:sz w:val="32"/>
          <w:szCs w:val="32"/>
        </w:rPr>
        <w:t>（三）拟订全县事业单位管理体制与机构改革总体方案并组织实施；审核全县副科级以上事业单位和乡镇事业单位机构改革方案；指导、协调全县各级事业单位机构改革工作。</w:t>
      </w:r>
    </w:p>
    <w:p w:rsidR="00B022B4" w:rsidRDefault="00B022B4" w:rsidP="00B022B4">
      <w:pPr>
        <w:widowControl/>
        <w:spacing w:line="610" w:lineRule="exact"/>
        <w:ind w:firstLineChars="200" w:firstLine="640"/>
        <w:rPr>
          <w:rFonts w:eastAsia="仿宋_GB2312"/>
          <w:color w:val="000000"/>
          <w:sz w:val="32"/>
          <w:szCs w:val="32"/>
        </w:rPr>
      </w:pPr>
      <w:r>
        <w:rPr>
          <w:rFonts w:eastAsia="仿宋_GB2312" w:hint="eastAsia"/>
          <w:color w:val="000000"/>
          <w:sz w:val="32"/>
          <w:szCs w:val="32"/>
        </w:rPr>
        <w:t>（四）审核全县科级机构、乡镇党政机构和事业单位的设置和调整方案；研究提出县直党政机关职责配置和调整意</w:t>
      </w:r>
      <w:r>
        <w:rPr>
          <w:rFonts w:eastAsia="仿宋_GB2312" w:hint="eastAsia"/>
          <w:color w:val="000000"/>
          <w:sz w:val="32"/>
          <w:szCs w:val="32"/>
        </w:rPr>
        <w:lastRenderedPageBreak/>
        <w:t>见，协调各部门之间、部门与乡镇之间的事权职责分工；审定县直股级事业单位机构改革方案；审定全县科级机构的内设机构、县直股级事业单位的设置和调整方案。</w:t>
      </w:r>
    </w:p>
    <w:p w:rsidR="00B022B4" w:rsidRDefault="00B022B4" w:rsidP="00B022B4">
      <w:pPr>
        <w:widowControl/>
        <w:spacing w:line="610" w:lineRule="exact"/>
        <w:ind w:firstLineChars="200" w:firstLine="640"/>
        <w:rPr>
          <w:rFonts w:eastAsia="仿宋_GB2312"/>
          <w:color w:val="000000"/>
          <w:sz w:val="32"/>
          <w:szCs w:val="32"/>
        </w:rPr>
      </w:pPr>
      <w:r>
        <w:rPr>
          <w:rFonts w:eastAsia="仿宋_GB2312" w:hint="eastAsia"/>
          <w:color w:val="000000"/>
          <w:sz w:val="32"/>
          <w:szCs w:val="32"/>
        </w:rPr>
        <w:t>（五）审核县直党政机关各部门、全县副科级以上事业单位人员编制方案；审定县直股级事业单位人员编制方案；会同相关部门提出县直党政机关、科级以上事业单位职数配备和调整方案；审定县直党政机关、事业单位股级干部职数；拟订全县各级党政机关行政编制、政法专项编制总额分配和调整方案；研究提出事业单位编制控制计划，拟订全县事业单位机构编制标准和管理办法。</w:t>
      </w:r>
    </w:p>
    <w:p w:rsidR="00B022B4" w:rsidRDefault="00B022B4" w:rsidP="00B022B4">
      <w:pPr>
        <w:widowControl/>
        <w:spacing w:line="610" w:lineRule="exact"/>
        <w:ind w:firstLineChars="200" w:firstLine="640"/>
        <w:rPr>
          <w:rFonts w:eastAsia="仿宋_GB2312"/>
          <w:color w:val="000000"/>
          <w:sz w:val="32"/>
          <w:szCs w:val="32"/>
        </w:rPr>
      </w:pPr>
      <w:r>
        <w:rPr>
          <w:rFonts w:eastAsia="仿宋_GB2312" w:hint="eastAsia"/>
          <w:color w:val="000000"/>
          <w:sz w:val="32"/>
          <w:szCs w:val="32"/>
        </w:rPr>
        <w:t>（六）拟订全县乡镇机构改革总体方案并指导实施；管理全县乡镇机构和人员编制。</w:t>
      </w:r>
    </w:p>
    <w:p w:rsidR="00B022B4" w:rsidRDefault="00B022B4" w:rsidP="00B022B4">
      <w:pPr>
        <w:widowControl/>
        <w:spacing w:line="610" w:lineRule="exact"/>
        <w:ind w:firstLineChars="200" w:firstLine="640"/>
        <w:rPr>
          <w:rFonts w:eastAsia="仿宋_GB2312"/>
          <w:color w:val="000000"/>
          <w:sz w:val="32"/>
          <w:szCs w:val="32"/>
        </w:rPr>
      </w:pPr>
      <w:r>
        <w:rPr>
          <w:rFonts w:eastAsia="仿宋_GB2312" w:hint="eastAsia"/>
          <w:color w:val="000000"/>
          <w:sz w:val="32"/>
          <w:szCs w:val="32"/>
        </w:rPr>
        <w:t>（七）负责全县各级党政机关、事业单位机构编制实名制管理；审核纳入县级财政统一发放工资的同级党政机关、事业单位（含收取规费的事业单位）的人员编制性质、数量、实有人数和领导职数；负责全县机构编制统计工作。</w:t>
      </w:r>
    </w:p>
    <w:p w:rsidR="00B022B4" w:rsidRDefault="00B022B4" w:rsidP="00B022B4">
      <w:pPr>
        <w:widowControl/>
        <w:spacing w:line="610" w:lineRule="exact"/>
        <w:ind w:firstLineChars="200" w:firstLine="640"/>
        <w:rPr>
          <w:rFonts w:eastAsia="仿宋_GB2312"/>
          <w:color w:val="000000"/>
          <w:sz w:val="32"/>
          <w:szCs w:val="32"/>
        </w:rPr>
      </w:pPr>
      <w:r>
        <w:rPr>
          <w:rFonts w:eastAsia="仿宋_GB2312" w:hint="eastAsia"/>
          <w:color w:val="000000"/>
          <w:sz w:val="32"/>
          <w:szCs w:val="32"/>
        </w:rPr>
        <w:t>（八）负责全县各级机关事业单位辅助性、替代性、临时性用工计划的审核工作，督促、指导各用人单位规范劳动用工。</w:t>
      </w:r>
    </w:p>
    <w:p w:rsidR="00B022B4" w:rsidRDefault="00B022B4" w:rsidP="00B022B4">
      <w:pPr>
        <w:widowControl/>
        <w:spacing w:line="610" w:lineRule="exact"/>
        <w:ind w:firstLineChars="200" w:firstLine="640"/>
        <w:rPr>
          <w:rFonts w:eastAsia="仿宋_GB2312"/>
          <w:color w:val="000000"/>
          <w:sz w:val="32"/>
          <w:szCs w:val="32"/>
        </w:rPr>
      </w:pPr>
      <w:r>
        <w:rPr>
          <w:rFonts w:eastAsia="仿宋_GB2312" w:hint="eastAsia"/>
          <w:color w:val="000000"/>
          <w:sz w:val="32"/>
          <w:szCs w:val="32"/>
        </w:rPr>
        <w:t>（九）贯彻执行国家有关事业单位登记管理的法律、法规、规章，拟订全县事业单位登记管理的相关文件并组织实施；依法对本级登记管辖范围内的事业单位进行登记管理，</w:t>
      </w:r>
      <w:r>
        <w:rPr>
          <w:rFonts w:eastAsia="仿宋_GB2312" w:hint="eastAsia"/>
          <w:color w:val="000000"/>
          <w:sz w:val="32"/>
          <w:szCs w:val="32"/>
        </w:rPr>
        <w:lastRenderedPageBreak/>
        <w:t>积极开展事业单位法人履职评估工作，会同有关部门认真做好事业单位法定代表人离任审计工作；指导、协调、监督全县事业单位登记管理工作。</w:t>
      </w:r>
    </w:p>
    <w:p w:rsidR="00B022B4" w:rsidRDefault="00B022B4" w:rsidP="00B022B4">
      <w:pPr>
        <w:widowControl/>
        <w:spacing w:line="610" w:lineRule="exact"/>
        <w:ind w:firstLineChars="200" w:firstLine="640"/>
        <w:rPr>
          <w:rFonts w:eastAsia="仿宋_GB2312"/>
          <w:color w:val="000000"/>
          <w:sz w:val="32"/>
          <w:szCs w:val="32"/>
        </w:rPr>
      </w:pPr>
      <w:r>
        <w:rPr>
          <w:rFonts w:eastAsia="仿宋_GB2312" w:hint="eastAsia"/>
          <w:color w:val="000000"/>
          <w:sz w:val="32"/>
          <w:szCs w:val="32"/>
        </w:rPr>
        <w:t>（十）监督检查全县各级党政机关、事业单位机构编制及行政管理体制改革和机构改革的执行情况，会同有关部门查处机构编制违规违纪行为。</w:t>
      </w:r>
    </w:p>
    <w:p w:rsidR="00B022B4" w:rsidRDefault="00B022B4" w:rsidP="00B022B4">
      <w:pPr>
        <w:widowControl/>
        <w:spacing w:line="610" w:lineRule="exact"/>
        <w:ind w:firstLineChars="200" w:firstLine="640"/>
        <w:rPr>
          <w:rFonts w:eastAsia="仿宋_GB2312"/>
          <w:color w:val="000000"/>
          <w:sz w:val="32"/>
          <w:szCs w:val="32"/>
        </w:rPr>
      </w:pPr>
      <w:r>
        <w:rPr>
          <w:rFonts w:eastAsia="仿宋_GB2312" w:hint="eastAsia"/>
          <w:color w:val="000000"/>
          <w:sz w:val="32"/>
          <w:szCs w:val="32"/>
        </w:rPr>
        <w:t>（十一）负责组织和指导全县党政机关、事业单位政务类和公益类网上中文域名的注册申报及管理工作。</w:t>
      </w:r>
    </w:p>
    <w:p w:rsidR="00B022B4" w:rsidRDefault="00B022B4" w:rsidP="00B022B4">
      <w:pPr>
        <w:widowControl/>
        <w:spacing w:line="610" w:lineRule="exact"/>
        <w:ind w:firstLineChars="200" w:firstLine="640"/>
        <w:rPr>
          <w:rFonts w:eastAsia="仿宋_GB2312"/>
          <w:color w:val="000000"/>
          <w:sz w:val="32"/>
          <w:szCs w:val="32"/>
        </w:rPr>
      </w:pPr>
      <w:r>
        <w:rPr>
          <w:rFonts w:eastAsia="仿宋_GB2312" w:hint="eastAsia"/>
          <w:color w:val="000000"/>
          <w:sz w:val="32"/>
          <w:szCs w:val="32"/>
        </w:rPr>
        <w:t>（十二）承办县委、县人民政府和县委机构编制委员会交办的其他事项。</w:t>
      </w:r>
    </w:p>
    <w:p w:rsidR="00B022B4" w:rsidRDefault="00B022B4" w:rsidP="00B022B4">
      <w:pPr>
        <w:widowControl/>
        <w:spacing w:line="610" w:lineRule="exact"/>
        <w:ind w:firstLineChars="200" w:firstLine="640"/>
        <w:rPr>
          <w:rFonts w:eastAsia="仿宋_GB2312"/>
          <w:color w:val="000000"/>
          <w:sz w:val="32"/>
          <w:szCs w:val="32"/>
        </w:rPr>
      </w:pPr>
      <w:r>
        <w:rPr>
          <w:rFonts w:eastAsia="仿宋_GB2312" w:hint="eastAsia"/>
          <w:color w:val="000000"/>
          <w:sz w:val="32"/>
          <w:szCs w:val="32"/>
        </w:rPr>
        <w:t>2</w:t>
      </w:r>
      <w:r>
        <w:rPr>
          <w:rFonts w:eastAsia="仿宋_GB2312" w:hint="eastAsia"/>
          <w:color w:val="000000"/>
          <w:sz w:val="32"/>
          <w:szCs w:val="32"/>
        </w:rPr>
        <w:t>、单位内设机构：</w:t>
      </w:r>
    </w:p>
    <w:p w:rsidR="00B022B4" w:rsidRDefault="00B022B4" w:rsidP="00B022B4">
      <w:pPr>
        <w:widowControl/>
        <w:spacing w:line="610" w:lineRule="exact"/>
        <w:ind w:firstLineChars="200" w:firstLine="640"/>
        <w:rPr>
          <w:rFonts w:eastAsia="仿宋_GB2312"/>
          <w:color w:val="000000"/>
          <w:sz w:val="32"/>
          <w:szCs w:val="32"/>
        </w:rPr>
      </w:pPr>
      <w:r>
        <w:rPr>
          <w:rFonts w:eastAsia="仿宋_GB2312" w:hint="eastAsia"/>
          <w:color w:val="000000"/>
          <w:sz w:val="32"/>
          <w:szCs w:val="32"/>
        </w:rPr>
        <w:t>综合室、机构编制监督室、机构编制信息室、业务室、事业单位登记办。</w:t>
      </w:r>
    </w:p>
    <w:p w:rsidR="00B022B4" w:rsidRDefault="00B022B4" w:rsidP="00B022B4">
      <w:pPr>
        <w:spacing w:before="216" w:line="226" w:lineRule="auto"/>
        <w:ind w:left="648"/>
        <w:rPr>
          <w:rFonts w:ascii="黑体" w:eastAsia="黑体" w:hAnsi="黑体" w:cs="黑体"/>
          <w:sz w:val="32"/>
          <w:szCs w:val="32"/>
        </w:rPr>
      </w:pPr>
      <w:r>
        <w:rPr>
          <w:rFonts w:ascii="黑体" w:eastAsia="黑体" w:hAnsi="黑体" w:cs="黑体" w:hint="eastAsia"/>
          <w:spacing w:val="-2"/>
          <w:sz w:val="32"/>
          <w:szCs w:val="32"/>
        </w:rPr>
        <w:t>二、一般公共预算支出情况</w:t>
      </w:r>
    </w:p>
    <w:p w:rsidR="00B022B4" w:rsidRDefault="00B022B4" w:rsidP="00B022B4">
      <w:pPr>
        <w:ind w:firstLineChars="200" w:firstLine="640"/>
        <w:rPr>
          <w:rFonts w:ascii="楷体_GB2312" w:eastAsia="楷体_GB2312" w:hAnsi="楷体_GB2312" w:cs="楷体_GB2312"/>
          <w:b/>
          <w:bCs/>
          <w:sz w:val="32"/>
          <w:szCs w:val="32"/>
        </w:rPr>
      </w:pPr>
      <w:r>
        <w:rPr>
          <w:rFonts w:eastAsia="仿宋_GB2312" w:hint="eastAsia"/>
          <w:sz w:val="32"/>
          <w:szCs w:val="32"/>
        </w:rPr>
        <w:t>2023</w:t>
      </w:r>
      <w:r>
        <w:rPr>
          <w:rFonts w:eastAsia="仿宋_GB2312" w:hint="eastAsia"/>
          <w:sz w:val="32"/>
          <w:szCs w:val="32"/>
        </w:rPr>
        <w:t>年一般公共预算支出</w:t>
      </w:r>
      <w:r>
        <w:rPr>
          <w:rFonts w:eastAsia="仿宋_GB2312"/>
          <w:sz w:val="32"/>
          <w:szCs w:val="32"/>
        </w:rPr>
        <w:t>249.62</w:t>
      </w:r>
      <w:r>
        <w:rPr>
          <w:rFonts w:eastAsia="仿宋_GB2312" w:hint="eastAsia"/>
          <w:sz w:val="32"/>
          <w:szCs w:val="32"/>
        </w:rPr>
        <w:t>万元，具体情况如下：</w:t>
      </w:r>
    </w:p>
    <w:p w:rsidR="00B022B4" w:rsidRDefault="00B022B4" w:rsidP="00B022B4">
      <w:pPr>
        <w:ind w:firstLineChars="200" w:firstLine="643"/>
        <w:rPr>
          <w:rFonts w:ascii="楷体_GB2312" w:eastAsia="楷体_GB2312" w:hAnsi="楷体_GB2312" w:cs="楷体_GB2312"/>
          <w:b/>
          <w:bCs/>
          <w:sz w:val="32"/>
          <w:szCs w:val="32"/>
        </w:rPr>
      </w:pPr>
      <w:r>
        <w:rPr>
          <w:rFonts w:ascii="楷体_GB2312" w:eastAsia="楷体_GB2312" w:hAnsi="楷体_GB2312" w:cs="楷体_GB2312" w:hint="eastAsia"/>
          <w:b/>
          <w:bCs/>
          <w:sz w:val="32"/>
          <w:szCs w:val="32"/>
        </w:rPr>
        <w:t>（一）基本支出情况</w:t>
      </w:r>
    </w:p>
    <w:p w:rsidR="00B022B4" w:rsidRDefault="00B022B4" w:rsidP="00B022B4">
      <w:pPr>
        <w:ind w:firstLineChars="200" w:firstLine="640"/>
        <w:rPr>
          <w:rFonts w:ascii="楷体_GB2312" w:eastAsia="楷体_GB2312" w:hAnsi="楷体_GB2312" w:cs="楷体_GB2312"/>
          <w:b/>
          <w:bCs/>
          <w:sz w:val="32"/>
          <w:szCs w:val="32"/>
        </w:rPr>
      </w:pPr>
      <w:r>
        <w:rPr>
          <w:rFonts w:eastAsia="仿宋_GB2312" w:hint="eastAsia"/>
          <w:sz w:val="32"/>
          <w:szCs w:val="32"/>
        </w:rPr>
        <w:t>2023</w:t>
      </w:r>
      <w:r>
        <w:rPr>
          <w:rFonts w:eastAsia="仿宋_GB2312" w:hint="eastAsia"/>
          <w:sz w:val="32"/>
          <w:szCs w:val="32"/>
        </w:rPr>
        <w:t>年基本支出</w:t>
      </w:r>
      <w:r>
        <w:rPr>
          <w:rFonts w:eastAsia="仿宋_GB2312"/>
          <w:sz w:val="32"/>
          <w:szCs w:val="32"/>
        </w:rPr>
        <w:t>249.62</w:t>
      </w:r>
      <w:r>
        <w:rPr>
          <w:rFonts w:eastAsia="仿宋_GB2312" w:hint="eastAsia"/>
          <w:sz w:val="32"/>
          <w:szCs w:val="32"/>
        </w:rPr>
        <w:t>万元，其中：人员支出</w:t>
      </w:r>
      <w:r>
        <w:rPr>
          <w:rFonts w:eastAsia="仿宋_GB2312"/>
          <w:sz w:val="32"/>
          <w:szCs w:val="32"/>
        </w:rPr>
        <w:t>156.06</w:t>
      </w:r>
      <w:r>
        <w:rPr>
          <w:rFonts w:eastAsia="仿宋_GB2312" w:hint="eastAsia"/>
          <w:sz w:val="32"/>
          <w:szCs w:val="32"/>
        </w:rPr>
        <w:t>万元，占基本支出的</w:t>
      </w:r>
      <w:r>
        <w:rPr>
          <w:rFonts w:eastAsia="仿宋_GB2312" w:hint="eastAsia"/>
          <w:sz w:val="32"/>
          <w:szCs w:val="32"/>
        </w:rPr>
        <w:t>62.52%</w:t>
      </w:r>
      <w:r>
        <w:rPr>
          <w:rFonts w:eastAsia="仿宋_GB2312" w:hint="eastAsia"/>
          <w:sz w:val="32"/>
          <w:szCs w:val="32"/>
        </w:rPr>
        <w:t>，公用支出</w:t>
      </w:r>
      <w:r>
        <w:rPr>
          <w:rFonts w:eastAsia="仿宋_GB2312"/>
          <w:sz w:val="32"/>
          <w:szCs w:val="32"/>
        </w:rPr>
        <w:t>93.55</w:t>
      </w:r>
      <w:r>
        <w:rPr>
          <w:rFonts w:eastAsia="仿宋_GB2312" w:hint="eastAsia"/>
          <w:sz w:val="32"/>
          <w:szCs w:val="32"/>
        </w:rPr>
        <w:t>万元，占基本支出的</w:t>
      </w:r>
      <w:r>
        <w:rPr>
          <w:rFonts w:eastAsia="仿宋_GB2312" w:hint="eastAsia"/>
          <w:sz w:val="32"/>
          <w:szCs w:val="32"/>
        </w:rPr>
        <w:t>37.48%</w:t>
      </w:r>
      <w:r>
        <w:rPr>
          <w:rFonts w:eastAsia="仿宋_GB2312" w:hint="eastAsia"/>
          <w:sz w:val="32"/>
          <w:szCs w:val="32"/>
        </w:rPr>
        <w:t>。单位厉行节约，保障了机构人员工资、社保和福利的及时发放，保障了机构的正常运转。</w:t>
      </w:r>
    </w:p>
    <w:p w:rsidR="00B022B4" w:rsidRDefault="00B022B4" w:rsidP="00B022B4">
      <w:pPr>
        <w:ind w:firstLineChars="200" w:firstLine="643"/>
        <w:rPr>
          <w:rFonts w:ascii="楷体_GB2312" w:eastAsia="楷体_GB2312" w:hAnsi="楷体_GB2312" w:cs="楷体_GB2312"/>
          <w:b/>
          <w:bCs/>
          <w:sz w:val="32"/>
          <w:szCs w:val="32"/>
        </w:rPr>
      </w:pPr>
      <w:r>
        <w:rPr>
          <w:rFonts w:ascii="楷体_GB2312" w:eastAsia="楷体_GB2312" w:hAnsi="楷体_GB2312" w:cs="楷体_GB2312" w:hint="eastAsia"/>
          <w:b/>
          <w:bCs/>
          <w:sz w:val="32"/>
          <w:szCs w:val="32"/>
        </w:rPr>
        <w:t>（二）项目支出情况</w:t>
      </w:r>
    </w:p>
    <w:p w:rsidR="00B022B4" w:rsidRDefault="00B022B4" w:rsidP="00B022B4">
      <w:pPr>
        <w:widowControl/>
        <w:spacing w:line="610" w:lineRule="exact"/>
        <w:ind w:firstLineChars="200" w:firstLine="640"/>
      </w:pPr>
      <w:r>
        <w:rPr>
          <w:rFonts w:eastAsia="仿宋_GB2312" w:hint="eastAsia"/>
          <w:color w:val="000000"/>
          <w:sz w:val="32"/>
          <w:szCs w:val="32"/>
        </w:rPr>
        <w:t>2023</w:t>
      </w:r>
      <w:r>
        <w:rPr>
          <w:rFonts w:eastAsia="仿宋_GB2312" w:hint="eastAsia"/>
          <w:color w:val="000000"/>
          <w:sz w:val="32"/>
          <w:szCs w:val="32"/>
        </w:rPr>
        <w:t>年项目支出</w:t>
      </w:r>
      <w:r>
        <w:rPr>
          <w:rFonts w:eastAsia="仿宋_GB2312" w:hint="eastAsia"/>
          <w:color w:val="000000"/>
          <w:sz w:val="32"/>
          <w:szCs w:val="32"/>
        </w:rPr>
        <w:t>0</w:t>
      </w:r>
      <w:r>
        <w:rPr>
          <w:rFonts w:eastAsia="仿宋_GB2312" w:hint="eastAsia"/>
          <w:color w:val="000000"/>
          <w:sz w:val="32"/>
          <w:szCs w:val="32"/>
        </w:rPr>
        <w:t>万元。</w:t>
      </w:r>
    </w:p>
    <w:p w:rsidR="00B022B4" w:rsidRDefault="00B022B4" w:rsidP="00B022B4">
      <w:pPr>
        <w:spacing w:before="224" w:line="227" w:lineRule="auto"/>
        <w:ind w:left="649"/>
        <w:rPr>
          <w:rFonts w:ascii="黑体" w:eastAsia="黑体" w:hAnsi="黑体" w:cs="黑体"/>
          <w:sz w:val="32"/>
          <w:szCs w:val="32"/>
        </w:rPr>
      </w:pPr>
      <w:r>
        <w:rPr>
          <w:rFonts w:ascii="黑体" w:eastAsia="黑体" w:hAnsi="黑体" w:cs="黑体" w:hint="eastAsia"/>
          <w:spacing w:val="8"/>
          <w:sz w:val="32"/>
          <w:szCs w:val="32"/>
        </w:rPr>
        <w:lastRenderedPageBreak/>
        <w:t>三、政府性基金预算支出情况</w:t>
      </w:r>
    </w:p>
    <w:p w:rsidR="00B022B4" w:rsidRDefault="00B022B4" w:rsidP="00B022B4">
      <w:pPr>
        <w:spacing w:before="219" w:line="600" w:lineRule="exact"/>
        <w:ind w:left="662"/>
        <w:rPr>
          <w:rFonts w:ascii="黑体" w:eastAsia="黑体" w:hAnsi="黑体" w:cs="黑体"/>
          <w:spacing w:val="7"/>
          <w:position w:val="21"/>
          <w:sz w:val="32"/>
          <w:szCs w:val="32"/>
        </w:rPr>
      </w:pPr>
      <w:r>
        <w:rPr>
          <w:rFonts w:ascii="黑体" w:eastAsia="黑体" w:hAnsi="黑体" w:cs="黑体" w:hint="eastAsia"/>
          <w:spacing w:val="7"/>
          <w:position w:val="21"/>
          <w:sz w:val="32"/>
          <w:szCs w:val="32"/>
        </w:rPr>
        <w:t>2023年无政府性基金预算支出。</w:t>
      </w:r>
    </w:p>
    <w:p w:rsidR="00B022B4" w:rsidRDefault="00B022B4" w:rsidP="00B022B4">
      <w:pPr>
        <w:spacing w:before="219" w:line="600" w:lineRule="exact"/>
        <w:ind w:left="662"/>
        <w:rPr>
          <w:rFonts w:ascii="黑体" w:eastAsia="黑体" w:hAnsi="黑体" w:cs="黑体"/>
          <w:sz w:val="32"/>
          <w:szCs w:val="32"/>
        </w:rPr>
      </w:pPr>
      <w:r>
        <w:rPr>
          <w:rFonts w:ascii="黑体" w:eastAsia="黑体" w:hAnsi="黑体" w:cs="黑体" w:hint="eastAsia"/>
          <w:spacing w:val="7"/>
          <w:position w:val="21"/>
          <w:sz w:val="32"/>
          <w:szCs w:val="32"/>
        </w:rPr>
        <w:t>四、国有资本经营预算支出情况</w:t>
      </w:r>
    </w:p>
    <w:p w:rsidR="00B022B4" w:rsidRDefault="00B022B4" w:rsidP="00B022B4">
      <w:pPr>
        <w:spacing w:line="227" w:lineRule="auto"/>
        <w:ind w:left="651"/>
        <w:rPr>
          <w:rFonts w:ascii="黑体" w:eastAsia="黑体" w:hAnsi="黑体" w:cs="黑体"/>
          <w:spacing w:val="8"/>
          <w:sz w:val="32"/>
          <w:szCs w:val="32"/>
        </w:rPr>
      </w:pPr>
      <w:r>
        <w:rPr>
          <w:rFonts w:ascii="黑体" w:eastAsia="黑体" w:hAnsi="黑体" w:cs="黑体" w:hint="eastAsia"/>
          <w:spacing w:val="8"/>
          <w:sz w:val="32"/>
          <w:szCs w:val="32"/>
        </w:rPr>
        <w:t>2023年无国有资本经营预算支出。</w:t>
      </w:r>
    </w:p>
    <w:p w:rsidR="00B022B4" w:rsidRDefault="00B022B4" w:rsidP="00B022B4">
      <w:pPr>
        <w:spacing w:line="227" w:lineRule="auto"/>
        <w:ind w:left="651"/>
        <w:rPr>
          <w:rFonts w:ascii="黑体" w:eastAsia="黑体" w:hAnsi="黑体" w:cs="黑体"/>
          <w:sz w:val="32"/>
          <w:szCs w:val="32"/>
        </w:rPr>
      </w:pPr>
      <w:r>
        <w:rPr>
          <w:rFonts w:ascii="黑体" w:eastAsia="黑体" w:hAnsi="黑体" w:cs="黑体" w:hint="eastAsia"/>
          <w:spacing w:val="8"/>
          <w:sz w:val="32"/>
          <w:szCs w:val="32"/>
        </w:rPr>
        <w:t>五、社会保险基金预算支出情况</w:t>
      </w:r>
    </w:p>
    <w:p w:rsidR="00B022B4" w:rsidRDefault="00B022B4" w:rsidP="00B022B4">
      <w:pPr>
        <w:spacing w:before="219" w:line="226" w:lineRule="auto"/>
        <w:ind w:left="653"/>
        <w:rPr>
          <w:rFonts w:ascii="黑体" w:eastAsia="黑体" w:hAnsi="黑体" w:cs="黑体"/>
          <w:spacing w:val="8"/>
          <w:sz w:val="32"/>
          <w:szCs w:val="32"/>
        </w:rPr>
      </w:pPr>
      <w:r>
        <w:rPr>
          <w:rFonts w:ascii="黑体" w:eastAsia="黑体" w:hAnsi="黑体" w:cs="黑体" w:hint="eastAsia"/>
          <w:spacing w:val="8"/>
          <w:sz w:val="32"/>
          <w:szCs w:val="32"/>
        </w:rPr>
        <w:t>2023年无社会保险基金预算支出。</w:t>
      </w:r>
    </w:p>
    <w:p w:rsidR="00B022B4" w:rsidRDefault="00B022B4" w:rsidP="00B022B4">
      <w:pPr>
        <w:spacing w:before="219" w:line="226" w:lineRule="auto"/>
        <w:ind w:left="653"/>
        <w:rPr>
          <w:rFonts w:ascii="黑体" w:eastAsia="黑体" w:hAnsi="黑体" w:cs="黑体"/>
          <w:sz w:val="32"/>
          <w:szCs w:val="32"/>
        </w:rPr>
      </w:pPr>
      <w:r>
        <w:rPr>
          <w:rFonts w:ascii="黑体" w:eastAsia="黑体" w:hAnsi="黑体" w:cs="黑体" w:hint="eastAsia"/>
          <w:spacing w:val="8"/>
          <w:sz w:val="32"/>
          <w:szCs w:val="32"/>
        </w:rPr>
        <w:t>六、部门整体支出绩效情况</w:t>
      </w:r>
    </w:p>
    <w:p w:rsidR="00B022B4" w:rsidRDefault="00B022B4" w:rsidP="00B022B4">
      <w:pPr>
        <w:widowControl/>
        <w:spacing w:line="610" w:lineRule="exact"/>
        <w:ind w:firstLineChars="200" w:firstLine="640"/>
        <w:rPr>
          <w:rFonts w:eastAsia="仿宋_GB2312"/>
          <w:sz w:val="32"/>
          <w:szCs w:val="32"/>
        </w:rPr>
      </w:pPr>
      <w:r>
        <w:rPr>
          <w:rFonts w:eastAsia="仿宋_GB2312" w:hint="eastAsia"/>
          <w:sz w:val="32"/>
          <w:szCs w:val="32"/>
        </w:rPr>
        <w:t>2023</w:t>
      </w:r>
      <w:r>
        <w:rPr>
          <w:rFonts w:eastAsia="仿宋_GB2312" w:hint="eastAsia"/>
          <w:sz w:val="32"/>
          <w:szCs w:val="32"/>
        </w:rPr>
        <w:t>年，根据年初工作规划和重点工作，围绕县委、县政府的工作部署，积极履行职责，强化管理，较好地完成了年度工作目标，同时加强预算收支的管理，建立健全内部管理制度，严格内部管理流程，部门整体支出管理得到了提升。</w:t>
      </w:r>
      <w:r>
        <w:rPr>
          <w:rFonts w:eastAsia="仿宋_GB2312" w:hint="eastAsia"/>
          <w:sz w:val="32"/>
          <w:szCs w:val="32"/>
        </w:rPr>
        <w:t>2023</w:t>
      </w:r>
      <w:r>
        <w:rPr>
          <w:rFonts w:eastAsia="仿宋_GB2312" w:hint="eastAsia"/>
          <w:sz w:val="32"/>
          <w:szCs w:val="32"/>
        </w:rPr>
        <w:t>年度部门整体支出绩效情况如下：</w:t>
      </w:r>
    </w:p>
    <w:p w:rsidR="00B022B4" w:rsidRDefault="00B022B4" w:rsidP="00B022B4">
      <w:pPr>
        <w:widowControl/>
        <w:spacing w:line="610" w:lineRule="exact"/>
        <w:ind w:firstLineChars="200" w:firstLine="640"/>
        <w:rPr>
          <w:rFonts w:eastAsia="仿宋_GB2312"/>
          <w:sz w:val="32"/>
          <w:szCs w:val="32"/>
        </w:rPr>
      </w:pPr>
      <w:r>
        <w:rPr>
          <w:rFonts w:eastAsia="仿宋_GB2312" w:hint="eastAsia"/>
          <w:sz w:val="32"/>
          <w:szCs w:val="32"/>
        </w:rPr>
        <w:t>1.</w:t>
      </w:r>
      <w:r>
        <w:rPr>
          <w:rFonts w:eastAsia="仿宋_GB2312" w:hint="eastAsia"/>
          <w:sz w:val="32"/>
          <w:szCs w:val="32"/>
        </w:rPr>
        <w:t>严格预算支出管理。严控行政经费，压缩一般性支出，严格控制“三公”经费，资产的配置严格政府采购，保障机构运行成本。</w:t>
      </w:r>
    </w:p>
    <w:p w:rsidR="00B022B4" w:rsidRDefault="00B022B4" w:rsidP="00B022B4">
      <w:pPr>
        <w:widowControl/>
        <w:spacing w:line="610" w:lineRule="exact"/>
        <w:ind w:firstLineChars="200" w:firstLine="640"/>
        <w:rPr>
          <w:rFonts w:eastAsia="仿宋_GB2312"/>
          <w:sz w:val="32"/>
          <w:szCs w:val="32"/>
        </w:rPr>
      </w:pPr>
      <w:r>
        <w:rPr>
          <w:rFonts w:eastAsia="仿宋_GB2312" w:hint="eastAsia"/>
          <w:sz w:val="32"/>
          <w:szCs w:val="32"/>
        </w:rPr>
        <w:t>2.</w:t>
      </w:r>
      <w:r>
        <w:rPr>
          <w:rFonts w:eastAsia="仿宋_GB2312" w:hint="eastAsia"/>
          <w:sz w:val="32"/>
          <w:szCs w:val="32"/>
        </w:rPr>
        <w:t>完善财务控制管理。按照国家相关法律法规，制定完善了单位内部控制制度，并严格按照制度管理和执行，防范风险，保证机构运行管理效率。</w:t>
      </w:r>
    </w:p>
    <w:p w:rsidR="00B022B4" w:rsidRDefault="00B022B4" w:rsidP="00B022B4">
      <w:pPr>
        <w:widowControl/>
        <w:spacing w:line="610" w:lineRule="exact"/>
        <w:ind w:firstLineChars="200" w:firstLine="640"/>
        <w:rPr>
          <w:rFonts w:eastAsia="仿宋_GB2312"/>
          <w:sz w:val="32"/>
          <w:szCs w:val="32"/>
        </w:rPr>
      </w:pPr>
      <w:r>
        <w:rPr>
          <w:rFonts w:eastAsia="仿宋_GB2312" w:hint="eastAsia"/>
          <w:sz w:val="32"/>
          <w:szCs w:val="32"/>
        </w:rPr>
        <w:t>通过对</w:t>
      </w:r>
      <w:r>
        <w:rPr>
          <w:rFonts w:eastAsia="仿宋_GB2312" w:hint="eastAsia"/>
          <w:sz w:val="32"/>
          <w:szCs w:val="32"/>
        </w:rPr>
        <w:t>2023</w:t>
      </w:r>
      <w:r>
        <w:rPr>
          <w:rFonts w:eastAsia="仿宋_GB2312" w:hint="eastAsia"/>
          <w:sz w:val="32"/>
          <w:szCs w:val="32"/>
        </w:rPr>
        <w:t>年的运行成本、管理效率、履职效能、社会效应、可持续发展能力和服务对象满意度等方面综合考评，</w:t>
      </w:r>
      <w:r>
        <w:rPr>
          <w:rFonts w:eastAsia="仿宋_GB2312" w:hint="eastAsia"/>
          <w:sz w:val="32"/>
          <w:szCs w:val="32"/>
        </w:rPr>
        <w:t xml:space="preserve"> </w:t>
      </w:r>
      <w:r>
        <w:rPr>
          <w:rFonts w:eastAsia="仿宋_GB2312" w:hint="eastAsia"/>
          <w:sz w:val="32"/>
          <w:szCs w:val="32"/>
        </w:rPr>
        <w:lastRenderedPageBreak/>
        <w:t>2023</w:t>
      </w:r>
      <w:r>
        <w:rPr>
          <w:rFonts w:eastAsia="仿宋_GB2312" w:hint="eastAsia"/>
          <w:sz w:val="32"/>
          <w:szCs w:val="32"/>
        </w:rPr>
        <w:t>年，较好地完成了年度工作目标，部门整体支出绩效评价为优。</w:t>
      </w:r>
    </w:p>
    <w:p w:rsidR="00B022B4" w:rsidRDefault="00B022B4" w:rsidP="00B022B4">
      <w:pPr>
        <w:spacing w:before="220" w:line="600" w:lineRule="exact"/>
        <w:ind w:left="641"/>
        <w:rPr>
          <w:rFonts w:ascii="黑体" w:eastAsia="黑体" w:hAnsi="黑体" w:cs="黑体"/>
          <w:sz w:val="32"/>
          <w:szCs w:val="32"/>
        </w:rPr>
      </w:pPr>
      <w:r>
        <w:rPr>
          <w:rFonts w:ascii="黑体" w:eastAsia="黑体" w:hAnsi="黑体" w:cs="黑体" w:hint="eastAsia"/>
          <w:spacing w:val="9"/>
          <w:position w:val="21"/>
          <w:sz w:val="32"/>
          <w:szCs w:val="32"/>
        </w:rPr>
        <w:t>七、存在的问题及原因分析</w:t>
      </w:r>
    </w:p>
    <w:p w:rsidR="00B022B4" w:rsidRDefault="00B022B4" w:rsidP="00B022B4">
      <w:pPr>
        <w:widowControl/>
        <w:spacing w:line="610" w:lineRule="exact"/>
        <w:ind w:firstLineChars="200" w:firstLine="640"/>
        <w:rPr>
          <w:rFonts w:eastAsia="仿宋_GB2312"/>
          <w:sz w:val="32"/>
          <w:szCs w:val="32"/>
        </w:rPr>
      </w:pPr>
      <w:r>
        <w:rPr>
          <w:rFonts w:eastAsia="仿宋_GB2312" w:hint="eastAsia"/>
          <w:sz w:val="32"/>
          <w:szCs w:val="32"/>
        </w:rPr>
        <w:t>一是进一步加强厉行节约机制，提高单位三保支出的保障能力。</w:t>
      </w:r>
    </w:p>
    <w:p w:rsidR="00B022B4" w:rsidRDefault="00B022B4" w:rsidP="00B022B4">
      <w:pPr>
        <w:widowControl/>
        <w:spacing w:line="610" w:lineRule="exact"/>
        <w:ind w:firstLineChars="200" w:firstLine="640"/>
        <w:rPr>
          <w:rFonts w:eastAsia="仿宋_GB2312"/>
          <w:sz w:val="32"/>
          <w:szCs w:val="32"/>
        </w:rPr>
      </w:pPr>
      <w:r>
        <w:rPr>
          <w:rFonts w:eastAsia="仿宋_GB2312" w:hint="eastAsia"/>
          <w:sz w:val="32"/>
          <w:szCs w:val="32"/>
        </w:rPr>
        <w:t>二是预算编制与实际支出项目有的存在差异，有待进一步优化预算，提高预算编制的准确性。</w:t>
      </w:r>
    </w:p>
    <w:p w:rsidR="00B022B4" w:rsidRDefault="00B022B4" w:rsidP="00B022B4">
      <w:pPr>
        <w:spacing w:line="227" w:lineRule="auto"/>
        <w:ind w:left="643"/>
        <w:rPr>
          <w:rFonts w:ascii="黑体" w:eastAsia="黑体" w:hAnsi="黑体" w:cs="黑体"/>
          <w:sz w:val="32"/>
          <w:szCs w:val="32"/>
        </w:rPr>
      </w:pPr>
      <w:r>
        <w:rPr>
          <w:rFonts w:ascii="黑体" w:eastAsia="黑体" w:hAnsi="黑体" w:cs="黑体" w:hint="eastAsia"/>
          <w:spacing w:val="8"/>
          <w:sz w:val="32"/>
          <w:szCs w:val="32"/>
        </w:rPr>
        <w:t>八、下一步改进措施</w:t>
      </w:r>
    </w:p>
    <w:p w:rsidR="00B022B4" w:rsidRDefault="00B022B4" w:rsidP="00B022B4">
      <w:pPr>
        <w:widowControl/>
        <w:spacing w:line="610" w:lineRule="exact"/>
        <w:ind w:firstLineChars="200" w:firstLine="640"/>
        <w:rPr>
          <w:rFonts w:eastAsia="仿宋_GB2312"/>
          <w:sz w:val="32"/>
          <w:szCs w:val="32"/>
        </w:rPr>
      </w:pPr>
      <w:r>
        <w:rPr>
          <w:rFonts w:eastAsia="仿宋_GB2312" w:hint="eastAsia"/>
          <w:sz w:val="32"/>
          <w:szCs w:val="32"/>
        </w:rPr>
        <w:t>一是按照预算规定的项目和用途严格财务审核，经费支出严格按预算规定项目的财务支出内容进行财务核算，在预算金额内严格控制费用的支出，先有预算，再有支出。</w:t>
      </w:r>
    </w:p>
    <w:p w:rsidR="00B022B4" w:rsidRDefault="00B022B4" w:rsidP="00B022B4">
      <w:pPr>
        <w:widowControl/>
        <w:spacing w:line="610" w:lineRule="exact"/>
        <w:ind w:firstLineChars="200" w:firstLine="640"/>
        <w:rPr>
          <w:rFonts w:eastAsia="仿宋_GB2312"/>
          <w:sz w:val="32"/>
          <w:szCs w:val="32"/>
        </w:rPr>
      </w:pPr>
      <w:r>
        <w:rPr>
          <w:rFonts w:eastAsia="仿宋_GB2312" w:hint="eastAsia"/>
          <w:sz w:val="32"/>
          <w:szCs w:val="32"/>
        </w:rPr>
        <w:t>二是预算财务分析常态化，定期做好预算支出财务分析，做好部门整体支出预算评价工作。</w:t>
      </w:r>
    </w:p>
    <w:p w:rsidR="00B022B4" w:rsidRDefault="00B022B4" w:rsidP="00B022B4">
      <w:pPr>
        <w:spacing w:before="219" w:line="600" w:lineRule="exact"/>
        <w:ind w:left="650"/>
        <w:rPr>
          <w:rFonts w:ascii="黑体" w:eastAsia="黑体" w:hAnsi="黑体" w:cs="黑体"/>
          <w:sz w:val="32"/>
          <w:szCs w:val="32"/>
        </w:rPr>
      </w:pPr>
      <w:r>
        <w:rPr>
          <w:rFonts w:ascii="黑体" w:eastAsia="黑体" w:hAnsi="黑体" w:cs="黑体" w:hint="eastAsia"/>
          <w:spacing w:val="9"/>
          <w:position w:val="21"/>
          <w:sz w:val="32"/>
          <w:szCs w:val="32"/>
        </w:rPr>
        <w:t>九、部门整体支出绩效自评结果拟应用和公开</w:t>
      </w:r>
      <w:r>
        <w:rPr>
          <w:rFonts w:ascii="黑体" w:eastAsia="黑体" w:hAnsi="黑体" w:cs="黑体" w:hint="eastAsia"/>
          <w:spacing w:val="8"/>
          <w:position w:val="21"/>
          <w:sz w:val="32"/>
          <w:szCs w:val="32"/>
        </w:rPr>
        <w:t>情况</w:t>
      </w:r>
    </w:p>
    <w:p w:rsidR="00B022B4" w:rsidRDefault="00B022B4" w:rsidP="00B022B4">
      <w:pPr>
        <w:widowControl/>
        <w:spacing w:line="610" w:lineRule="exact"/>
        <w:ind w:firstLineChars="200" w:firstLine="640"/>
        <w:rPr>
          <w:rFonts w:eastAsia="仿宋_GB2312"/>
          <w:sz w:val="32"/>
          <w:szCs w:val="32"/>
        </w:rPr>
      </w:pPr>
      <w:r>
        <w:rPr>
          <w:rFonts w:eastAsia="仿宋_GB2312" w:hint="eastAsia"/>
          <w:sz w:val="32"/>
          <w:szCs w:val="32"/>
        </w:rPr>
        <w:t>2023</w:t>
      </w:r>
      <w:r>
        <w:rPr>
          <w:rFonts w:eastAsia="仿宋_GB2312" w:hint="eastAsia"/>
          <w:sz w:val="32"/>
          <w:szCs w:val="32"/>
        </w:rPr>
        <w:t>年整体支出绩效自评随</w:t>
      </w:r>
      <w:r>
        <w:rPr>
          <w:rFonts w:eastAsia="仿宋_GB2312" w:hint="eastAsia"/>
          <w:sz w:val="32"/>
          <w:szCs w:val="32"/>
        </w:rPr>
        <w:t>2023</w:t>
      </w:r>
      <w:r>
        <w:rPr>
          <w:rFonts w:eastAsia="仿宋_GB2312" w:hint="eastAsia"/>
          <w:sz w:val="32"/>
          <w:szCs w:val="32"/>
        </w:rPr>
        <w:t>年部门决算一起在政府门户网站公开。</w:t>
      </w:r>
    </w:p>
    <w:p w:rsidR="00B022B4" w:rsidRDefault="00B022B4" w:rsidP="00B022B4">
      <w:pPr>
        <w:spacing w:line="226" w:lineRule="auto"/>
        <w:ind w:left="647"/>
        <w:rPr>
          <w:rFonts w:ascii="黑体" w:eastAsia="黑体" w:hAnsi="黑体" w:cs="黑体"/>
          <w:spacing w:val="-3"/>
          <w:sz w:val="32"/>
          <w:szCs w:val="32"/>
        </w:rPr>
      </w:pPr>
      <w:r>
        <w:rPr>
          <w:rFonts w:ascii="黑体" w:eastAsia="黑体" w:hAnsi="黑体" w:cs="黑体" w:hint="eastAsia"/>
          <w:spacing w:val="-3"/>
          <w:sz w:val="32"/>
          <w:szCs w:val="32"/>
        </w:rPr>
        <w:t>十、其他需要说明的情况</w:t>
      </w:r>
    </w:p>
    <w:p w:rsidR="00890D6F" w:rsidRDefault="00B022B4" w:rsidP="00B022B4">
      <w:pPr>
        <w:widowControl/>
        <w:spacing w:line="610" w:lineRule="exact"/>
        <w:ind w:firstLineChars="200" w:firstLine="640"/>
      </w:pPr>
      <w:r>
        <w:rPr>
          <w:rFonts w:eastAsia="仿宋_GB2312" w:hint="eastAsia"/>
          <w:sz w:val="32"/>
          <w:szCs w:val="32"/>
        </w:rPr>
        <w:t>无</w:t>
      </w:r>
    </w:p>
    <w:sectPr w:rsidR="00890D6F">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90D6F" w:rsidRDefault="00890D6F" w:rsidP="00B022B4">
      <w:r>
        <w:separator/>
      </w:r>
    </w:p>
  </w:endnote>
  <w:endnote w:type="continuationSeparator" w:id="1">
    <w:p w:rsidR="00890D6F" w:rsidRDefault="00890D6F" w:rsidP="00B022B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Arial">
    <w:panose1 w:val="020B0604020202020204"/>
    <w:charset w:val="00"/>
    <w:family w:val="swiss"/>
    <w:pitch w:val="variable"/>
    <w:sig w:usb0="E0002AFF" w:usb1="C0007843" w:usb2="00000009" w:usb3="00000000" w:csb0="000001FF" w:csb1="00000000"/>
  </w:font>
  <w:font w:name="方正小标宋简体">
    <w:altName w:val="Arial Unicode MS"/>
    <w:charset w:val="86"/>
    <w:family w:val="auto"/>
    <w:pitch w:val="default"/>
    <w:sig w:usb0="00000000" w:usb1="080E0000" w:usb2="00000000" w:usb3="00000000" w:csb0="00040000" w:csb1="00000000"/>
  </w:font>
  <w:font w:name="华文仿宋">
    <w:altName w:val="仿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auto"/>
    <w:pitch w:val="default"/>
    <w:sig w:usb0="00000000" w:usb1="0000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22B4" w:rsidRDefault="00B022B4">
    <w:pPr>
      <w:pStyle w:val="a6"/>
      <w:spacing w:before="1" w:line="174" w:lineRule="auto"/>
      <w:jc w:val="center"/>
      <w:rPr>
        <w:sz w:val="28"/>
        <w:szCs w:val="28"/>
      </w:rPr>
    </w:pPr>
    <w:r w:rsidRPr="00BB2462">
      <w:rPr>
        <w:sz w:val="28"/>
      </w:rPr>
      <w:pict>
        <v:shapetype id="_x0000_t202" coordsize="21600,21600" o:spt="202" path="m,l,21600r21600,l21600,xe">
          <v:stroke joinstyle="miter"/>
          <v:path gradientshapeok="t" o:connecttype="rect"/>
        </v:shapetype>
        <v:shape id="_x0000_s1025" type="#_x0000_t202" style="position:absolute;left:0;text-align:left;margin-left:104pt;margin-top:0;width:2in;height:2in;z-index:251660288;mso-wrap-style:none;mso-position-horizontal:outside;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rBCXA3AgAAcQ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BawQlwNwIAAHEEAAAOAAAAAAAAAAEAIAAAAB8BAABkcnMvZTJvRG9jLnht&#10;bFBLBQYAAAAABgAGAFkBAADIBQAAAAA=&#10;" filled="f" stroked="f" strokeweight=".5pt">
          <v:textbox style="mso-fit-shape-to-text:t" inset="0,0,0,0">
            <w:txbxContent>
              <w:p w:rsidR="00B022B4" w:rsidRDefault="00B022B4">
                <w:pPr>
                  <w:pStyle w:val="a5"/>
                  <w:ind w:leftChars="250" w:left="525" w:rightChars="250" w:right="525"/>
                  <w:rPr>
                    <w:rFonts w:eastAsia="华文仿宋"/>
                    <w:sz w:val="32"/>
                    <w:szCs w:val="32"/>
                  </w:rPr>
                </w:pPr>
                <w:r>
                  <w:rPr>
                    <w:rFonts w:eastAsia="华文仿宋"/>
                    <w:sz w:val="32"/>
                    <w:szCs w:val="32"/>
                  </w:rPr>
                  <w:fldChar w:fldCharType="begin"/>
                </w:r>
                <w:r>
                  <w:rPr>
                    <w:rFonts w:ascii="Times New Roman" w:eastAsia="华文仿宋" w:hAnsi="Times New Roman" w:cs="Times New Roman"/>
                    <w:sz w:val="32"/>
                    <w:szCs w:val="32"/>
                  </w:rPr>
                  <w:instrText xml:space="preserve"> PAGE  \* MERGEFORMAT </w:instrText>
                </w:r>
                <w:r>
                  <w:rPr>
                    <w:rFonts w:eastAsia="华文仿宋"/>
                    <w:sz w:val="32"/>
                    <w:szCs w:val="32"/>
                  </w:rPr>
                  <w:fldChar w:fldCharType="separate"/>
                </w:r>
                <w:r w:rsidRPr="00B022B4">
                  <w:rPr>
                    <w:rFonts w:eastAsia="华文仿宋"/>
                    <w:noProof/>
                    <w:sz w:val="32"/>
                    <w:szCs w:val="32"/>
                  </w:rPr>
                  <w:t>- 7 -</w:t>
                </w:r>
                <w:r>
                  <w:rPr>
                    <w:rFonts w:eastAsia="华文仿宋"/>
                    <w:sz w:val="32"/>
                    <w:szCs w:val="32"/>
                  </w:rPr>
                  <w:fldChar w:fldCharType="end"/>
                </w:r>
              </w:p>
            </w:txbxContent>
          </v:textbox>
          <w10:wrap anchorx="margin"/>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22B4" w:rsidRDefault="00B022B4">
    <w:pPr>
      <w:pStyle w:val="a6"/>
      <w:spacing w:before="1" w:line="174" w:lineRule="auto"/>
      <w:ind w:left="8576"/>
      <w:rPr>
        <w:sz w:val="28"/>
        <w:szCs w:val="28"/>
      </w:rPr>
    </w:pPr>
    <w:r w:rsidRPr="00BB2462">
      <w:rPr>
        <w:sz w:val="28"/>
      </w:rPr>
      <w:pict>
        <v:shapetype id="_x0000_t202" coordsize="21600,21600" o:spt="202" path="m,l,21600r21600,l21600,xe">
          <v:stroke joinstyle="miter"/>
          <v:path gradientshapeok="t" o:connecttype="rect"/>
        </v:shapetype>
        <v:shape id="_x0000_s1026" type="#_x0000_t202" style="position:absolute;left:0;text-align:left;margin-left:104pt;margin-top:0;width:2in;height:2in;z-index:251658240;mso-wrap-style:none;mso-position-horizontal:outside;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B7c0M1NwIAAHEEAAAOAAAAAAAAAAEAIAAAAB8BAABkcnMvZTJvRG9jLnht&#10;bFBLBQYAAAAABgAGAFkBAADIBQAAAAA=&#10;" filled="f" stroked="f" strokeweight=".5pt">
          <v:textbox style="mso-fit-shape-to-text:t" inset="0,0,0,0">
            <w:txbxContent>
              <w:p w:rsidR="00B022B4" w:rsidRDefault="00B022B4">
                <w:pPr>
                  <w:pStyle w:val="a5"/>
                  <w:rPr>
                    <w:rFonts w:ascii="华文仿宋" w:eastAsia="华文仿宋" w:hAnsi="华文仿宋" w:cs="华文仿宋"/>
                    <w:sz w:val="28"/>
                    <w:szCs w:val="28"/>
                  </w:rPr>
                </w:pPr>
                <w:r>
                  <w:rPr>
                    <w:rFonts w:ascii="华文仿宋" w:eastAsia="华文仿宋" w:hAnsi="华文仿宋" w:cs="华文仿宋" w:hint="eastAsia"/>
                    <w:sz w:val="28"/>
                    <w:szCs w:val="28"/>
                  </w:rPr>
                  <w:fldChar w:fldCharType="begin"/>
                </w:r>
                <w:r>
                  <w:rPr>
                    <w:rFonts w:ascii="华文仿宋" w:eastAsia="华文仿宋" w:hAnsi="华文仿宋" w:cs="华文仿宋" w:hint="eastAsia"/>
                    <w:sz w:val="28"/>
                    <w:szCs w:val="28"/>
                  </w:rPr>
                  <w:instrText xml:space="preserve"> PAGE  \* MERGEFORMAT </w:instrText>
                </w:r>
                <w:r>
                  <w:rPr>
                    <w:rFonts w:ascii="华文仿宋" w:eastAsia="华文仿宋" w:hAnsi="华文仿宋" w:cs="华文仿宋" w:hint="eastAsia"/>
                    <w:sz w:val="28"/>
                    <w:szCs w:val="28"/>
                  </w:rPr>
                  <w:fldChar w:fldCharType="separate"/>
                </w:r>
                <w:r>
                  <w:rPr>
                    <w:rFonts w:ascii="华文仿宋" w:eastAsia="华文仿宋" w:hAnsi="华文仿宋" w:cs="华文仿宋"/>
                    <w:noProof/>
                    <w:sz w:val="28"/>
                    <w:szCs w:val="28"/>
                  </w:rPr>
                  <w:t>12</w:t>
                </w:r>
                <w:r>
                  <w:rPr>
                    <w:rFonts w:ascii="华文仿宋" w:eastAsia="华文仿宋" w:hAnsi="华文仿宋" w:cs="华文仿宋" w:hint="eastAsia"/>
                    <w:sz w:val="28"/>
                    <w:szCs w:val="28"/>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90D6F" w:rsidRDefault="00890D6F" w:rsidP="00B022B4">
      <w:r>
        <w:separator/>
      </w:r>
    </w:p>
  </w:footnote>
  <w:footnote w:type="continuationSeparator" w:id="1">
    <w:p w:rsidR="00890D6F" w:rsidRDefault="00890D6F" w:rsidP="00B022B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022B4"/>
    <w:rsid w:val="00890D6F"/>
    <w:rsid w:val="00B022B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footer" w:qFormat="1"/>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B022B4"/>
    <w:pPr>
      <w:widowControl w:val="0"/>
      <w:jc w:val="both"/>
    </w:pPr>
    <w:rPr>
      <w:rFonts w:ascii="Times New Roman" w:eastAsia="宋体" w:hAnsi="Times New Roman" w:cs="Times New Roman"/>
      <w:szCs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semiHidden/>
    <w:unhideWhenUsed/>
    <w:rsid w:val="00B022B4"/>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1"/>
    <w:link w:val="a4"/>
    <w:uiPriority w:val="99"/>
    <w:semiHidden/>
    <w:rsid w:val="00B022B4"/>
    <w:rPr>
      <w:sz w:val="18"/>
      <w:szCs w:val="18"/>
    </w:rPr>
  </w:style>
  <w:style w:type="paragraph" w:styleId="a5">
    <w:name w:val="footer"/>
    <w:basedOn w:val="a"/>
    <w:link w:val="Char0"/>
    <w:uiPriority w:val="99"/>
    <w:unhideWhenUsed/>
    <w:qFormat/>
    <w:rsid w:val="00B022B4"/>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1"/>
    <w:link w:val="a5"/>
    <w:uiPriority w:val="99"/>
    <w:semiHidden/>
    <w:qFormat/>
    <w:rsid w:val="00B022B4"/>
    <w:rPr>
      <w:sz w:val="18"/>
      <w:szCs w:val="18"/>
    </w:rPr>
  </w:style>
  <w:style w:type="paragraph" w:styleId="a0">
    <w:name w:val="footnote text"/>
    <w:basedOn w:val="a"/>
    <w:next w:val="a"/>
    <w:link w:val="Char1"/>
    <w:qFormat/>
    <w:rsid w:val="00B022B4"/>
    <w:pPr>
      <w:snapToGrid w:val="0"/>
      <w:jc w:val="left"/>
    </w:pPr>
    <w:rPr>
      <w:sz w:val="18"/>
      <w:szCs w:val="18"/>
    </w:rPr>
  </w:style>
  <w:style w:type="character" w:customStyle="1" w:styleId="Char1">
    <w:name w:val="脚注文本 Char"/>
    <w:basedOn w:val="a1"/>
    <w:link w:val="a0"/>
    <w:qFormat/>
    <w:rsid w:val="00B022B4"/>
    <w:rPr>
      <w:rFonts w:ascii="Times New Roman" w:eastAsia="宋体" w:hAnsi="Times New Roman" w:cs="Times New Roman"/>
      <w:sz w:val="18"/>
      <w:szCs w:val="18"/>
    </w:rPr>
  </w:style>
  <w:style w:type="paragraph" w:styleId="a6">
    <w:name w:val="Body Text"/>
    <w:basedOn w:val="a"/>
    <w:link w:val="Char2"/>
    <w:semiHidden/>
    <w:qFormat/>
    <w:rsid w:val="00B022B4"/>
    <w:rPr>
      <w:rFonts w:ascii="仿宋" w:eastAsia="仿宋" w:hAnsi="仿宋" w:cs="仿宋"/>
      <w:sz w:val="31"/>
      <w:szCs w:val="31"/>
      <w:lang w:eastAsia="en-US"/>
    </w:rPr>
  </w:style>
  <w:style w:type="character" w:customStyle="1" w:styleId="Char2">
    <w:name w:val="正文文本 Char"/>
    <w:basedOn w:val="a1"/>
    <w:link w:val="a6"/>
    <w:semiHidden/>
    <w:qFormat/>
    <w:rsid w:val="00B022B4"/>
    <w:rPr>
      <w:rFonts w:ascii="仿宋" w:eastAsia="仿宋" w:hAnsi="仿宋" w:cs="仿宋"/>
      <w:sz w:val="31"/>
      <w:szCs w:val="31"/>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329</Words>
  <Characters>1876</Characters>
  <Application>Microsoft Office Word</Application>
  <DocSecurity>0</DocSecurity>
  <Lines>15</Lines>
  <Paragraphs>4</Paragraphs>
  <ScaleCrop>false</ScaleCrop>
  <Company/>
  <LinksUpToDate>false</LinksUpToDate>
  <CharactersWithSpaces>2201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dc:creator>
  <cp:keywords/>
  <dc:description/>
  <cp:lastModifiedBy>z</cp:lastModifiedBy>
  <cp:revision>2</cp:revision>
  <dcterms:created xsi:type="dcterms:W3CDTF">2024-06-03T00:19:00Z</dcterms:created>
  <dcterms:modified xsi:type="dcterms:W3CDTF">2024-06-03T00:20:00Z</dcterms:modified>
</cp:coreProperties>
</file>