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8BEB3">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p w14:paraId="047349EA">
      <w:pPr>
        <w:jc w:val="center"/>
        <w:rPr>
          <w:rFonts w:hint="default" w:ascii="Times New Roman" w:hAnsi="Times New Roman" w:eastAsia="方正小标宋_GBK" w:cs="Times New Roman"/>
          <w:sz w:val="52"/>
          <w:szCs w:val="52"/>
        </w:rPr>
      </w:pPr>
    </w:p>
    <w:p w14:paraId="1BE5EEBF">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华容县总工会</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14:paraId="7C9439E7">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14:paraId="22E8911C">
      <w:pPr>
        <w:jc w:val="center"/>
        <w:rPr>
          <w:rFonts w:hint="default" w:ascii="Times New Roman" w:hAnsi="Times New Roman" w:eastAsia="方正小标宋_GBK" w:cs="Times New Roman"/>
          <w:b/>
          <w:sz w:val="52"/>
          <w:szCs w:val="52"/>
        </w:rPr>
      </w:pPr>
    </w:p>
    <w:p w14:paraId="00951FB6">
      <w:pPr>
        <w:jc w:val="center"/>
        <w:rPr>
          <w:rFonts w:hint="default" w:ascii="Times New Roman" w:hAnsi="Times New Roman" w:eastAsia="楷体_GB2312" w:cs="Times New Roman"/>
          <w:b/>
          <w:sz w:val="32"/>
          <w:szCs w:val="32"/>
        </w:rPr>
      </w:pPr>
    </w:p>
    <w:p w14:paraId="2912019B">
      <w:pPr>
        <w:jc w:val="center"/>
        <w:rPr>
          <w:rFonts w:hint="default" w:ascii="Times New Roman" w:hAnsi="Times New Roman" w:eastAsia="楷体_GB2312" w:cs="Times New Roman"/>
          <w:b/>
          <w:sz w:val="32"/>
          <w:szCs w:val="32"/>
        </w:rPr>
      </w:pPr>
    </w:p>
    <w:p w14:paraId="1A2BB851">
      <w:pPr>
        <w:jc w:val="center"/>
        <w:rPr>
          <w:rFonts w:hint="default" w:ascii="Times New Roman" w:hAnsi="Times New Roman" w:eastAsia="楷体_GB2312" w:cs="Times New Roman"/>
          <w:b/>
          <w:sz w:val="32"/>
          <w:szCs w:val="32"/>
        </w:rPr>
      </w:pPr>
    </w:p>
    <w:p w14:paraId="61A234DB">
      <w:pPr>
        <w:jc w:val="center"/>
        <w:rPr>
          <w:rFonts w:hint="default" w:ascii="Times New Roman" w:hAnsi="Times New Roman" w:eastAsia="楷体_GB2312" w:cs="Times New Roman"/>
          <w:b/>
          <w:sz w:val="32"/>
          <w:szCs w:val="32"/>
        </w:rPr>
      </w:pPr>
    </w:p>
    <w:p w14:paraId="01DCD871">
      <w:pPr>
        <w:jc w:val="center"/>
        <w:rPr>
          <w:rFonts w:hint="default" w:ascii="Times New Roman" w:hAnsi="Times New Roman" w:eastAsia="楷体_GB2312" w:cs="Times New Roman"/>
          <w:b/>
          <w:sz w:val="32"/>
          <w:szCs w:val="32"/>
        </w:rPr>
      </w:pPr>
    </w:p>
    <w:p w14:paraId="78FA47DA">
      <w:pPr>
        <w:jc w:val="center"/>
        <w:rPr>
          <w:rFonts w:hint="default" w:ascii="Times New Roman" w:hAnsi="Times New Roman" w:eastAsia="楷体_GB2312" w:cs="Times New Roman"/>
          <w:b/>
          <w:sz w:val="32"/>
          <w:szCs w:val="32"/>
        </w:rPr>
      </w:pPr>
    </w:p>
    <w:p w14:paraId="47F442E8">
      <w:pPr>
        <w:jc w:val="center"/>
        <w:rPr>
          <w:rFonts w:hint="default" w:ascii="Times New Roman" w:hAnsi="Times New Roman" w:eastAsia="黑体" w:cs="Times New Roman"/>
          <w:sz w:val="32"/>
          <w:szCs w:val="32"/>
        </w:rPr>
      </w:pPr>
    </w:p>
    <w:p w14:paraId="110E5B80">
      <w:pPr>
        <w:jc w:val="center"/>
        <w:rPr>
          <w:rFonts w:hint="default" w:ascii="Times New Roman" w:hAnsi="Times New Roman" w:eastAsia="黑体" w:cs="Times New Roman"/>
          <w:sz w:val="32"/>
          <w:szCs w:val="32"/>
        </w:rPr>
      </w:pPr>
    </w:p>
    <w:p w14:paraId="0E0FA84E">
      <w:pPr>
        <w:jc w:val="both"/>
        <w:rPr>
          <w:rFonts w:hint="default" w:ascii="Times New Roman" w:hAnsi="Times New Roman" w:eastAsia="黑体" w:cs="Times New Roman"/>
          <w:sz w:val="32"/>
          <w:szCs w:val="32"/>
        </w:rPr>
      </w:pPr>
    </w:p>
    <w:p w14:paraId="7DDBEEEC">
      <w:pPr>
        <w:jc w:val="both"/>
        <w:rPr>
          <w:rFonts w:hint="default" w:ascii="Times New Roman" w:hAnsi="Times New Roman" w:eastAsia="黑体" w:cs="Times New Roman"/>
          <w:sz w:val="32"/>
          <w:szCs w:val="32"/>
        </w:rPr>
      </w:pPr>
    </w:p>
    <w:p w14:paraId="1B19BF42">
      <w:pPr>
        <w:spacing w:line="600" w:lineRule="exact"/>
        <w:jc w:val="center"/>
        <w:rPr>
          <w:rFonts w:hint="default" w:ascii="Times New Roman" w:hAnsi="Times New Roman" w:eastAsia="仿宋_GB2312" w:cs="Times New Roman"/>
          <w:sz w:val="32"/>
          <w:szCs w:val="32"/>
          <w:u w:val="single"/>
          <w:lang w:val="en-US" w:eastAsia="zh-CN"/>
        </w:rPr>
      </w:pPr>
      <w:r>
        <w:rPr>
          <w:rFonts w:hint="eastAsia" w:eastAsia="仿宋_GB2312" w:cs="Times New Roman"/>
          <w:sz w:val="32"/>
          <w:szCs w:val="32"/>
          <w:u w:val="single"/>
          <w:lang w:val="en-US" w:eastAsia="zh-CN"/>
        </w:rPr>
        <w:t>华容县总工会</w:t>
      </w:r>
    </w:p>
    <w:p w14:paraId="4B2CA606">
      <w:pPr>
        <w:spacing w:line="600" w:lineRule="exact"/>
        <w:jc w:val="center"/>
        <w:rPr>
          <w:rFonts w:hint="default" w:ascii="Times New Roman" w:hAnsi="Times New Roman" w:eastAsia="楷体_GB2312" w:cs="Times New Roman"/>
          <w:sz w:val="32"/>
          <w:szCs w:val="32"/>
        </w:rPr>
      </w:pPr>
      <w:r>
        <w:rPr>
          <w:rFonts w:hint="eastAsia" w:eastAsia="楷体_GB2312" w:cs="Times New Roman"/>
          <w:sz w:val="32"/>
          <w:szCs w:val="32"/>
          <w:lang w:val="en-US" w:eastAsia="zh-CN"/>
        </w:rPr>
        <w:t>2024</w:t>
      </w:r>
      <w:r>
        <w:rPr>
          <w:rFonts w:hint="default" w:ascii="Times New Roman" w:hAnsi="Times New Roman" w:eastAsia="楷体_GB2312" w:cs="Times New Roman"/>
          <w:sz w:val="32"/>
          <w:szCs w:val="32"/>
        </w:rPr>
        <w:t>年</w:t>
      </w:r>
      <w:r>
        <w:rPr>
          <w:rFonts w:hint="eastAsia" w:eastAsia="楷体_GB2312" w:cs="Times New Roman"/>
          <w:sz w:val="32"/>
          <w:szCs w:val="32"/>
          <w:lang w:val="en-US" w:eastAsia="zh-CN"/>
        </w:rPr>
        <w:t>06</w:t>
      </w:r>
      <w:r>
        <w:rPr>
          <w:rFonts w:hint="default" w:ascii="Times New Roman" w:hAnsi="Times New Roman" w:eastAsia="楷体_GB2312" w:cs="Times New Roman"/>
          <w:sz w:val="32"/>
          <w:szCs w:val="32"/>
        </w:rPr>
        <w:t>月</w:t>
      </w:r>
      <w:r>
        <w:rPr>
          <w:rFonts w:hint="eastAsia" w:eastAsia="楷体_GB2312" w:cs="Times New Roman"/>
          <w:sz w:val="32"/>
          <w:szCs w:val="32"/>
          <w:lang w:val="en-US" w:eastAsia="zh-CN"/>
        </w:rPr>
        <w:t>5</w:t>
      </w:r>
      <w:r>
        <w:rPr>
          <w:rFonts w:hint="default" w:ascii="Times New Roman" w:hAnsi="Times New Roman" w:eastAsia="楷体_GB2312" w:cs="Times New Roman"/>
          <w:sz w:val="32"/>
          <w:szCs w:val="32"/>
        </w:rPr>
        <w:t>日</w:t>
      </w:r>
    </w:p>
    <w:p w14:paraId="75C61A70">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14:paraId="0FCB879A">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107BE712">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p>
    <w:p w14:paraId="6548032D">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p>
    <w:p w14:paraId="5347574C">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华容县总工会</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14:paraId="6126FE37">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绩效自评报告</w:t>
      </w:r>
    </w:p>
    <w:p w14:paraId="453F5CB4">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14:paraId="04C6F9AF">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一、基本情况</w:t>
      </w:r>
    </w:p>
    <w:p w14:paraId="799A4D2F">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rPr>
        <w:t>(一)</w:t>
      </w:r>
      <w:r>
        <w:rPr>
          <w:rFonts w:hint="eastAsia" w:ascii="仿宋" w:hAnsi="仿宋" w:eastAsia="仿宋" w:cs="仿宋"/>
          <w:sz w:val="36"/>
          <w:szCs w:val="36"/>
          <w:lang w:val="en-US" w:eastAsia="zh-CN"/>
        </w:rPr>
        <w:t>2023年华容县总工会项目支出合计79.7万元，其中争项争资1.4万元，上缴市总工会经费75.3万元，暖心驿站建设资金3万元。</w:t>
      </w:r>
    </w:p>
    <w:p w14:paraId="3F735ECB">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rPr>
        <w:t>(二)项目绩效目标。</w:t>
      </w:r>
      <w:r>
        <w:rPr>
          <w:rFonts w:hint="eastAsia" w:ascii="仿宋" w:hAnsi="仿宋" w:eastAsia="仿宋" w:cs="仿宋"/>
          <w:sz w:val="36"/>
          <w:szCs w:val="36"/>
          <w:lang w:val="en-US" w:eastAsia="zh-CN"/>
        </w:rPr>
        <w:t>1.圆满完成上级机构下达的争项争资总额要求甚至超额完成任务；2.全额上缴市总工会工会经费75.3万元；3.截至2023年低华容县城区共建立暖心驿站近30所，为户外工作者提供了休养休息的场所。</w:t>
      </w:r>
    </w:p>
    <w:p w14:paraId="379B6DA4">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二、绩效评价工作开展情况</w:t>
      </w:r>
    </w:p>
    <w:p w14:paraId="452A6207">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(一)绩效评价目的、对象和范围。</w:t>
      </w:r>
    </w:p>
    <w:p w14:paraId="5A1D7C56">
      <w:pPr>
        <w:pStyle w:val="2"/>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i w:val="0"/>
          <w:iCs w:val="0"/>
          <w:caps w:val="0"/>
          <w:color w:val="333333"/>
          <w:spacing w:val="0"/>
          <w:sz w:val="36"/>
          <w:szCs w:val="36"/>
          <w:shd w:val="clear" w:fill="FFFFFF"/>
        </w:rPr>
        <w:t>绩效评价</w:t>
      </w:r>
      <w:r>
        <w:rPr>
          <w:rFonts w:hint="eastAsia" w:ascii="仿宋" w:hAnsi="仿宋" w:eastAsia="仿宋" w:cs="仿宋"/>
          <w:i w:val="0"/>
          <w:iCs w:val="0"/>
          <w:caps w:val="0"/>
          <w:color w:val="333333"/>
          <w:spacing w:val="0"/>
          <w:sz w:val="36"/>
          <w:szCs w:val="36"/>
          <w:shd w:val="clear" w:fill="FFFFFF"/>
          <w:lang w:eastAsia="zh-CN"/>
        </w:rPr>
        <w:t>的</w:t>
      </w:r>
      <w:r>
        <w:rPr>
          <w:rFonts w:hint="eastAsia" w:ascii="仿宋" w:hAnsi="仿宋" w:eastAsia="仿宋" w:cs="仿宋"/>
          <w:i w:val="0"/>
          <w:iCs w:val="0"/>
          <w:caps w:val="0"/>
          <w:color w:val="333333"/>
          <w:spacing w:val="0"/>
          <w:sz w:val="36"/>
          <w:szCs w:val="36"/>
          <w:shd w:val="clear" w:fill="FFFFFF"/>
          <w:lang w:val="en-US" w:eastAsia="zh-CN"/>
        </w:rPr>
        <w:t>目的</w:t>
      </w:r>
      <w:r>
        <w:rPr>
          <w:rFonts w:hint="eastAsia" w:ascii="仿宋" w:hAnsi="仿宋" w:eastAsia="仿宋" w:cs="仿宋"/>
          <w:i w:val="0"/>
          <w:iCs w:val="0"/>
          <w:caps w:val="0"/>
          <w:color w:val="333333"/>
          <w:spacing w:val="0"/>
          <w:sz w:val="36"/>
          <w:szCs w:val="36"/>
          <w:shd w:val="clear" w:fill="FFFFFF"/>
        </w:rPr>
        <w:t>是指运用一定的评价方法、量化指标及评价标准，</w:t>
      </w:r>
      <w:r>
        <w:rPr>
          <w:rFonts w:hint="eastAsia" w:ascii="仿宋" w:hAnsi="仿宋" w:eastAsia="仿宋" w:cs="仿宋"/>
          <w:i w:val="0"/>
          <w:iCs w:val="0"/>
          <w:caps w:val="0"/>
          <w:color w:val="333333"/>
          <w:spacing w:val="0"/>
          <w:sz w:val="36"/>
          <w:szCs w:val="36"/>
          <w:bdr w:val="none" w:color="auto" w:sz="0" w:space="0"/>
          <w:shd w:val="clear" w:fill="FFFFFF"/>
        </w:rPr>
        <w:t>对实现其职</w:t>
      </w:r>
      <w:r>
        <w:rPr>
          <w:rFonts w:hint="eastAsia" w:ascii="仿宋" w:hAnsi="仿宋" w:eastAsia="仿宋" w:cs="仿宋"/>
          <w:i w:val="0"/>
          <w:iCs w:val="0"/>
          <w:caps w:val="0"/>
          <w:color w:val="333333"/>
          <w:spacing w:val="0"/>
          <w:sz w:val="36"/>
          <w:szCs w:val="36"/>
          <w:shd w:val="clear" w:fill="FFFFFF"/>
        </w:rPr>
        <w:t>能所确定的绩效目标的</w:t>
      </w:r>
      <w:r>
        <w:rPr>
          <w:rFonts w:hint="eastAsia" w:ascii="仿宋" w:hAnsi="仿宋" w:eastAsia="仿宋" w:cs="仿宋"/>
          <w:i w:val="0"/>
          <w:iCs w:val="0"/>
          <w:caps w:val="0"/>
          <w:color w:val="333333"/>
          <w:spacing w:val="0"/>
          <w:sz w:val="36"/>
          <w:szCs w:val="36"/>
          <w:bdr w:val="none" w:color="auto" w:sz="0" w:space="0"/>
          <w:shd w:val="clear" w:fill="FFFFFF"/>
        </w:rPr>
        <w:t>实现程度</w:t>
      </w:r>
      <w:r>
        <w:rPr>
          <w:rFonts w:hint="eastAsia" w:ascii="仿宋" w:hAnsi="仿宋" w:eastAsia="仿宋" w:cs="仿宋"/>
          <w:i w:val="0"/>
          <w:iCs w:val="0"/>
          <w:caps w:val="0"/>
          <w:color w:val="333333"/>
          <w:spacing w:val="0"/>
          <w:sz w:val="36"/>
          <w:szCs w:val="36"/>
          <w:bdr w:val="none" w:color="auto" w:sz="0" w:space="0"/>
          <w:shd w:val="clear" w:fill="FFFFFF"/>
          <w:lang w:eastAsia="zh-CN"/>
        </w:rPr>
        <w:t>。</w:t>
      </w:r>
      <w:r>
        <w:rPr>
          <w:rFonts w:hint="eastAsia" w:ascii="仿宋" w:hAnsi="仿宋" w:eastAsia="仿宋" w:cs="仿宋"/>
          <w:i w:val="0"/>
          <w:iCs w:val="0"/>
          <w:caps w:val="0"/>
          <w:color w:val="333333"/>
          <w:spacing w:val="0"/>
          <w:sz w:val="36"/>
          <w:szCs w:val="36"/>
          <w:bdr w:val="none" w:color="auto" w:sz="0" w:space="0"/>
          <w:shd w:val="clear" w:fill="FFFFFF"/>
        </w:rPr>
        <w:t>绩效评价的过程就</w:t>
      </w:r>
      <w:r>
        <w:rPr>
          <w:rFonts w:hint="eastAsia" w:ascii="仿宋" w:hAnsi="仿宋" w:eastAsia="仿宋" w:cs="仿宋"/>
          <w:i w:val="0"/>
          <w:iCs w:val="0"/>
          <w:caps w:val="0"/>
          <w:color w:val="333333"/>
          <w:spacing w:val="0"/>
          <w:sz w:val="36"/>
          <w:szCs w:val="36"/>
          <w:shd w:val="clear" w:fill="FFFFFF"/>
        </w:rPr>
        <w:t>是将员工的收集工作绩效同要求其达到的工作绩效标准进行比对的过程</w:t>
      </w:r>
    </w:p>
    <w:p w14:paraId="2A8B21BF">
      <w:pPr>
        <w:keepNext w:val="0"/>
        <w:keepLines w:val="0"/>
        <w:pageBreakBefore w:val="0"/>
        <w:numPr>
          <w:ilvl w:val="0"/>
          <w:numId w:val="1"/>
        </w:numPr>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绩效评价原则、评价指标体系(附表说明)、评价方法、 评价标准等。</w:t>
      </w:r>
    </w:p>
    <w:p w14:paraId="023A19B7">
      <w:pPr>
        <w:keepNext w:val="0"/>
        <w:keepLines w:val="0"/>
        <w:pageBreakBefore w:val="0"/>
        <w:numPr>
          <w:numId w:val="0"/>
        </w:numPr>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i w:val="0"/>
          <w:iCs w:val="0"/>
          <w:caps w:val="0"/>
          <w:color w:val="333333"/>
          <w:spacing w:val="0"/>
          <w:sz w:val="36"/>
          <w:szCs w:val="36"/>
          <w:shd w:val="clear" w:fill="FFFFFF"/>
        </w:rPr>
        <w:t>组织依照预先确定的标准和一定的评价程序，运用科学的评价方法、按照评价的</w:t>
      </w:r>
      <w:r>
        <w:rPr>
          <w:rFonts w:hint="eastAsia" w:ascii="仿宋" w:hAnsi="仿宋" w:eastAsia="仿宋" w:cs="仿宋"/>
          <w:i w:val="0"/>
          <w:iCs w:val="0"/>
          <w:caps w:val="0"/>
          <w:color w:val="333333"/>
          <w:spacing w:val="0"/>
          <w:sz w:val="36"/>
          <w:szCs w:val="36"/>
          <w:bdr w:val="none" w:color="auto" w:sz="0" w:space="0"/>
          <w:shd w:val="clear" w:fill="FFFFFF"/>
        </w:rPr>
        <w:t>内容和标准对评价</w:t>
      </w:r>
      <w:r>
        <w:rPr>
          <w:rFonts w:hint="eastAsia" w:ascii="仿宋" w:hAnsi="仿宋" w:eastAsia="仿宋" w:cs="仿宋"/>
          <w:i w:val="0"/>
          <w:iCs w:val="0"/>
          <w:caps w:val="0"/>
          <w:color w:val="333333"/>
          <w:spacing w:val="0"/>
          <w:sz w:val="36"/>
          <w:szCs w:val="36"/>
          <w:shd w:val="clear" w:fill="FFFFFF"/>
        </w:rPr>
        <w:t>对象的工作能力、工作业绩进行定期和不定期的考核和评价。</w:t>
      </w:r>
    </w:p>
    <w:p w14:paraId="1DCF506C">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绩效评价工作过程。</w:t>
      </w:r>
    </w:p>
    <w:p w14:paraId="781E6488">
      <w:pPr>
        <w:pStyle w:val="2"/>
        <w:keepNext w:val="0"/>
        <w:keepLines w:val="0"/>
        <w:pageBreakBefore w:val="0"/>
        <w:numPr>
          <w:numId w:val="0"/>
        </w:numPr>
        <w:kinsoku/>
        <w:wordWrap/>
        <w:overflowPunct/>
        <w:topLinePunct w:val="0"/>
        <w:autoSpaceDE/>
        <w:autoSpaceDN/>
        <w:bidi w:val="0"/>
        <w:adjustRightInd/>
        <w:spacing w:line="600" w:lineRule="exact"/>
        <w:textAlignment w:val="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w:t>
      </w:r>
      <w:r>
        <w:rPr>
          <w:rFonts w:hint="eastAsia" w:ascii="仿宋" w:hAnsi="仿宋" w:eastAsia="仿宋" w:cs="仿宋"/>
          <w:i w:val="0"/>
          <w:iCs w:val="0"/>
          <w:caps w:val="0"/>
          <w:color w:val="333333"/>
          <w:spacing w:val="0"/>
          <w:sz w:val="36"/>
          <w:szCs w:val="36"/>
          <w:shd w:val="clear" w:fill="FFFFFF"/>
        </w:rPr>
        <w:t>绩效目标与战</w:t>
      </w:r>
      <w:r>
        <w:rPr>
          <w:rFonts w:hint="eastAsia" w:ascii="仿宋" w:hAnsi="仿宋" w:eastAsia="仿宋" w:cs="仿宋"/>
          <w:i w:val="0"/>
          <w:iCs w:val="0"/>
          <w:caps w:val="0"/>
          <w:color w:val="333333"/>
          <w:spacing w:val="0"/>
          <w:sz w:val="36"/>
          <w:szCs w:val="36"/>
          <w:bdr w:val="none" w:color="auto" w:sz="0" w:space="0"/>
          <w:shd w:val="clear" w:fill="FFFFFF"/>
        </w:rPr>
        <w:t>略发展规划的适应</w:t>
      </w:r>
      <w:r>
        <w:rPr>
          <w:rFonts w:hint="eastAsia" w:ascii="仿宋" w:hAnsi="仿宋" w:eastAsia="仿宋" w:cs="仿宋"/>
          <w:i w:val="0"/>
          <w:iCs w:val="0"/>
          <w:caps w:val="0"/>
          <w:color w:val="333333"/>
          <w:spacing w:val="0"/>
          <w:sz w:val="36"/>
          <w:szCs w:val="36"/>
          <w:shd w:val="clear" w:fill="FFFFFF"/>
        </w:rPr>
        <w:t>性；</w:t>
      </w:r>
      <w:r>
        <w:rPr>
          <w:rFonts w:hint="eastAsia" w:ascii="仿宋" w:hAnsi="仿宋" w:eastAsia="仿宋" w:cs="仿宋"/>
          <w:i w:val="0"/>
          <w:iCs w:val="0"/>
          <w:caps w:val="0"/>
          <w:color w:val="333333"/>
          <w:spacing w:val="0"/>
          <w:sz w:val="36"/>
          <w:szCs w:val="36"/>
          <w:shd w:val="clear" w:fill="FFFFFF"/>
        </w:rPr>
        <w:br w:type="textWrapping"/>
      </w:r>
      <w:r>
        <w:rPr>
          <w:rFonts w:hint="eastAsia" w:ascii="仿宋" w:hAnsi="仿宋" w:eastAsia="仿宋" w:cs="仿宋"/>
          <w:i w:val="0"/>
          <w:iCs w:val="0"/>
          <w:caps w:val="0"/>
          <w:color w:val="333333"/>
          <w:spacing w:val="0"/>
          <w:sz w:val="36"/>
          <w:szCs w:val="36"/>
          <w:shd w:val="clear" w:fill="FFFFFF"/>
        </w:rPr>
        <w:t>2、财政资金使</w:t>
      </w:r>
      <w:r>
        <w:rPr>
          <w:rFonts w:hint="eastAsia" w:ascii="仿宋" w:hAnsi="仿宋" w:eastAsia="仿宋" w:cs="仿宋"/>
          <w:i w:val="0"/>
          <w:iCs w:val="0"/>
          <w:caps w:val="0"/>
          <w:color w:val="333333"/>
          <w:spacing w:val="0"/>
          <w:sz w:val="36"/>
          <w:szCs w:val="36"/>
          <w:bdr w:val="none" w:color="auto" w:sz="0" w:space="0"/>
          <w:shd w:val="clear" w:fill="FFFFFF"/>
        </w:rPr>
        <w:t>用情况、财务管理状况和资产配</w:t>
      </w:r>
      <w:r>
        <w:rPr>
          <w:rFonts w:hint="eastAsia" w:ascii="仿宋" w:hAnsi="仿宋" w:eastAsia="仿宋" w:cs="仿宋"/>
          <w:i w:val="0"/>
          <w:iCs w:val="0"/>
          <w:caps w:val="0"/>
          <w:color w:val="333333"/>
          <w:spacing w:val="0"/>
          <w:sz w:val="36"/>
          <w:szCs w:val="36"/>
          <w:shd w:val="clear" w:fill="FFFFFF"/>
        </w:rPr>
        <w:t>置、使用、处置及其收益管理情况；</w:t>
      </w:r>
      <w:r>
        <w:rPr>
          <w:rFonts w:hint="eastAsia" w:ascii="仿宋" w:hAnsi="仿宋" w:eastAsia="仿宋" w:cs="仿宋"/>
          <w:i w:val="0"/>
          <w:iCs w:val="0"/>
          <w:caps w:val="0"/>
          <w:color w:val="333333"/>
          <w:spacing w:val="0"/>
          <w:sz w:val="36"/>
          <w:szCs w:val="36"/>
          <w:shd w:val="clear" w:fill="FFFFFF"/>
        </w:rPr>
        <w:br w:type="textWrapping"/>
      </w:r>
      <w:r>
        <w:rPr>
          <w:rFonts w:hint="eastAsia" w:ascii="仿宋" w:hAnsi="仿宋" w:eastAsia="仿宋" w:cs="仿宋"/>
          <w:i w:val="0"/>
          <w:iCs w:val="0"/>
          <w:caps w:val="0"/>
          <w:color w:val="333333"/>
          <w:spacing w:val="0"/>
          <w:sz w:val="36"/>
          <w:szCs w:val="36"/>
          <w:shd w:val="clear" w:fill="FFFFFF"/>
        </w:rPr>
        <w:t>3、为加强管理所制定的相关制度、采取的措施等；</w:t>
      </w:r>
      <w:r>
        <w:rPr>
          <w:rFonts w:hint="eastAsia" w:ascii="仿宋" w:hAnsi="仿宋" w:eastAsia="仿宋" w:cs="仿宋"/>
          <w:i w:val="0"/>
          <w:iCs w:val="0"/>
          <w:caps w:val="0"/>
          <w:color w:val="333333"/>
          <w:spacing w:val="0"/>
          <w:sz w:val="36"/>
          <w:szCs w:val="36"/>
          <w:shd w:val="clear" w:fill="FFFFFF"/>
        </w:rPr>
        <w:br w:type="textWrapping"/>
      </w:r>
      <w:r>
        <w:rPr>
          <w:rFonts w:hint="eastAsia" w:ascii="仿宋" w:hAnsi="仿宋" w:eastAsia="仿宋" w:cs="仿宋"/>
          <w:i w:val="0"/>
          <w:iCs w:val="0"/>
          <w:caps w:val="0"/>
          <w:color w:val="333333"/>
          <w:spacing w:val="0"/>
          <w:sz w:val="36"/>
          <w:szCs w:val="36"/>
          <w:shd w:val="clear" w:fill="FFFFFF"/>
        </w:rPr>
        <w:t>4、绩效目标的实现程度，包括是否达到预定产出和效果等；</w:t>
      </w:r>
    </w:p>
    <w:p w14:paraId="2FAA7411">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 xml:space="preserve">三、综合评价情况及评价结论 </w:t>
      </w:r>
    </w:p>
    <w:p w14:paraId="121A5C7C">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1.圆满完成上级机构下达的争项争资总额要求甚至超额完成任务；2.全额上缴市总工会工会经费75.3万元；3.截至2023年低华容县城区共建立暖心驿站近30所，为户外工作者提供了休养休息的场所。</w:t>
      </w:r>
    </w:p>
    <w:p w14:paraId="1DF43D04">
      <w:pPr>
        <w:pStyle w:val="2"/>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rPr>
      </w:pPr>
    </w:p>
    <w:p w14:paraId="080BF7AF">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四、绩效评价指标分析</w:t>
      </w:r>
    </w:p>
    <w:p w14:paraId="7A6D8D26">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rPr>
        <w:t>(一)项目决策情况。</w:t>
      </w:r>
      <w:r>
        <w:rPr>
          <w:rFonts w:hint="eastAsia" w:ascii="仿宋" w:hAnsi="仿宋" w:eastAsia="仿宋" w:cs="仿宋"/>
          <w:sz w:val="36"/>
          <w:szCs w:val="36"/>
          <w:lang w:val="en-US" w:eastAsia="zh-CN"/>
        </w:rPr>
        <w:t>经过党组会议表决通过。</w:t>
      </w:r>
    </w:p>
    <w:p w14:paraId="7CBB7C74">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rPr>
        <w:t>(二)项目过程情况。</w:t>
      </w:r>
      <w:r>
        <w:rPr>
          <w:rFonts w:hint="eastAsia" w:ascii="仿宋" w:hAnsi="仿宋" w:eastAsia="仿宋" w:cs="仿宋"/>
          <w:sz w:val="36"/>
          <w:szCs w:val="36"/>
          <w:lang w:val="en-US" w:eastAsia="zh-CN"/>
        </w:rPr>
        <w:t>做到事前绩效评估，事前，事中，事后全过程监管。</w:t>
      </w:r>
    </w:p>
    <w:p w14:paraId="1429607F">
      <w:pPr>
        <w:keepNext w:val="0"/>
        <w:keepLines w:val="0"/>
        <w:pageBreakBefore w:val="0"/>
        <w:kinsoku/>
        <w:wordWrap/>
        <w:overflowPunct/>
        <w:topLinePunct w:val="0"/>
        <w:autoSpaceDE/>
        <w:autoSpaceDN/>
        <w:bidi w:val="0"/>
        <w:adjustRightInd/>
        <w:snapToGri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rPr>
        <w:t>(三)项目产出情况。</w:t>
      </w:r>
      <w:r>
        <w:rPr>
          <w:rFonts w:hint="eastAsia" w:ascii="仿宋" w:hAnsi="仿宋" w:eastAsia="仿宋" w:cs="仿宋"/>
          <w:sz w:val="36"/>
          <w:szCs w:val="36"/>
          <w:lang w:val="en-US" w:eastAsia="zh-CN"/>
        </w:rPr>
        <w:t>1.圆满完成上级机构下达的争项争资总额要求甚至超额完成任务；2.全额上缴市总工会工会经费75.3万元；3.截至2023年低华容县城区共建立暖心驿站近30所，为户外工作者提供了休养休息的场所。</w:t>
      </w:r>
    </w:p>
    <w:p w14:paraId="00E2A055">
      <w:pPr>
        <w:pStyle w:val="2"/>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2024年，根据年初工作规划和重点工作，围绕县委、县政府的工作部署，积极履行职责，强化管理。</w:t>
      </w:r>
    </w:p>
    <w:p w14:paraId="119E4B3D">
      <w:pPr>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lang w:val="en-US" w:eastAsia="zh-CN"/>
        </w:rPr>
      </w:pPr>
    </w:p>
    <w:p w14:paraId="28A9AC51">
      <w:pPr>
        <w:pStyle w:val="2"/>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lang w:val="en-US" w:eastAsia="zh-CN"/>
        </w:rPr>
      </w:pPr>
    </w:p>
    <w:p w14:paraId="4AF26031">
      <w:pPr>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华容县总工会</w:t>
      </w:r>
    </w:p>
    <w:p w14:paraId="6D315469">
      <w:pPr>
        <w:pStyle w:val="2"/>
        <w:keepNext w:val="0"/>
        <w:keepLines w:val="0"/>
        <w:pageBreakBefore w:val="0"/>
        <w:kinsoku/>
        <w:wordWrap/>
        <w:overflowPunct/>
        <w:topLinePunct w:val="0"/>
        <w:autoSpaceDE/>
        <w:autoSpaceDN/>
        <w:bidi w:val="0"/>
        <w:adjustRightInd/>
        <w:spacing w:line="600" w:lineRule="exact"/>
        <w:ind w:firstLine="720" w:firstLineChars="200"/>
        <w:textAlignment w:val="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2024年6月5日  </w:t>
      </w:r>
    </w:p>
    <w:p w14:paraId="5F963E23">
      <w:pPr>
        <w:keepNext w:val="0"/>
        <w:keepLines w:val="0"/>
        <w:pageBreakBefore w:val="0"/>
        <w:widowControl/>
        <w:kinsoku/>
        <w:wordWrap/>
        <w:overflowPunct/>
        <w:topLinePunct w:val="0"/>
        <w:autoSpaceDE/>
        <w:autoSpaceDN/>
        <w:bidi w:val="0"/>
        <w:adjustRightInd/>
        <w:snapToGrid/>
        <w:spacing w:line="600" w:lineRule="exact"/>
        <w:ind w:firstLine="720" w:firstLineChars="200"/>
        <w:jc w:val="both"/>
        <w:textAlignment w:val="auto"/>
        <w:rPr>
          <w:rFonts w:hint="eastAsia" w:ascii="仿宋" w:hAnsi="仿宋" w:eastAsia="仿宋" w:cs="仿宋"/>
          <w:sz w:val="36"/>
          <w:szCs w:val="36"/>
          <w:lang w:val="en-US" w:eastAsia="zh-CN"/>
        </w:rPr>
      </w:pPr>
    </w:p>
    <w:p w14:paraId="040FDE49">
      <w:pPr>
        <w:rPr>
          <w:rFonts w:hint="eastAsia" w:ascii="仿宋" w:hAnsi="仿宋" w:eastAsia="仿宋" w:cs="仿宋"/>
          <w:sz w:val="36"/>
          <w:szCs w:val="36"/>
        </w:rPr>
      </w:pPr>
    </w:p>
    <w:p w14:paraId="1D4DA75E">
      <w:pPr>
        <w:pStyle w:val="2"/>
      </w:pPr>
    </w:p>
    <w:p w14:paraId="03729C59"/>
    <w:p w14:paraId="130F7C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388124"/>
    <w:multiLevelType w:val="singleLevel"/>
    <w:tmpl w:val="7438812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MTc5MDU2YTNkZWY5MmY4ZTI5ZmFiN2I1ZmI2ZTIifQ=="/>
  </w:docVars>
  <w:rsids>
    <w:rsidRoot w:val="00000000"/>
    <w:rsid w:val="025B6819"/>
    <w:rsid w:val="03B7227C"/>
    <w:rsid w:val="06DE5D00"/>
    <w:rsid w:val="085207C5"/>
    <w:rsid w:val="157306F8"/>
    <w:rsid w:val="1C1104D8"/>
    <w:rsid w:val="25CB59E7"/>
    <w:rsid w:val="28702875"/>
    <w:rsid w:val="2E19750B"/>
    <w:rsid w:val="32D85BE7"/>
    <w:rsid w:val="339A10EE"/>
    <w:rsid w:val="38887767"/>
    <w:rsid w:val="39846181"/>
    <w:rsid w:val="3C3C2D43"/>
    <w:rsid w:val="552B174F"/>
    <w:rsid w:val="57803BAA"/>
    <w:rsid w:val="5B136F0D"/>
    <w:rsid w:val="67140294"/>
    <w:rsid w:val="6ADA35A3"/>
    <w:rsid w:val="743401C8"/>
    <w:rsid w:val="75EB0D5A"/>
    <w:rsid w:val="79AC25AE"/>
    <w:rsid w:val="7E8D2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311</Words>
  <Characters>333</Characters>
  <Lines>0</Lines>
  <Paragraphs>0</Paragraphs>
  <TotalTime>46</TotalTime>
  <ScaleCrop>false</ScaleCrop>
  <LinksUpToDate>false</LinksUpToDate>
  <CharactersWithSpaces>335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2024-06-06T02:14:34Z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0A4A39CCD6DE42B6A8EF0C3A0FA37EF8_12</vt:lpwstr>
  </property>
</Properties>
</file>