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宋体" w:cs="仿宋"/>
          <w:sz w:val="32"/>
          <w:szCs w:val="32"/>
        </w:rPr>
      </w:pPr>
      <w:r>
        <w:rPr>
          <w:rFonts w:hint="eastAsia" w:ascii="仿宋" w:hAnsi="仿宋" w:eastAsia="宋体" w:cs="仿宋"/>
          <w:sz w:val="32"/>
          <w:szCs w:val="32"/>
        </w:rPr>
        <w:t xml:space="preserve">附件2：　　　　   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仿宋" w:hAnsi="华文仿宋" w:eastAsia="华文仿宋" w:cs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民政局廉政风险防控措施清单</w:t>
      </w:r>
    </w:p>
    <w:tbl>
      <w:tblPr>
        <w:tblStyle w:val="3"/>
        <w:tblpPr w:leftFromText="180" w:rightFromText="180" w:vertAnchor="text" w:horzAnchor="page" w:tblpX="1031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465"/>
        <w:gridCol w:w="3403"/>
        <w:gridCol w:w="1892"/>
        <w:gridCol w:w="1528"/>
        <w:gridCol w:w="3958"/>
        <w:gridCol w:w="975"/>
        <w:gridCol w:w="1215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分管领导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tabs>
                <w:tab w:val="left" w:pos="210"/>
                <w:tab w:val="center" w:pos="742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政治建设方面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领导干部政治理论学习不够，理想信念不坚定、不严格执行民主集中制，造成决策失误或权利失控。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落实民主集中制，“三重一大”决策制度。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严格执行民主集中制，严格执行“三重一大”决策制度。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加强班子思想政治建设，严格执行民主集中制，严格执行“三重一大”决策制度，开好民主生活会，自觉接受群众监督，做到民主、科学决策。认真主动学习，提高领导决策能力。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龚成明、蔡启龙、白尊超、邓新建、董德炎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各股室、局属各二级单位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各股室长、各二级单位负责人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领导干部不认真履行“一岗双责”，领导监督职责履行不到位，造成本单位出现严重违法违纪问题的风险。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纳入年度述职考评。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领导干部认真履行“一岗双责”。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完善民主（组织）生活会制度，定期开展批评与自我批评。</w:t>
            </w: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政治建设方面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机关干部思想政治教育和业务培训力度不够。违反廉政规定和相关规章制度，特别是人、财、物管理等岗位，易发生违法违纪行为。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落实廉政规定。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不发生违法违纪行为。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认真执行廉洁自律规定，严于律己，以身作则；严格监督管理；局领导严格执行个人收入申报制度，全体干部实行个人重大事项报告制度。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龚成明、蔡启龙、白尊超、邓新建、董德炎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各股室、局属各二级单位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各股室长、各二级单位负责人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机关干部缺乏“一盘棋”思想和大局意识，导致相互配合不到位，影响全局各项工作正常开展的风险。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加强廉政教育，培养干部职工集体荣誉感。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爱护集体荣誉并为之努力工作。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重视并加强党风廉政建设、思想道德建设、职业道德教育，增强干部的责任心、意志力、凝聚力，树牢正确的人生观、价值观、权力观、政绩观，筑牢思想防线，不断提高自身综合素质，提高抵御腐败侵袭的能力，从根本上降低内部政治、思想和道德方面风险。</w:t>
            </w: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工作创新力度不够、工作系统性、统筹性不够、执行上级部署滞后或流于形式，不能完成上级布置各项任务。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围绕局党委中心工作，充分发挥各股室职能作用，团结奋斗。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工作具有明显成效，有特色、亮点。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加强民政工作创新发展，围绕局党委中心工作，充分发挥各股室职能作用，制定奖惩措施，完善对股室和机关干部的年度绩效考核制度，落实考核责任。</w:t>
            </w: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财务管理方面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财务管理不规范，可能导致出现不合理开支，影响机关正常运转。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严格落实财务管理规定。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财务规范，正常运行。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1、完善财务管理规定；2、认真执行年初的财政预算，避免不合理开支，影响工作正常运转的情况发生。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董德炎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财务股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岳志辉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郑  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运行经费审批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把关不严。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健全财务监管制度，严格按制度审批。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资金安全规范运行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1、健全财务监管制度，在公务接待、用车管理、津补贴发放、会议培训、差旅费用、招投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和政府采购等方面规范申请和审批流程，建立监管和内审机制，明确责任人责任；2、严格执行财务制度，按层级进行审核：业务股室经办→股长审核→分管领导审核→票据专审（真实、合法、准确、有效）→财务审核→值班领导审批→局长审阅；3、提高财务人员风险防控意识以及专业素养；4、预算内资金审核由值班负责人按预算规定审核，大额资金使用按“三重一大”要求走程序审批。</w:t>
            </w: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内务管理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印章管理不严，违规使用印章、印章被盗用或丢失，可能对单位造成不良的影响。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健全印章管理制度。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印章管理规范。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加强印章管理，规范盖章事由登记，及时落锁并保管好钥匙，对因失职造成不良后果的从严处理。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董德炎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办公室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张凤元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梁思汝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机要文件收发、传阅、保管、流转等工作过程中，可能出现失密，给本单位带来不良影响甚至严重后果。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健全文件管理制度。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文件收发规范，安全有序。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严格按照保密规定，做好机要文件收发等，出现丢失、损坏而造成重大损失的严厉追责问责。</w:t>
            </w: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临时救助对象审批和资金发放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程序不规范。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落实临时救助政策，严格执行对象和资金发放审批程序。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对象精准认定，资金安全规范发放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1、严格依法依规依程序审批：个人申请→入户调查→乡镇审核→县局审批； 2、强化跟踪回访：一是每季度选择30%的救助对象进行跟踪回访和查证核实；二是推送至“互联网+监督”平台接受社会监督和群众举报；3、实行资金统一打卡发放，杜绝大额（500元以上）现金支付。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蔡启龙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务中心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邓永新</w:t>
            </w:r>
            <w:r>
              <w:rPr>
                <w:rFonts w:hint="eastAsia" w:ascii="宋体" w:hAnsi="宋体" w:eastAsia="宋体" w:cs="宋体"/>
                <w:szCs w:val="21"/>
              </w:rPr>
              <w:t>万  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社会救助专项下拨资金的分配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落实特困供养和临时救助等社会救助政策，严格执行资金分配审批程序。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分配公平公正、资金安全规范发放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1、采用因素法（包括人口数量、财力状况、救助现状、工作绩效等）进行分配； 2、在资金下拨一个季度后进行跟踪审计和监督检查，属救助类的推送至“互联网+监督”平台接受社会监督和群众举报；属工程类的切实加强“事前、事中、事后”监督。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蔡启龙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务中心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邓永新</w:t>
            </w:r>
            <w:r>
              <w:rPr>
                <w:rFonts w:hint="eastAsia" w:ascii="宋体" w:hAnsi="宋体" w:eastAsia="宋体" w:cs="宋体"/>
                <w:szCs w:val="21"/>
              </w:rPr>
              <w:t>易  武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城乡低保对象审批和资金发放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落实城乡低保救助政策，严格执行对象和资金发放审批程序。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对象“应保尽保、应出即出、精准认定、精准施救”，资金安全规范发放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1、严格依法依规依程序审批：户主申请、提供资料→村级初审、民主评议→乡镇审核、张榜公示→县局审批、系统管理； 2、强化动态管理：一是每年进行一次经济核对，将问题对象（车辆登记、房产登记、工商注册、财政供养等）予以清退；二是每年进行一次年检年审；三是每年进行一次核查抽查；四是推送至“互联网+监督”平台接受社会监督和群众举报；3、实行资金统一打卡发放，杜绝现金支付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蔡启龙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邓永新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  武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  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13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特困供养对象认定和资金发放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落实特困供养救助政策，严格执行对象和资金发放审批程序。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对象精准认定，资金安全规范发放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1、严格依法依规依程序认定：本人申请→村级评议→乡镇审核→县局认定； 2、强化动态管理：一是每两年进行一次拍照认定和信息采集；二是每年进行一次核查抽查和走访调查；三是推送至“互联网+监督”平台接受社会监督和群众举报；3、实行资金统一打卡发放，杜绝现金支付。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蔡启龙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邓永新</w:t>
            </w:r>
            <w:r>
              <w:rPr>
                <w:rFonts w:hint="eastAsia" w:ascii="宋体" w:hAnsi="宋体" w:eastAsia="宋体" w:cs="宋体"/>
                <w:szCs w:val="21"/>
              </w:rPr>
              <w:t>易  武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残疾人两项补贴对象审批和资金发放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落实残疾人两项补贴政策，严格执行对象和资金发放审批程序。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对象精准审批，资金安全规范发放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1、严格依法依规依程序审批：个人申请→村级评议→乡镇审核→县局审批； 2、强化跟踪回访：一是每季度选择30%的补贴对象进行跟踪回访和查证核实；二是推送至“互联网+监督”平台接受社会监督和群众举报；3、实行资金统一打卡发放，杜绝现金支付。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蔡启龙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社会事务股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孙前锋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殡葬办事收费管理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严格按照物价部门核定标准收费。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资金安全规范运行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在宣传窗醒目处公示物价部门核定的收费标准；2、孝家入驻后，工作人员与孝家签订《业务登记表》，明确服务项目收入标准，《业务登记表》必须由经办人、收费员、带班负责人和孝家四方签字确认；3、孝家事情办完后，不收现金，费用由孝家刷卡缴入财政非税账户，并由工作人员开具非税收据给孝家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蔡启龙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殡葬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事务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所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易新辉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16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结婚登记审批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把关不严。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落实婚姻登记政策，严格执行婚姻登记审批程序。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依法依条例依流程进行登记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1、依照《中华人民共和国民法典》、《婚姻登记条例》、《婚姻登记工作规范》等法律法规文件进行登记；2、严格核查当事人户口簿、身份证等证件材料；3、填写《结婚登记声明书》，当事人签名；4、进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入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湖南省婚姻登记系统进行办理；5、即时办结。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蔡启龙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婚姻登记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服务中心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胡雪芳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17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养老服务补贴对象审批和资金发放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落实养老服务补贴救助政策，严格执行对象和资金发放审批程序。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对象精准审批，资金安全规范发放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1、严格依法依规依程序审批：个人申请→村级评议→乡镇审核→县局审批； 2、强化跟踪回访：一是每季度选择30%的补贴对象进行跟踪回访和查证核实；二是推送至“互联网+监督”平台接受社会监督和群众举报；3、实行资金统一打卡发放，杜绝现金支付。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白尊超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养老服务股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何  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社会组织成立登记审批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把关不严。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落实社会组织成立登记政策，严格执行社会组织成立登记审批程序。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依法依条例依流程进行登记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依照《行政许可法》、《社会团体登记管理条例》或《民办非企业单位登记管理暂行条例》关于成立登记的相关条文进行登记；2、严格核查社会组织的名称；3、严格审查发起人和拟任负责人基本情况和身份证明、业务主管单位的批准文件、验资报告、场所使用权证明和章程等相关文件；4、依据湖南省社会组织管理平台中成立登记的流程（受理→初审→审核→审批）进行审批；5、依时限办结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白尊超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社会组织管理股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刘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孤儿保障对象审批和资金发放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程序不规范。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落实孤儿保障救助政策，严格执行对象和资金发放审批程序。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对象精准审批，资金安全规范发放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1、严格依法依规依程序审批：个人申请→村级评议→乡镇审核→县局审批； 2、强化跟踪回访：一是每季度选择30%的保障对象进行跟踪回访和查证核实；二是推送至“互联网+监督”平台接受社会监督和群众举报；3、实行资金统一打卡发放，杜绝现金支付。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白尊超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儿童福利股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陈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社会福利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寄养收入管理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严格按照物价部门核定标准收费。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资金安全规范运行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1、在宣传窗醒目处公示物价部门核定的收费标准；</w:t>
            </w:r>
            <w:r>
              <w:rPr>
                <w:rFonts w:ascii="宋体" w:hAnsi="宋体" w:eastAsia="宋体" w:cs="宋体"/>
                <w:bCs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、明确责任分工，建立寄养收入收费台账；</w:t>
            </w:r>
            <w:r>
              <w:rPr>
                <w:rFonts w:ascii="宋体" w:hAnsi="宋体" w:eastAsia="宋体" w:cs="宋体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、不收现金，费用由寄养对象刷卡缴入财政非税账户，并由工作人员开具非税收据给寄养对象；4、收费员每月一清查，督促寄养对象及时缴纳费用。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白尊超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社会福利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院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黄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慈善救助对象审批和资金发放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程序不规范。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落实慈善救助政策，严格执行对象和资金发放审批程序。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对象精准认定，资金安全规范发放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1、严格依法依规依程序审批：个人申请→入户调查→乡镇审核→县局审批； 2、强化跟踪回访：一是每季度选择30%的救助对象进行跟踪回访和查证核实；二是推送至“互联网+监督”平台接受社会监督和群众举报；3、实行资金统一打卡发放，杜绝现金支付。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邓新建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慈善事业促进与社会工作股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程可红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2QwYTdiZWU1OGE4MDNiMTU0YmFlMTE2ZWNmZmEifQ=="/>
  </w:docVars>
  <w:rsids>
    <w:rsidRoot w:val="1CFB0480"/>
    <w:rsid w:val="1C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ind w:firstLine="250" w:firstLineChars="250"/>
      <w:jc w:val="both"/>
      <w:outlineLvl w:val="3"/>
    </w:pPr>
    <w:rPr>
      <w:rFonts w:ascii="Cambria" w:hAnsi="Cambria" w:eastAsia="宋体" w:cs="Cambria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2024-04-03T00:20:00Z</dcterms:created>
  <dc:creator>.ww</dc:creator>
  <cp:lastModifiedBy>.ww</cp:lastModifiedBy>
  <dcterms:modified xsi:type="dcterms:W3CDTF">2024-04-03T00:21:41Z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8D96FA2BACAE4E549ACFFCC400FFCD29_11</vt:lpwstr>
  </property>
</Properties>
</file>