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仿宋_GB2312"/>
          <w:sz w:val="28"/>
        </w:rPr>
      </w:pPr>
      <w:r>
        <w:rPr>
          <w:rFonts w:eastAsia="仿宋_GB2312"/>
          <w:sz w:val="32"/>
          <w:szCs w:val="32"/>
        </w:rPr>
        <w:t>HNPR-2023-1501</w:t>
      </w:r>
      <w:r>
        <w:rPr>
          <w:rFonts w:hint="eastAsia" w:eastAsia="仿宋_GB2312"/>
          <w:sz w:val="32"/>
          <w:szCs w:val="32"/>
        </w:rPr>
        <w:t>8</w:t>
      </w:r>
    </w:p>
    <w:p>
      <w:pPr>
        <w:jc w:val="center"/>
        <w:rPr>
          <w:rFonts w:eastAsia="仿宋_GB2312"/>
          <w:sz w:val="28"/>
        </w:rPr>
      </w:pPr>
    </w:p>
    <w:p>
      <w:pPr>
        <w:jc w:val="center"/>
        <w:rPr>
          <w:rFonts w:eastAsia="仿宋_GB2312"/>
          <w:sz w:val="28"/>
        </w:rPr>
      </w:pPr>
    </w:p>
    <w:p>
      <w:pPr>
        <w:jc w:val="center"/>
        <w:rPr>
          <w:rFonts w:eastAsia="仿宋_GB2312"/>
          <w:sz w:val="28"/>
          <w:szCs w:val="28"/>
        </w:rPr>
      </w:pPr>
      <w:bookmarkStart w:id="0" w:name="_GoBack"/>
      <w:bookmarkEnd w:id="0"/>
    </w:p>
    <w:p>
      <w:pPr>
        <w:jc w:val="center"/>
        <w:rPr>
          <w:rFonts w:eastAsia="仿宋_GB2312"/>
          <w:sz w:val="28"/>
          <w:szCs w:val="28"/>
        </w:rPr>
      </w:pPr>
    </w:p>
    <w:p>
      <w:pPr>
        <w:jc w:val="center"/>
        <w:rPr>
          <w:rFonts w:eastAsia="仿宋_GB2312"/>
          <w:szCs w:val="21"/>
        </w:rPr>
      </w:pPr>
    </w:p>
    <w:p>
      <w:pPr>
        <w:jc w:val="center"/>
        <w:rPr>
          <w:rFonts w:eastAsia="仿宋_GB2312"/>
          <w:sz w:val="28"/>
        </w:rPr>
      </w:pPr>
    </w:p>
    <w:p>
      <w:pPr>
        <w:jc w:val="center"/>
        <w:rPr>
          <w:rFonts w:eastAsia="仿宋_GB2312"/>
          <w:sz w:val="32"/>
        </w:rPr>
      </w:pPr>
      <w:r>
        <w:rPr>
          <w:rFonts w:eastAsia="仿宋_GB2312"/>
          <w:sz w:val="32"/>
        </w:rPr>
        <w:t>湘交港航规〔2023〕15号</w:t>
      </w:r>
    </w:p>
    <w:p>
      <w:pPr>
        <w:spacing w:line="440" w:lineRule="exact"/>
        <w:jc w:val="center"/>
        <w:rPr>
          <w:rFonts w:eastAsia="仿宋_GB2312"/>
          <w:sz w:val="28"/>
          <w:szCs w:val="28"/>
        </w:rPr>
      </w:pPr>
    </w:p>
    <w:p>
      <w:pPr>
        <w:spacing w:line="440" w:lineRule="exact"/>
        <w:jc w:val="center"/>
        <w:rPr>
          <w:rFonts w:eastAsia="仿宋_GB2312"/>
          <w:sz w:val="24"/>
        </w:rPr>
      </w:pPr>
    </w:p>
    <w:p>
      <w:pPr>
        <w:adjustRightInd w:val="0"/>
        <w:snapToGrid w:val="0"/>
        <w:spacing w:line="440" w:lineRule="exact"/>
        <w:jc w:val="center"/>
        <w:rPr>
          <w:rFonts w:eastAsia="方正小标宋简体"/>
          <w:sz w:val="44"/>
          <w:szCs w:val="44"/>
        </w:rPr>
      </w:pPr>
    </w:p>
    <w:p>
      <w:pPr>
        <w:spacing w:line="640" w:lineRule="exact"/>
        <w:jc w:val="center"/>
        <w:rPr>
          <w:rFonts w:eastAsia="方正小标宋简体"/>
          <w:sz w:val="44"/>
          <w:szCs w:val="44"/>
        </w:rPr>
      </w:pPr>
      <w:r>
        <w:rPr>
          <w:rFonts w:eastAsia="方正小标宋简体"/>
          <w:sz w:val="44"/>
          <w:szCs w:val="44"/>
        </w:rPr>
        <w:t>湖南省交通运输厅</w:t>
      </w:r>
    </w:p>
    <w:p>
      <w:pPr>
        <w:spacing w:line="640" w:lineRule="exact"/>
        <w:jc w:val="center"/>
        <w:rPr>
          <w:rFonts w:eastAsia="方正小标宋简体"/>
          <w:sz w:val="44"/>
          <w:szCs w:val="44"/>
        </w:rPr>
      </w:pPr>
      <w:r>
        <w:rPr>
          <w:rFonts w:eastAsia="方正小标宋简体"/>
          <w:sz w:val="44"/>
          <w:szCs w:val="44"/>
        </w:rPr>
        <w:t>关于印发《湖南省水路运输市场信用管理办法（试行）》的通知</w:t>
      </w:r>
    </w:p>
    <w:p>
      <w:pPr>
        <w:spacing w:line="560" w:lineRule="exact"/>
        <w:rPr>
          <w:rFonts w:eastAsia="仿宋_GB2312"/>
          <w:sz w:val="32"/>
          <w:szCs w:val="32"/>
        </w:rPr>
      </w:pPr>
    </w:p>
    <w:p>
      <w:pPr>
        <w:spacing w:line="560" w:lineRule="exact"/>
        <w:rPr>
          <w:rFonts w:eastAsia="仿宋_GB2312"/>
          <w:sz w:val="32"/>
          <w:szCs w:val="32"/>
        </w:rPr>
      </w:pPr>
      <w:r>
        <w:rPr>
          <w:rFonts w:eastAsia="仿宋_GB2312"/>
          <w:sz w:val="32"/>
          <w:szCs w:val="32"/>
        </w:rPr>
        <w:t>各市州交通运输局，厅直有关单位，各水路运输市场经营人：</w:t>
      </w:r>
    </w:p>
    <w:p>
      <w:pPr>
        <w:spacing w:line="560" w:lineRule="exact"/>
        <w:ind w:firstLine="640" w:firstLineChars="200"/>
        <w:rPr>
          <w:rFonts w:eastAsia="仿宋_GB2312"/>
          <w:sz w:val="32"/>
          <w:szCs w:val="32"/>
        </w:rPr>
      </w:pPr>
      <w:r>
        <w:rPr>
          <w:rFonts w:eastAsia="仿宋_GB2312"/>
          <w:sz w:val="32"/>
          <w:szCs w:val="32"/>
        </w:rPr>
        <w:t>现将《湖南省水路运输市场信用管理办法（试行）》印发给你们，请遵照执行。</w:t>
      </w:r>
    </w:p>
    <w:p>
      <w:pPr>
        <w:spacing w:line="560" w:lineRule="exact"/>
        <w:rPr>
          <w:rFonts w:eastAsia="仿宋_GB2312"/>
          <w:sz w:val="32"/>
          <w:szCs w:val="32"/>
        </w:rPr>
      </w:pPr>
    </w:p>
    <w:p>
      <w:pPr>
        <w:spacing w:line="560" w:lineRule="exact"/>
        <w:rPr>
          <w:rFonts w:eastAsia="仿宋_GB2312"/>
          <w:bCs/>
          <w:sz w:val="32"/>
          <w:szCs w:val="32"/>
        </w:rPr>
      </w:pPr>
    </w:p>
    <w:p>
      <w:pPr>
        <w:spacing w:line="560" w:lineRule="exact"/>
        <w:ind w:firstLine="5952" w:firstLineChars="1860"/>
        <w:rPr>
          <w:rFonts w:eastAsia="仿宋_GB2312"/>
          <w:sz w:val="32"/>
        </w:rPr>
      </w:pPr>
      <w:r>
        <w:rPr>
          <w:rFonts w:eastAsia="仿宋_GB2312"/>
          <w:sz w:val="32"/>
        </w:rPr>
        <w:t xml:space="preserve">湖南省交通运输厅    </w:t>
      </w:r>
    </w:p>
    <w:p>
      <w:pPr>
        <w:spacing w:line="560" w:lineRule="exact"/>
        <w:ind w:firstLine="5952" w:firstLineChars="1860"/>
        <w:rPr>
          <w:rFonts w:eastAsia="仿宋_GB2312"/>
          <w:sz w:val="32"/>
        </w:rPr>
      </w:pPr>
      <w:r>
        <w:rPr>
          <w:rFonts w:eastAsia="仿宋_GB2312"/>
          <w:sz w:val="32"/>
        </w:rPr>
        <w:t>2023年12月8日</w:t>
      </w:r>
    </w:p>
    <w:p>
      <w:pPr>
        <w:spacing w:line="600" w:lineRule="exact"/>
        <w:rPr>
          <w:rFonts w:eastAsia="仿宋_GB2312"/>
          <w:sz w:val="32"/>
          <w:szCs w:val="32"/>
        </w:rPr>
      </w:pPr>
    </w:p>
    <w:p>
      <w:pPr>
        <w:spacing w:line="600" w:lineRule="exact"/>
        <w:jc w:val="center"/>
        <w:rPr>
          <w:rFonts w:eastAsia="方正小标宋简体"/>
          <w:bCs/>
          <w:sz w:val="44"/>
          <w:szCs w:val="44"/>
          <w:lang w:val="en"/>
        </w:rPr>
      </w:pPr>
      <w:r>
        <w:rPr>
          <w:rFonts w:eastAsia="方正小标宋简体"/>
          <w:bCs/>
          <w:sz w:val="44"/>
          <w:szCs w:val="44"/>
        </w:rPr>
        <w:t>湖南省水路运输市场信用管理办法</w:t>
      </w:r>
      <w:r>
        <w:rPr>
          <w:rFonts w:eastAsia="方正小标宋简体"/>
          <w:bCs/>
          <w:sz w:val="44"/>
          <w:szCs w:val="44"/>
          <w:lang w:val="en"/>
        </w:rPr>
        <w:t>(试行)</w:t>
      </w:r>
    </w:p>
    <w:p>
      <w:pPr>
        <w:spacing w:line="600" w:lineRule="exact"/>
        <w:jc w:val="center"/>
        <w:rPr>
          <w:rFonts w:eastAsia="仿宋_GB2312"/>
          <w:b/>
          <w:bCs/>
          <w:sz w:val="32"/>
          <w:szCs w:val="32"/>
        </w:rPr>
      </w:pPr>
    </w:p>
    <w:p>
      <w:pPr>
        <w:spacing w:line="600" w:lineRule="exact"/>
        <w:jc w:val="center"/>
        <w:rPr>
          <w:rFonts w:eastAsia="黑体"/>
          <w:sz w:val="32"/>
          <w:szCs w:val="32"/>
        </w:rPr>
      </w:pPr>
      <w:r>
        <w:rPr>
          <w:rFonts w:eastAsia="黑体"/>
          <w:bCs/>
          <w:sz w:val="32"/>
          <w:szCs w:val="32"/>
        </w:rPr>
        <w:t>第一章  总  则</w:t>
      </w:r>
    </w:p>
    <w:p>
      <w:pPr>
        <w:spacing w:line="600" w:lineRule="exact"/>
        <w:ind w:firstLine="642" w:firstLineChars="200"/>
        <w:rPr>
          <w:rFonts w:eastAsia="仿宋_GB2312"/>
          <w:sz w:val="32"/>
          <w:szCs w:val="32"/>
        </w:rPr>
      </w:pPr>
      <w:r>
        <w:rPr>
          <w:rFonts w:eastAsia="仿宋_GB2312"/>
          <w:b/>
          <w:sz w:val="32"/>
          <w:szCs w:val="32"/>
        </w:rPr>
        <w:t>第一条</w:t>
      </w:r>
      <w:r>
        <w:rPr>
          <w:rFonts w:eastAsia="仿宋_GB2312"/>
          <w:sz w:val="32"/>
          <w:szCs w:val="32"/>
          <w:lang w:val="en"/>
        </w:rPr>
        <w:t xml:space="preserve">  </w:t>
      </w:r>
      <w:r>
        <w:rPr>
          <w:rFonts w:eastAsia="仿宋_GB2312"/>
          <w:sz w:val="32"/>
          <w:szCs w:val="32"/>
        </w:rPr>
        <w:t>为加强我省水路运输市场信用体系建设，促进水路运输行业健康有序发展，营造诚信守法的水路运输市场环境，依据《中华人民共和国安全生产法》《中华人民共和国港口法》《国内水路运输管理条例》《国内水路运输管理规定》《港口经营管理规定》《中华人民共和国内河交通安全管理条例》《水路运输市场信用信息管理办法（试行）》（交办水〔2017〕128号）《海事信用信息管理办法》（海政法〔2017〕202号）《湖南省交通运输信用管理暂行办法》（湘交政务规〔2022〕7号）等相关法律法规及文件，结合我省水路运输市场实际，制定本办法。</w:t>
      </w:r>
    </w:p>
    <w:p>
      <w:pPr>
        <w:spacing w:line="600" w:lineRule="exact"/>
        <w:ind w:firstLine="642" w:firstLineChars="200"/>
        <w:rPr>
          <w:rFonts w:eastAsia="仿宋_GB2312"/>
          <w:spacing w:val="-2"/>
          <w:sz w:val="32"/>
          <w:szCs w:val="32"/>
          <w:lang w:val="en"/>
        </w:rPr>
      </w:pPr>
      <w:r>
        <w:rPr>
          <w:rFonts w:eastAsia="仿宋_GB2312"/>
          <w:b/>
          <w:sz w:val="32"/>
          <w:szCs w:val="32"/>
        </w:rPr>
        <w:t>第二条</w:t>
      </w:r>
      <w:r>
        <w:rPr>
          <w:rFonts w:eastAsia="仿宋_GB2312"/>
          <w:sz w:val="32"/>
          <w:szCs w:val="32"/>
          <w:lang w:val="en"/>
        </w:rPr>
        <w:t xml:space="preserve">  </w:t>
      </w:r>
      <w:r>
        <w:rPr>
          <w:rFonts w:eastAsia="仿宋_GB2312"/>
          <w:spacing w:val="-2"/>
          <w:sz w:val="32"/>
          <w:szCs w:val="32"/>
          <w:lang w:val="en"/>
        </w:rPr>
        <w:t>本行政区内</w:t>
      </w:r>
      <w:r>
        <w:rPr>
          <w:rFonts w:eastAsia="仿宋_GB2312"/>
          <w:spacing w:val="-2"/>
          <w:sz w:val="32"/>
          <w:szCs w:val="32"/>
        </w:rPr>
        <w:t>水路运输市场从业单位及有关从业人员的信用信息归集、共享、评价、应用等管理活动，适用本办法。</w:t>
      </w:r>
    </w:p>
    <w:p>
      <w:pPr>
        <w:spacing w:line="600" w:lineRule="exact"/>
        <w:ind w:firstLine="640" w:firstLineChars="200"/>
        <w:rPr>
          <w:rFonts w:eastAsia="仿宋_GB2312"/>
          <w:sz w:val="32"/>
          <w:szCs w:val="32"/>
        </w:rPr>
      </w:pPr>
      <w:r>
        <w:rPr>
          <w:rFonts w:eastAsia="仿宋_GB2312"/>
          <w:sz w:val="32"/>
          <w:szCs w:val="32"/>
        </w:rPr>
        <w:t>本办法所称的从业单位包括从事水路运输业务经营人和港口业务经营人。其中水路运输业务经营人包括水路客运、货运业务经营人、水路运输辅助业业务经营人。</w:t>
      </w:r>
    </w:p>
    <w:p>
      <w:pPr>
        <w:spacing w:line="600" w:lineRule="exact"/>
        <w:ind w:firstLine="640" w:firstLineChars="200"/>
        <w:rPr>
          <w:rFonts w:eastAsia="仿宋_GB2312"/>
          <w:sz w:val="32"/>
          <w:szCs w:val="32"/>
        </w:rPr>
      </w:pPr>
      <w:r>
        <w:rPr>
          <w:rFonts w:eastAsia="仿宋_GB2312"/>
          <w:sz w:val="32"/>
          <w:szCs w:val="32"/>
        </w:rPr>
        <w:t>本办法所称的有关从业人员是指从业单位主要负责人、专职管理人员</w:t>
      </w:r>
      <w:r>
        <w:rPr>
          <w:rFonts w:eastAsia="仿宋_GB2312"/>
          <w:sz w:val="32"/>
          <w:szCs w:val="32"/>
          <w:lang w:val="en"/>
        </w:rPr>
        <w:t>,以及</w:t>
      </w:r>
      <w:r>
        <w:rPr>
          <w:rFonts w:eastAsia="仿宋_GB2312"/>
          <w:sz w:val="32"/>
          <w:szCs w:val="32"/>
        </w:rPr>
        <w:t>依法取得有关水路运输从业资格证书或者通过考核的相关人员。</w:t>
      </w:r>
    </w:p>
    <w:p>
      <w:pPr>
        <w:spacing w:line="600" w:lineRule="exact"/>
        <w:ind w:firstLine="642" w:firstLineChars="200"/>
        <w:rPr>
          <w:rFonts w:eastAsia="仿宋_GB2312"/>
          <w:sz w:val="32"/>
          <w:szCs w:val="32"/>
        </w:rPr>
      </w:pPr>
      <w:r>
        <w:rPr>
          <w:rFonts w:eastAsia="仿宋_GB2312"/>
          <w:b/>
          <w:bCs/>
          <w:sz w:val="32"/>
          <w:szCs w:val="32"/>
        </w:rPr>
        <w:t>第三条</w:t>
      </w:r>
      <w:r>
        <w:rPr>
          <w:rFonts w:eastAsia="仿宋_GB2312"/>
          <w:sz w:val="32"/>
          <w:szCs w:val="32"/>
        </w:rPr>
        <w:t xml:space="preserve">  水路运输市场信用管理实行统一管理、分级负责。</w:t>
      </w:r>
    </w:p>
    <w:p>
      <w:pPr>
        <w:spacing w:line="600" w:lineRule="exact"/>
        <w:ind w:firstLine="642" w:firstLineChars="200"/>
        <w:rPr>
          <w:rFonts w:eastAsia="仿宋_GB2312"/>
          <w:sz w:val="32"/>
          <w:szCs w:val="32"/>
        </w:rPr>
      </w:pPr>
      <w:r>
        <w:rPr>
          <w:rFonts w:eastAsia="仿宋_GB2312"/>
          <w:b/>
          <w:bCs/>
          <w:sz w:val="32"/>
          <w:szCs w:val="32"/>
        </w:rPr>
        <w:t xml:space="preserve">第四条 </w:t>
      </w:r>
      <w:r>
        <w:rPr>
          <w:rFonts w:eastAsia="仿宋_GB2312"/>
          <w:sz w:val="32"/>
          <w:szCs w:val="32"/>
        </w:rPr>
        <w:t xml:space="preserve"> </w:t>
      </w:r>
      <w:r>
        <w:rPr>
          <w:rFonts w:eastAsia="仿宋_GB2312"/>
          <w:bCs/>
          <w:sz w:val="32"/>
          <w:szCs w:val="32"/>
        </w:rPr>
        <w:t>省交通运输厅负</w:t>
      </w:r>
      <w:r>
        <w:rPr>
          <w:rFonts w:eastAsia="仿宋_GB2312"/>
          <w:sz w:val="32"/>
          <w:szCs w:val="32"/>
        </w:rPr>
        <w:t xml:space="preserve">责全省水路运输市场信用管理工作。主要职责是：                                                                                                                                                                                                                                                                         </w:t>
      </w:r>
    </w:p>
    <w:p>
      <w:pPr>
        <w:spacing w:line="600" w:lineRule="exact"/>
        <w:ind w:firstLine="640" w:firstLineChars="200"/>
        <w:rPr>
          <w:rFonts w:eastAsia="仿宋_GB2312"/>
          <w:sz w:val="32"/>
          <w:szCs w:val="32"/>
        </w:rPr>
      </w:pPr>
      <w:r>
        <w:rPr>
          <w:rFonts w:eastAsia="仿宋_GB2312"/>
          <w:sz w:val="32"/>
          <w:szCs w:val="32"/>
        </w:rPr>
        <w:t>（一）贯彻国家水路运输市场信用管理相关要求，建立完善全省水路运输市场信用管理制度体系。</w:t>
      </w:r>
    </w:p>
    <w:p>
      <w:pPr>
        <w:spacing w:line="600" w:lineRule="exact"/>
        <w:ind w:firstLine="640" w:firstLineChars="200"/>
        <w:rPr>
          <w:rFonts w:eastAsia="仿宋_GB2312"/>
          <w:sz w:val="32"/>
          <w:szCs w:val="32"/>
        </w:rPr>
      </w:pPr>
      <w:r>
        <w:rPr>
          <w:rFonts w:eastAsia="仿宋_GB2312"/>
          <w:sz w:val="32"/>
          <w:szCs w:val="32"/>
        </w:rPr>
        <w:t>（二）建设和完善湖南省水运市场信用信息管理系统（以下简称“</w:t>
      </w:r>
      <w:r>
        <w:rPr>
          <w:rFonts w:eastAsia="仿宋_GB2312"/>
          <w:sz w:val="32"/>
          <w:szCs w:val="32"/>
          <w:lang w:val="en"/>
        </w:rPr>
        <w:t>省平台</w:t>
      </w:r>
      <w:r>
        <w:rPr>
          <w:rFonts w:eastAsia="仿宋_GB2312"/>
          <w:sz w:val="32"/>
          <w:szCs w:val="32"/>
        </w:rPr>
        <w:t>”），组织相关单位负责</w:t>
      </w:r>
      <w:r>
        <w:rPr>
          <w:rFonts w:eastAsia="仿宋_GB2312"/>
          <w:sz w:val="32"/>
          <w:szCs w:val="32"/>
          <w:lang w:val="en"/>
        </w:rPr>
        <w:t>省平台</w:t>
      </w:r>
      <w:r>
        <w:rPr>
          <w:rFonts w:eastAsia="仿宋_GB2312"/>
          <w:sz w:val="32"/>
          <w:szCs w:val="32"/>
        </w:rPr>
        <w:t>的日常维护与监管。</w:t>
      </w:r>
    </w:p>
    <w:p>
      <w:pPr>
        <w:spacing w:line="600" w:lineRule="exact"/>
        <w:ind w:firstLine="640" w:firstLineChars="200"/>
        <w:rPr>
          <w:rFonts w:eastAsia="仿宋_GB2312"/>
          <w:sz w:val="32"/>
          <w:szCs w:val="32"/>
        </w:rPr>
      </w:pPr>
      <w:r>
        <w:rPr>
          <w:rFonts w:eastAsia="仿宋_GB2312"/>
          <w:sz w:val="32"/>
          <w:szCs w:val="32"/>
        </w:rPr>
        <w:t>（三）组织开展全省水路运输市场从业单位信用信息归集及审核发布，对省内从业单位开展信用评价，发布信用评价等级结果等工作。</w:t>
      </w:r>
    </w:p>
    <w:p>
      <w:pPr>
        <w:spacing w:line="600" w:lineRule="exact"/>
        <w:ind w:firstLine="640" w:firstLineChars="200"/>
        <w:rPr>
          <w:rFonts w:eastAsia="仿宋_GB2312"/>
          <w:sz w:val="32"/>
          <w:szCs w:val="32"/>
        </w:rPr>
      </w:pPr>
      <w:r>
        <w:rPr>
          <w:rFonts w:eastAsia="仿宋_GB2312"/>
          <w:sz w:val="32"/>
          <w:szCs w:val="32"/>
        </w:rPr>
        <w:t>（四）指导并督促各级交通运输主管部门开展水路运输市场信用信息、信用评价等级结果应用。</w:t>
      </w:r>
    </w:p>
    <w:p>
      <w:pPr>
        <w:spacing w:line="600" w:lineRule="exact"/>
        <w:ind w:firstLine="629" w:firstLineChars="196"/>
        <w:rPr>
          <w:rFonts w:eastAsia="仿宋_GB2312"/>
          <w:sz w:val="32"/>
          <w:szCs w:val="32"/>
        </w:rPr>
      </w:pPr>
      <w:r>
        <w:rPr>
          <w:rFonts w:eastAsia="仿宋_GB2312"/>
          <w:b/>
          <w:sz w:val="32"/>
          <w:szCs w:val="32"/>
        </w:rPr>
        <w:t xml:space="preserve">第五条 </w:t>
      </w:r>
      <w:r>
        <w:rPr>
          <w:rFonts w:eastAsia="仿宋_GB2312"/>
          <w:b/>
          <w:bCs/>
          <w:kern w:val="0"/>
          <w:sz w:val="32"/>
          <w:szCs w:val="32"/>
        </w:rPr>
        <w:t xml:space="preserve"> </w:t>
      </w:r>
      <w:r>
        <w:rPr>
          <w:rFonts w:eastAsia="仿宋_GB2312"/>
          <w:sz w:val="32"/>
          <w:szCs w:val="32"/>
        </w:rPr>
        <w:t>省级交通运输行业发展机构按职责分工开展全省水路运输市场信用管理工作。具体为：</w:t>
      </w:r>
    </w:p>
    <w:p>
      <w:pPr>
        <w:spacing w:line="600" w:lineRule="exact"/>
        <w:ind w:firstLine="627" w:firstLineChars="196"/>
        <w:rPr>
          <w:rFonts w:eastAsia="仿宋_GB2312"/>
          <w:sz w:val="32"/>
          <w:szCs w:val="32"/>
        </w:rPr>
      </w:pPr>
      <w:r>
        <w:rPr>
          <w:rFonts w:eastAsia="仿宋_GB2312"/>
          <w:sz w:val="32"/>
          <w:szCs w:val="32"/>
        </w:rPr>
        <w:t>（一）省水运事务中心负责指导并督促各市州水路运输市场的信用管理相关工作；协助省交通运输厅做好从业单位基本信用信息审核工作；及时归集并录入省本级对从业单位管理产生的良好行为信息、失信行为信息，并协助省交通运输厅复核汇总各市（州）上报的信用评价资料。</w:t>
      </w:r>
    </w:p>
    <w:p>
      <w:pPr>
        <w:spacing w:line="600" w:lineRule="exact"/>
        <w:ind w:firstLine="627" w:firstLineChars="196"/>
        <w:rPr>
          <w:rFonts w:eastAsia="仿宋_GB2312"/>
          <w:sz w:val="32"/>
          <w:szCs w:val="32"/>
        </w:rPr>
      </w:pPr>
      <w:r>
        <w:rPr>
          <w:rFonts w:eastAsia="仿宋_GB2312"/>
          <w:sz w:val="32"/>
          <w:szCs w:val="32"/>
        </w:rPr>
        <w:t>（二）省交通运输厅科技信息中心负责</w:t>
      </w:r>
      <w:r>
        <w:rPr>
          <w:rFonts w:eastAsia="仿宋_GB2312"/>
          <w:sz w:val="32"/>
          <w:szCs w:val="32"/>
          <w:lang w:val="en"/>
        </w:rPr>
        <w:t>省平台</w:t>
      </w:r>
      <w:r>
        <w:rPr>
          <w:rFonts w:eastAsia="仿宋_GB2312"/>
          <w:sz w:val="32"/>
          <w:szCs w:val="32"/>
        </w:rPr>
        <w:t>的技术支持及维护，并对信用信息录入或确认的及时性、规范性进行统计分析，及时反馈给相关责任单位及监管部门。</w:t>
      </w:r>
    </w:p>
    <w:p>
      <w:pPr>
        <w:spacing w:line="600" w:lineRule="exact"/>
        <w:ind w:firstLine="642" w:firstLineChars="200"/>
        <w:rPr>
          <w:rFonts w:eastAsia="仿宋_GB2312"/>
          <w:bCs/>
          <w:sz w:val="32"/>
          <w:szCs w:val="32"/>
        </w:rPr>
      </w:pPr>
      <w:r>
        <w:rPr>
          <w:rFonts w:eastAsia="仿宋_GB2312"/>
          <w:b/>
          <w:sz w:val="32"/>
          <w:szCs w:val="32"/>
        </w:rPr>
        <w:t>第六条</w:t>
      </w:r>
      <w:r>
        <w:rPr>
          <w:rFonts w:eastAsia="仿宋_GB2312"/>
          <w:bCs/>
          <w:sz w:val="32"/>
          <w:szCs w:val="32"/>
        </w:rPr>
        <w:t xml:space="preserve">  各市州、县市区交通运输主管部门负责</w:t>
      </w:r>
      <w:r>
        <w:rPr>
          <w:rFonts w:eastAsia="仿宋_GB2312"/>
          <w:sz w:val="32"/>
          <w:szCs w:val="32"/>
        </w:rPr>
        <w:t>本行政区域内</w:t>
      </w:r>
      <w:r>
        <w:rPr>
          <w:rFonts w:eastAsia="仿宋_GB2312"/>
          <w:bCs/>
          <w:sz w:val="32"/>
          <w:szCs w:val="32"/>
        </w:rPr>
        <w:t>水路运输市场信用管理工作。主要职责是：</w:t>
      </w:r>
    </w:p>
    <w:p>
      <w:pPr>
        <w:spacing w:line="600" w:lineRule="exact"/>
        <w:ind w:firstLine="640" w:firstLineChars="200"/>
        <w:rPr>
          <w:rFonts w:eastAsia="仿宋_GB2312"/>
          <w:sz w:val="32"/>
          <w:szCs w:val="32"/>
        </w:rPr>
      </w:pPr>
      <w:r>
        <w:rPr>
          <w:rFonts w:eastAsia="仿宋_GB2312"/>
          <w:bCs/>
          <w:sz w:val="32"/>
          <w:szCs w:val="32"/>
        </w:rPr>
        <w:t>（一）负责</w:t>
      </w:r>
      <w:r>
        <w:rPr>
          <w:rFonts w:eastAsia="仿宋_GB2312"/>
          <w:sz w:val="32"/>
          <w:szCs w:val="32"/>
        </w:rPr>
        <w:t>指导并督促本行政区域内水路运输市场从业单位按要求进行基本信息归集及动态更新，依经营资质许可权限做好信息审核工作；</w:t>
      </w:r>
    </w:p>
    <w:p>
      <w:pPr>
        <w:spacing w:line="600" w:lineRule="exact"/>
        <w:ind w:firstLine="640" w:firstLineChars="200"/>
        <w:rPr>
          <w:rFonts w:eastAsia="仿宋_GB2312"/>
          <w:sz w:val="32"/>
          <w:szCs w:val="32"/>
        </w:rPr>
      </w:pPr>
      <w:r>
        <w:rPr>
          <w:rFonts w:eastAsia="仿宋_GB2312"/>
          <w:sz w:val="32"/>
          <w:szCs w:val="32"/>
        </w:rPr>
        <w:t>（二）通过日常监管、行政处罚、年度核查和双随机检查等及时发现、确认水路运输市场从业单位的良好行为及</w:t>
      </w:r>
      <w:r>
        <w:rPr>
          <w:rFonts w:eastAsia="仿宋_GB2312"/>
          <w:sz w:val="32"/>
          <w:szCs w:val="32"/>
          <w:lang w:val="en"/>
        </w:rPr>
        <w:t>失信行为</w:t>
      </w:r>
      <w:r>
        <w:rPr>
          <w:rFonts w:eastAsia="仿宋_GB2312"/>
          <w:sz w:val="32"/>
          <w:szCs w:val="32"/>
        </w:rPr>
        <w:t>，并及时录入</w:t>
      </w:r>
      <w:r>
        <w:rPr>
          <w:rFonts w:eastAsia="仿宋_GB2312"/>
          <w:sz w:val="32"/>
          <w:szCs w:val="32"/>
          <w:lang w:val="en"/>
        </w:rPr>
        <w:t>省平台</w:t>
      </w:r>
      <w:r>
        <w:rPr>
          <w:rFonts w:eastAsia="仿宋_GB2312"/>
          <w:sz w:val="32"/>
          <w:szCs w:val="32"/>
        </w:rPr>
        <w:t>。</w:t>
      </w:r>
    </w:p>
    <w:p>
      <w:pPr>
        <w:spacing w:line="600" w:lineRule="exact"/>
        <w:ind w:firstLine="640" w:firstLineChars="200"/>
        <w:rPr>
          <w:rFonts w:eastAsia="仿宋_GB2312"/>
          <w:sz w:val="32"/>
          <w:szCs w:val="32"/>
        </w:rPr>
      </w:pPr>
      <w:r>
        <w:rPr>
          <w:rFonts w:eastAsia="仿宋_GB2312"/>
          <w:sz w:val="32"/>
          <w:szCs w:val="32"/>
        </w:rPr>
        <w:t>（三）在本行政区域内开展水路运输市场信用信息及信用评价等级结果应用，组织实施</w:t>
      </w:r>
      <w:r>
        <w:rPr>
          <w:rFonts w:eastAsia="仿宋_GB2312"/>
          <w:bCs/>
          <w:sz w:val="32"/>
          <w:szCs w:val="32"/>
        </w:rPr>
        <w:t>守信激励和失信惩戒等工作，贯彻落实信用建设相关政策措施</w:t>
      </w:r>
      <w:r>
        <w:rPr>
          <w:rFonts w:eastAsia="仿宋_GB2312"/>
          <w:sz w:val="32"/>
          <w:szCs w:val="32"/>
        </w:rPr>
        <w:t>。</w:t>
      </w:r>
    </w:p>
    <w:p>
      <w:pPr>
        <w:spacing w:line="600" w:lineRule="exact"/>
        <w:ind w:firstLine="640" w:firstLineChars="200"/>
        <w:rPr>
          <w:rFonts w:eastAsia="仿宋_GB2312"/>
          <w:sz w:val="32"/>
          <w:szCs w:val="32"/>
        </w:rPr>
      </w:pPr>
      <w:r>
        <w:rPr>
          <w:rFonts w:eastAsia="仿宋_GB2312"/>
          <w:bCs/>
          <w:sz w:val="32"/>
          <w:szCs w:val="32"/>
        </w:rPr>
        <w:t>各市州、县市区水路运输市场信用管理的</w:t>
      </w:r>
      <w:r>
        <w:rPr>
          <w:rFonts w:eastAsia="仿宋_GB2312"/>
          <w:sz w:val="32"/>
          <w:szCs w:val="32"/>
        </w:rPr>
        <w:t>具体工作可由同级水运事务中心、综合执法机构等职能部门承担。市、县分工由市级交通运输主管部门明确。</w:t>
      </w:r>
    </w:p>
    <w:p>
      <w:pPr>
        <w:spacing w:line="600" w:lineRule="exact"/>
        <w:ind w:firstLine="642" w:firstLineChars="200"/>
        <w:rPr>
          <w:rFonts w:eastAsia="仿宋_GB2312"/>
          <w:sz w:val="32"/>
          <w:szCs w:val="32"/>
        </w:rPr>
      </w:pPr>
      <w:r>
        <w:rPr>
          <w:rFonts w:eastAsia="仿宋_GB2312"/>
          <w:b/>
          <w:sz w:val="32"/>
          <w:szCs w:val="32"/>
        </w:rPr>
        <w:t>第七条</w:t>
      </w:r>
      <w:r>
        <w:rPr>
          <w:rFonts w:eastAsia="仿宋_GB2312"/>
          <w:sz w:val="32"/>
          <w:szCs w:val="32"/>
        </w:rPr>
        <w:t xml:space="preserve">  水路运输市场从业单位的主要职责为：</w:t>
      </w:r>
    </w:p>
    <w:p>
      <w:pPr>
        <w:spacing w:line="600" w:lineRule="exact"/>
        <w:ind w:firstLine="640" w:firstLineChars="200"/>
        <w:rPr>
          <w:rFonts w:eastAsia="仿宋_GB2312"/>
          <w:sz w:val="32"/>
          <w:szCs w:val="32"/>
        </w:rPr>
      </w:pPr>
      <w:r>
        <w:rPr>
          <w:rFonts w:eastAsia="仿宋_GB2312"/>
          <w:sz w:val="32"/>
          <w:szCs w:val="32"/>
        </w:rPr>
        <w:t>（一）申请单位管理账号。</w:t>
      </w:r>
    </w:p>
    <w:p>
      <w:pPr>
        <w:spacing w:line="600" w:lineRule="exact"/>
        <w:ind w:firstLine="640" w:firstLineChars="200"/>
        <w:rPr>
          <w:rFonts w:eastAsia="仿宋_GB2312"/>
          <w:sz w:val="32"/>
          <w:szCs w:val="32"/>
        </w:rPr>
      </w:pPr>
      <w:r>
        <w:rPr>
          <w:rFonts w:eastAsia="仿宋_GB2312"/>
          <w:sz w:val="32"/>
          <w:szCs w:val="32"/>
        </w:rPr>
        <w:t>（二）对省平台中共享归集的基础信用信息予以确认，对不完善、不准确的信息及时申请修正。</w:t>
      </w:r>
    </w:p>
    <w:p>
      <w:pPr>
        <w:spacing w:line="600" w:lineRule="exact"/>
        <w:ind w:firstLine="640" w:firstLineChars="200"/>
        <w:rPr>
          <w:rFonts w:eastAsia="仿宋_GB2312"/>
          <w:sz w:val="32"/>
          <w:szCs w:val="32"/>
        </w:rPr>
      </w:pPr>
      <w:r>
        <w:rPr>
          <w:rFonts w:eastAsia="仿宋_GB2312"/>
          <w:sz w:val="32"/>
          <w:szCs w:val="32"/>
        </w:rPr>
        <w:t>（三）及时接收各级信用评价管理机构推送的信用评价信息，及时对相关信息予以确认或在公示期内提出异议。</w:t>
      </w:r>
    </w:p>
    <w:p>
      <w:pPr>
        <w:spacing w:line="600" w:lineRule="exact"/>
        <w:jc w:val="center"/>
        <w:rPr>
          <w:rFonts w:eastAsia="黑体"/>
          <w:bCs/>
          <w:sz w:val="32"/>
          <w:szCs w:val="32"/>
        </w:rPr>
      </w:pPr>
      <w:r>
        <w:rPr>
          <w:rFonts w:eastAsia="黑体"/>
          <w:bCs/>
          <w:sz w:val="32"/>
          <w:szCs w:val="32"/>
        </w:rPr>
        <w:t>第二章  信用信息管理</w:t>
      </w:r>
    </w:p>
    <w:p>
      <w:pPr>
        <w:spacing w:line="600" w:lineRule="exact"/>
        <w:ind w:firstLine="642" w:firstLineChars="200"/>
        <w:rPr>
          <w:rFonts w:eastAsia="仿宋_GB2312"/>
          <w:sz w:val="32"/>
          <w:szCs w:val="32"/>
        </w:rPr>
      </w:pPr>
      <w:r>
        <w:rPr>
          <w:rFonts w:eastAsia="仿宋_GB2312"/>
          <w:b/>
          <w:sz w:val="32"/>
          <w:szCs w:val="32"/>
        </w:rPr>
        <w:t>第八条</w:t>
      </w:r>
      <w:r>
        <w:rPr>
          <w:rFonts w:eastAsia="仿宋_GB2312"/>
          <w:sz w:val="32"/>
          <w:szCs w:val="32"/>
        </w:rPr>
        <w:t xml:space="preserve">  水路运输市场信用信息是指各水路运输市场从业单位在履行职责、提供服务过程中产生的反映其信用状况的信息，主要包括基本信息、良好行为信息、失信行为信息、信用评价信息等。</w:t>
      </w:r>
    </w:p>
    <w:p>
      <w:pPr>
        <w:spacing w:line="600" w:lineRule="exact"/>
        <w:ind w:firstLine="642" w:firstLineChars="200"/>
        <w:rPr>
          <w:rFonts w:eastAsia="仿宋_GB2312"/>
          <w:sz w:val="32"/>
          <w:szCs w:val="32"/>
        </w:rPr>
      </w:pPr>
      <w:r>
        <w:rPr>
          <w:rFonts w:eastAsia="仿宋_GB2312"/>
          <w:b/>
          <w:sz w:val="32"/>
          <w:szCs w:val="32"/>
        </w:rPr>
        <w:t>第九条</w:t>
      </w:r>
      <w:r>
        <w:rPr>
          <w:rFonts w:eastAsia="仿宋_GB2312"/>
          <w:sz w:val="32"/>
          <w:szCs w:val="32"/>
        </w:rPr>
        <w:t xml:space="preserve">  从业单位的基本信息包括下列内容：</w:t>
      </w:r>
    </w:p>
    <w:p>
      <w:pPr>
        <w:spacing w:line="600" w:lineRule="exact"/>
        <w:ind w:firstLine="640" w:firstLineChars="200"/>
        <w:rPr>
          <w:rFonts w:eastAsia="仿宋_GB2312"/>
          <w:sz w:val="32"/>
          <w:szCs w:val="32"/>
        </w:rPr>
      </w:pPr>
      <w:r>
        <w:rPr>
          <w:rFonts w:eastAsia="仿宋_GB2312"/>
          <w:sz w:val="32"/>
          <w:szCs w:val="32"/>
        </w:rPr>
        <w:t>（一）单位名称、法定代表人、统一社会信用代码等登记注册信息；</w:t>
      </w:r>
    </w:p>
    <w:p>
      <w:pPr>
        <w:spacing w:line="600" w:lineRule="exact"/>
        <w:ind w:firstLine="640" w:firstLineChars="200"/>
        <w:rPr>
          <w:rFonts w:eastAsia="仿宋_GB2312"/>
          <w:sz w:val="32"/>
          <w:szCs w:val="32"/>
        </w:rPr>
      </w:pPr>
      <w:r>
        <w:rPr>
          <w:rFonts w:eastAsia="仿宋_GB2312"/>
          <w:sz w:val="32"/>
          <w:szCs w:val="32"/>
        </w:rPr>
        <w:t>（二）取得的水路运输市场经营资质等行政许可信息；</w:t>
      </w:r>
    </w:p>
    <w:p>
      <w:pPr>
        <w:spacing w:line="600" w:lineRule="exact"/>
        <w:ind w:firstLine="640" w:firstLineChars="200"/>
        <w:rPr>
          <w:rFonts w:eastAsia="仿宋_GB2312"/>
          <w:sz w:val="32"/>
          <w:szCs w:val="32"/>
        </w:rPr>
      </w:pPr>
      <w:r>
        <w:rPr>
          <w:rFonts w:eastAsia="仿宋_GB2312"/>
          <w:sz w:val="32"/>
          <w:szCs w:val="32"/>
        </w:rPr>
        <w:t>（三）单位主要负责人、专职管理人员</w:t>
      </w:r>
      <w:r>
        <w:rPr>
          <w:rFonts w:eastAsia="仿宋_GB2312"/>
          <w:sz w:val="32"/>
          <w:szCs w:val="32"/>
          <w:lang w:val="en"/>
        </w:rPr>
        <w:t>,以及</w:t>
      </w:r>
      <w:r>
        <w:rPr>
          <w:rFonts w:eastAsia="仿宋_GB2312"/>
          <w:sz w:val="32"/>
          <w:szCs w:val="32"/>
        </w:rPr>
        <w:t>依法取得有关水路运输从业资格证书或者通过考核的人员信息；</w:t>
      </w:r>
    </w:p>
    <w:p>
      <w:pPr>
        <w:spacing w:line="600" w:lineRule="exact"/>
        <w:ind w:firstLine="640" w:firstLineChars="200"/>
        <w:rPr>
          <w:rFonts w:eastAsia="仿宋_GB2312"/>
          <w:sz w:val="32"/>
          <w:szCs w:val="32"/>
        </w:rPr>
      </w:pPr>
      <w:r>
        <w:rPr>
          <w:rFonts w:eastAsia="仿宋_GB2312"/>
          <w:sz w:val="32"/>
          <w:szCs w:val="32"/>
        </w:rPr>
        <w:t>（四）其他与信用相关反映本单位基本情况的信息。</w:t>
      </w:r>
    </w:p>
    <w:p>
      <w:pPr>
        <w:spacing w:line="600" w:lineRule="exact"/>
        <w:ind w:firstLine="640" w:firstLineChars="200"/>
        <w:rPr>
          <w:rFonts w:eastAsia="仿宋_GB2312"/>
          <w:sz w:val="32"/>
          <w:szCs w:val="32"/>
        </w:rPr>
      </w:pPr>
      <w:r>
        <w:rPr>
          <w:rFonts w:eastAsia="仿宋_GB2312"/>
          <w:sz w:val="32"/>
          <w:szCs w:val="32"/>
        </w:rPr>
        <w:t>从业人员的基本信息包括下列内容:</w:t>
      </w:r>
    </w:p>
    <w:p>
      <w:pPr>
        <w:spacing w:line="600" w:lineRule="exact"/>
        <w:ind w:firstLine="640" w:firstLineChars="200"/>
        <w:rPr>
          <w:rFonts w:eastAsia="仿宋_GB2312"/>
          <w:sz w:val="32"/>
          <w:szCs w:val="32"/>
        </w:rPr>
      </w:pPr>
      <w:r>
        <w:rPr>
          <w:rFonts w:eastAsia="仿宋_GB2312"/>
          <w:sz w:val="32"/>
          <w:szCs w:val="32"/>
        </w:rPr>
        <w:t>（一）姓名、身份证件号等个人信息;</w:t>
      </w:r>
    </w:p>
    <w:p>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二</w:t>
      </w:r>
      <w:r>
        <w:rPr>
          <w:rFonts w:eastAsia="仿宋_GB2312"/>
          <w:sz w:val="32"/>
          <w:szCs w:val="32"/>
        </w:rPr>
        <w:t>）职称职业资格状况、从业资格证书及其注册信息;</w:t>
      </w:r>
    </w:p>
    <w:p>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三</w:t>
      </w:r>
      <w:r>
        <w:rPr>
          <w:rFonts w:eastAsia="仿宋_GB2312"/>
          <w:sz w:val="32"/>
          <w:szCs w:val="32"/>
        </w:rPr>
        <w:t>）从业经历信息;</w:t>
      </w:r>
    </w:p>
    <w:p>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四</w:t>
      </w:r>
      <w:r>
        <w:rPr>
          <w:rFonts w:eastAsia="仿宋_GB2312"/>
          <w:sz w:val="32"/>
          <w:szCs w:val="32"/>
        </w:rPr>
        <w:t>）其他与信用相关反映从业人员基本情况的相关信息。</w:t>
      </w:r>
    </w:p>
    <w:p>
      <w:pPr>
        <w:spacing w:line="600" w:lineRule="exact"/>
        <w:ind w:firstLine="642" w:firstLineChars="200"/>
        <w:rPr>
          <w:rFonts w:eastAsia="仿宋_GB2312"/>
          <w:sz w:val="32"/>
          <w:szCs w:val="32"/>
        </w:rPr>
      </w:pPr>
      <w:r>
        <w:rPr>
          <w:rFonts w:eastAsia="仿宋_GB2312"/>
          <w:b/>
          <w:sz w:val="32"/>
          <w:szCs w:val="32"/>
        </w:rPr>
        <w:t xml:space="preserve">第十条 </w:t>
      </w:r>
      <w:r>
        <w:rPr>
          <w:rFonts w:eastAsia="仿宋_GB2312"/>
          <w:sz w:val="32"/>
          <w:szCs w:val="32"/>
        </w:rPr>
        <w:t xml:space="preserve"> 从业单位及从业人员的良好行为信息是指在经营过程中获得的表彰奖励信息；失信行为信息是指在经营过程中违反有关法律、法规、规章等规定接受的处理或处罚信息。</w:t>
      </w:r>
    </w:p>
    <w:p>
      <w:pPr>
        <w:spacing w:line="600" w:lineRule="exact"/>
        <w:ind w:firstLine="642" w:firstLineChars="200"/>
        <w:rPr>
          <w:rFonts w:eastAsia="仿宋_GB2312"/>
          <w:sz w:val="32"/>
          <w:szCs w:val="32"/>
        </w:rPr>
      </w:pPr>
      <w:r>
        <w:rPr>
          <w:rFonts w:eastAsia="仿宋_GB2312"/>
          <w:b/>
          <w:sz w:val="32"/>
          <w:szCs w:val="32"/>
        </w:rPr>
        <w:t>第十一条</w:t>
      </w:r>
      <w:r>
        <w:rPr>
          <w:rFonts w:eastAsia="仿宋_GB2312"/>
          <w:sz w:val="32"/>
          <w:szCs w:val="32"/>
        </w:rPr>
        <w:t xml:space="preserve">  从业单位有以下情形之一的，认定为严重失信行为：</w:t>
      </w:r>
    </w:p>
    <w:p>
      <w:pPr>
        <w:spacing w:line="600" w:lineRule="exact"/>
        <w:ind w:firstLine="640" w:firstLineChars="200"/>
        <w:rPr>
          <w:rFonts w:eastAsia="仿宋_GB2312"/>
          <w:sz w:val="32"/>
          <w:szCs w:val="32"/>
        </w:rPr>
      </w:pPr>
      <w:r>
        <w:rPr>
          <w:rFonts w:eastAsia="仿宋_GB2312"/>
          <w:sz w:val="32"/>
          <w:szCs w:val="32"/>
        </w:rPr>
        <w:t>（一）违反相关法律法规，由相关交通运输主管部门撤销相关经营资格或吊销相关许可证件的；</w:t>
      </w:r>
    </w:p>
    <w:p>
      <w:pPr>
        <w:spacing w:line="600" w:lineRule="exact"/>
        <w:ind w:firstLine="640" w:firstLineChars="200"/>
        <w:rPr>
          <w:rFonts w:eastAsia="仿宋_GB2312"/>
          <w:sz w:val="32"/>
          <w:szCs w:val="32"/>
        </w:rPr>
      </w:pPr>
      <w:r>
        <w:rPr>
          <w:rFonts w:eastAsia="仿宋_GB2312"/>
          <w:sz w:val="32"/>
          <w:szCs w:val="32"/>
        </w:rPr>
        <w:t>（二）违反相关法律法规，由相关交通运输主管部门责令停止经营、停产停业整顿的；</w:t>
      </w:r>
    </w:p>
    <w:p>
      <w:pPr>
        <w:spacing w:line="600" w:lineRule="exact"/>
        <w:ind w:firstLine="640" w:firstLineChars="200"/>
        <w:rPr>
          <w:rFonts w:eastAsia="仿宋_GB2312"/>
          <w:sz w:val="32"/>
          <w:szCs w:val="32"/>
        </w:rPr>
      </w:pPr>
      <w:r>
        <w:rPr>
          <w:rFonts w:eastAsia="仿宋_GB2312"/>
          <w:sz w:val="32"/>
          <w:szCs w:val="32"/>
        </w:rPr>
        <w:t>（三）被纳入交通运输安全生产“黑名单”的；</w:t>
      </w:r>
    </w:p>
    <w:p>
      <w:pPr>
        <w:spacing w:line="600" w:lineRule="exact"/>
        <w:ind w:firstLine="640" w:firstLineChars="200"/>
        <w:rPr>
          <w:rFonts w:eastAsia="仿宋_GB2312"/>
          <w:sz w:val="32"/>
          <w:szCs w:val="32"/>
        </w:rPr>
      </w:pPr>
      <w:r>
        <w:rPr>
          <w:rFonts w:eastAsia="仿宋_GB2312"/>
          <w:sz w:val="32"/>
          <w:szCs w:val="32"/>
        </w:rPr>
        <w:t>（四）在申请交通运输有关行政许可、财政补贴等过程中提供虚假材料、谎报瞒报重要事项的；</w:t>
      </w:r>
    </w:p>
    <w:p>
      <w:pPr>
        <w:spacing w:line="600" w:lineRule="exact"/>
        <w:ind w:firstLine="640" w:firstLineChars="200"/>
        <w:rPr>
          <w:rFonts w:eastAsia="仿宋_GB2312"/>
          <w:sz w:val="32"/>
          <w:szCs w:val="32"/>
        </w:rPr>
      </w:pPr>
      <w:r>
        <w:rPr>
          <w:rFonts w:eastAsia="仿宋_GB2312"/>
          <w:sz w:val="32"/>
          <w:szCs w:val="32"/>
        </w:rPr>
        <w:t>（五）交通运输主管部门认定的其他严重失信行为。</w:t>
      </w:r>
    </w:p>
    <w:p>
      <w:pPr>
        <w:spacing w:line="600" w:lineRule="exact"/>
        <w:ind w:firstLine="640" w:firstLineChars="200"/>
        <w:rPr>
          <w:rFonts w:eastAsia="仿宋_GB2312"/>
          <w:sz w:val="32"/>
          <w:szCs w:val="32"/>
        </w:rPr>
      </w:pPr>
      <w:r>
        <w:rPr>
          <w:rFonts w:eastAsia="仿宋_GB2312"/>
          <w:sz w:val="32"/>
          <w:szCs w:val="32"/>
        </w:rPr>
        <w:t>从业人员有以下情形之一的，认定为严重失信行为:</w:t>
      </w:r>
    </w:p>
    <w:p>
      <w:pPr>
        <w:spacing w:line="600" w:lineRule="exact"/>
        <w:ind w:firstLine="640" w:firstLineChars="200"/>
        <w:rPr>
          <w:rFonts w:eastAsia="仿宋_GB2312"/>
          <w:sz w:val="32"/>
          <w:szCs w:val="32"/>
        </w:rPr>
      </w:pPr>
      <w:r>
        <w:rPr>
          <w:rFonts w:eastAsia="仿宋_GB2312"/>
          <w:sz w:val="32"/>
          <w:szCs w:val="32"/>
        </w:rPr>
        <w:t>（一）伪造、变造、买卖、转借、涂改从业资格证书的;</w:t>
      </w:r>
    </w:p>
    <w:p>
      <w:pPr>
        <w:spacing w:line="600" w:lineRule="exact"/>
        <w:ind w:firstLine="640" w:firstLineChars="200"/>
        <w:rPr>
          <w:rFonts w:eastAsia="仿宋_GB2312"/>
          <w:sz w:val="32"/>
          <w:szCs w:val="32"/>
        </w:rPr>
      </w:pPr>
      <w:r>
        <w:rPr>
          <w:rFonts w:eastAsia="仿宋_GB2312"/>
          <w:sz w:val="32"/>
          <w:szCs w:val="32"/>
        </w:rPr>
        <w:t>（二）未取得相应种类的从业资格证书上岗作业的;</w:t>
      </w:r>
    </w:p>
    <w:p>
      <w:pPr>
        <w:spacing w:line="600" w:lineRule="exact"/>
        <w:ind w:firstLine="640" w:firstLineChars="200"/>
        <w:rPr>
          <w:rFonts w:eastAsia="仿宋_GB2312"/>
          <w:sz w:val="32"/>
          <w:szCs w:val="32"/>
        </w:rPr>
      </w:pPr>
      <w:r>
        <w:rPr>
          <w:rFonts w:eastAsia="仿宋_GB2312"/>
          <w:sz w:val="32"/>
          <w:szCs w:val="32"/>
        </w:rPr>
        <w:t>（三）在参加相关从业资格考核中存在舞弊情形的;</w:t>
      </w:r>
    </w:p>
    <w:p>
      <w:pPr>
        <w:spacing w:line="600" w:lineRule="exact"/>
        <w:ind w:firstLine="640" w:firstLineChars="200"/>
        <w:rPr>
          <w:rFonts w:eastAsia="仿宋_GB2312"/>
          <w:sz w:val="32"/>
          <w:szCs w:val="32"/>
        </w:rPr>
      </w:pPr>
      <w:r>
        <w:rPr>
          <w:rFonts w:eastAsia="仿宋_GB2312"/>
          <w:sz w:val="32"/>
          <w:szCs w:val="32"/>
        </w:rPr>
        <w:t>（四）因从业人员的主要责任，从业单位被交通运输管理部门撤销相关经营资格或吊销相关许可证件的;</w:t>
      </w:r>
    </w:p>
    <w:p>
      <w:pPr>
        <w:spacing w:line="600" w:lineRule="exact"/>
        <w:ind w:firstLine="640" w:firstLineChars="200"/>
        <w:rPr>
          <w:rFonts w:eastAsia="仿宋_GB2312"/>
          <w:sz w:val="32"/>
          <w:szCs w:val="32"/>
        </w:rPr>
      </w:pPr>
      <w:r>
        <w:rPr>
          <w:rFonts w:eastAsia="仿宋_GB2312"/>
          <w:sz w:val="32"/>
          <w:szCs w:val="32"/>
        </w:rPr>
        <w:t>（五）交通运输主管部门认定的其他严重失信行为。</w:t>
      </w:r>
    </w:p>
    <w:p>
      <w:pPr>
        <w:spacing w:line="600" w:lineRule="exact"/>
        <w:ind w:firstLine="642" w:firstLineChars="200"/>
        <w:rPr>
          <w:rFonts w:eastAsia="仿宋_GB2312"/>
          <w:sz w:val="32"/>
          <w:szCs w:val="32"/>
        </w:rPr>
      </w:pPr>
      <w:r>
        <w:rPr>
          <w:rFonts w:eastAsia="仿宋_GB2312"/>
          <w:b/>
          <w:sz w:val="32"/>
          <w:szCs w:val="32"/>
        </w:rPr>
        <w:t>第十二条</w:t>
      </w:r>
      <w:r>
        <w:rPr>
          <w:rFonts w:eastAsia="仿宋_GB2312"/>
          <w:sz w:val="32"/>
          <w:szCs w:val="32"/>
        </w:rPr>
        <w:t xml:space="preserve">  </w:t>
      </w:r>
      <w:r>
        <w:rPr>
          <w:rFonts w:eastAsia="仿宋_GB2312"/>
          <w:sz w:val="32"/>
          <w:szCs w:val="32"/>
          <w:lang w:val="en"/>
        </w:rPr>
        <w:t>省平台</w:t>
      </w:r>
      <w:r>
        <w:rPr>
          <w:rFonts w:eastAsia="仿宋_GB2312"/>
          <w:sz w:val="32"/>
          <w:szCs w:val="32"/>
        </w:rPr>
        <w:t>是全省水路运输市场信用信息管理的统一平台。省内各水路运输市场从业单位及有关从业人员，县级以上交通运输主管部门应当使用</w:t>
      </w:r>
      <w:r>
        <w:rPr>
          <w:rFonts w:eastAsia="仿宋_GB2312"/>
          <w:sz w:val="32"/>
          <w:szCs w:val="32"/>
          <w:lang w:val="en"/>
        </w:rPr>
        <w:t>省平台</w:t>
      </w:r>
      <w:r>
        <w:rPr>
          <w:rFonts w:eastAsia="仿宋_GB2312"/>
          <w:sz w:val="32"/>
          <w:szCs w:val="32"/>
        </w:rPr>
        <w:t>进行信用信息归集、共享、评价、应用等工作。</w:t>
      </w:r>
    </w:p>
    <w:p>
      <w:pPr>
        <w:spacing w:line="600" w:lineRule="exact"/>
        <w:ind w:firstLine="642" w:firstLineChars="200"/>
        <w:rPr>
          <w:rFonts w:eastAsia="仿宋_GB2312"/>
          <w:sz w:val="32"/>
          <w:szCs w:val="32"/>
        </w:rPr>
      </w:pPr>
      <w:r>
        <w:rPr>
          <w:rFonts w:eastAsia="仿宋_GB2312"/>
          <w:b/>
          <w:bCs/>
          <w:sz w:val="32"/>
          <w:szCs w:val="32"/>
        </w:rPr>
        <w:t>第十三条</w:t>
      </w:r>
      <w:r>
        <w:rPr>
          <w:rFonts w:eastAsia="仿宋_GB2312"/>
          <w:sz w:val="32"/>
          <w:szCs w:val="32"/>
        </w:rPr>
        <w:t xml:space="preserve">  </w:t>
      </w:r>
      <w:r>
        <w:rPr>
          <w:rFonts w:eastAsia="仿宋_GB2312"/>
          <w:spacing w:val="-2"/>
          <w:sz w:val="32"/>
          <w:szCs w:val="32"/>
        </w:rPr>
        <w:t>水路运输市场信用信息采取如下方式进行采集：</w:t>
      </w:r>
    </w:p>
    <w:p>
      <w:pPr>
        <w:spacing w:line="600" w:lineRule="exact"/>
        <w:ind w:firstLine="640" w:firstLineChars="200"/>
        <w:rPr>
          <w:rFonts w:eastAsia="仿宋_GB2312"/>
          <w:sz w:val="32"/>
          <w:szCs w:val="32"/>
        </w:rPr>
      </w:pPr>
      <w:r>
        <w:rPr>
          <w:rFonts w:eastAsia="仿宋_GB2312"/>
          <w:sz w:val="32"/>
          <w:szCs w:val="32"/>
        </w:rPr>
        <w:t>（一）基本信息主要通过相关省级业务系统数据共享归集到省平台，实现自动采集。暂不具备条件的，由水路运输市场从业单位在省平台进行填报。</w:t>
      </w:r>
    </w:p>
    <w:p>
      <w:pPr>
        <w:spacing w:line="600" w:lineRule="exact"/>
        <w:ind w:firstLine="640" w:firstLineChars="200"/>
        <w:rPr>
          <w:rFonts w:eastAsia="仿宋_GB2312"/>
          <w:sz w:val="32"/>
          <w:szCs w:val="32"/>
        </w:rPr>
      </w:pPr>
      <w:r>
        <w:rPr>
          <w:rFonts w:eastAsia="仿宋_GB2312"/>
          <w:sz w:val="32"/>
          <w:szCs w:val="32"/>
        </w:rPr>
        <w:t>（二）良好、失信行为信息主要通过相关省级业务系统数据共享归集到省平台，实现自动采集。暂不具备条件的，由相应的交通运输主管部门在相关信息产生后的3个工作日内完成采集录入。</w:t>
      </w:r>
    </w:p>
    <w:p>
      <w:pPr>
        <w:spacing w:line="600" w:lineRule="exact"/>
        <w:ind w:firstLine="640" w:firstLineChars="200"/>
        <w:rPr>
          <w:rFonts w:eastAsia="仿宋_GB2312"/>
          <w:sz w:val="32"/>
          <w:szCs w:val="32"/>
        </w:rPr>
      </w:pPr>
      <w:r>
        <w:rPr>
          <w:rFonts w:eastAsia="仿宋_GB2312"/>
          <w:sz w:val="32"/>
          <w:szCs w:val="32"/>
        </w:rPr>
        <w:t>（三）信用评价等级结果（含定期、动态评价等级结果）自省级交通运输主管部门评定并发文后实时发布。</w:t>
      </w:r>
    </w:p>
    <w:p>
      <w:pPr>
        <w:spacing w:line="600" w:lineRule="exact"/>
        <w:ind w:firstLine="642" w:firstLineChars="200"/>
        <w:rPr>
          <w:rFonts w:eastAsia="仿宋_GB2312"/>
          <w:sz w:val="32"/>
          <w:szCs w:val="32"/>
        </w:rPr>
      </w:pPr>
      <w:r>
        <w:rPr>
          <w:rFonts w:eastAsia="仿宋_GB2312"/>
          <w:b/>
          <w:bCs/>
          <w:sz w:val="32"/>
          <w:szCs w:val="32"/>
        </w:rPr>
        <w:t xml:space="preserve">第十四条 </w:t>
      </w:r>
      <w:r>
        <w:rPr>
          <w:rFonts w:eastAsia="仿宋_GB2312"/>
          <w:sz w:val="32"/>
          <w:szCs w:val="32"/>
        </w:rPr>
        <w:t xml:space="preserve"> 水路运输市场从业单位补充完善的基本信息实行“审核发布制”，由负责经营资质许可的交通运输主管部门在省平台进行审核及发布；失信、良好行为信息按照“谁产生、谁负责，谁认定、谁负责”的原则，由信息发布单位对信息的真实性、准确性负责。</w:t>
      </w:r>
    </w:p>
    <w:p>
      <w:pPr>
        <w:spacing w:line="600" w:lineRule="exact"/>
        <w:ind w:firstLine="642" w:firstLineChars="200"/>
        <w:rPr>
          <w:rFonts w:eastAsia="仿宋_GB2312"/>
          <w:sz w:val="32"/>
          <w:szCs w:val="32"/>
        </w:rPr>
      </w:pPr>
      <w:r>
        <w:rPr>
          <w:rFonts w:eastAsia="仿宋_GB2312"/>
          <w:b/>
          <w:bCs/>
          <w:sz w:val="32"/>
          <w:szCs w:val="32"/>
        </w:rPr>
        <w:t>第十五条</w:t>
      </w:r>
      <w:r>
        <w:rPr>
          <w:rFonts w:eastAsia="仿宋_GB2312"/>
          <w:sz w:val="32"/>
          <w:szCs w:val="32"/>
        </w:rPr>
        <w:t xml:space="preserve">  信用信息公开期限按照下列规定设定：</w:t>
      </w:r>
    </w:p>
    <w:p>
      <w:pPr>
        <w:spacing w:line="600" w:lineRule="exact"/>
        <w:ind w:firstLine="640" w:firstLineChars="200"/>
        <w:rPr>
          <w:rFonts w:eastAsia="仿宋_GB2312"/>
          <w:sz w:val="32"/>
          <w:szCs w:val="32"/>
        </w:rPr>
      </w:pPr>
      <w:r>
        <w:rPr>
          <w:rFonts w:eastAsia="仿宋_GB2312"/>
          <w:sz w:val="32"/>
          <w:szCs w:val="32"/>
        </w:rPr>
        <w:t>（一）基本信息、信用评价信息永久公开。</w:t>
      </w:r>
    </w:p>
    <w:p>
      <w:pPr>
        <w:spacing w:line="600" w:lineRule="exact"/>
        <w:ind w:firstLine="640" w:firstLineChars="200"/>
        <w:rPr>
          <w:rFonts w:eastAsia="仿宋_GB2312"/>
          <w:sz w:val="32"/>
          <w:szCs w:val="32"/>
        </w:rPr>
      </w:pPr>
      <w:r>
        <w:rPr>
          <w:rFonts w:eastAsia="仿宋_GB2312"/>
          <w:sz w:val="32"/>
          <w:szCs w:val="32"/>
        </w:rPr>
        <w:t>（二）表彰奖励信息、严重失信行为信息公开期限为3年，期满后自动转为系统档案信息。</w:t>
      </w:r>
    </w:p>
    <w:p>
      <w:pPr>
        <w:spacing w:line="600" w:lineRule="exact"/>
        <w:ind w:firstLine="640" w:firstLineChars="200"/>
        <w:rPr>
          <w:rFonts w:eastAsia="仿宋_GB2312"/>
          <w:sz w:val="32"/>
          <w:szCs w:val="32"/>
        </w:rPr>
      </w:pPr>
      <w:r>
        <w:rPr>
          <w:rFonts w:eastAsia="仿宋_GB2312"/>
          <w:sz w:val="32"/>
          <w:szCs w:val="32"/>
        </w:rPr>
        <w:t>（三）一般失信行为信息公开期限为1年，期满后自动转为系统档案信息。</w:t>
      </w:r>
    </w:p>
    <w:p>
      <w:pPr>
        <w:spacing w:line="600" w:lineRule="exact"/>
        <w:ind w:firstLine="640" w:firstLineChars="200"/>
        <w:rPr>
          <w:rFonts w:eastAsia="仿宋_GB2312"/>
          <w:spacing w:val="-2"/>
          <w:sz w:val="32"/>
          <w:szCs w:val="32"/>
        </w:rPr>
      </w:pPr>
      <w:r>
        <w:rPr>
          <w:rFonts w:eastAsia="仿宋_GB2312"/>
          <w:sz w:val="32"/>
          <w:szCs w:val="32"/>
        </w:rPr>
        <w:t>（四）行政处罚未满的失信行为信息，延长至行政处罚期</w:t>
      </w:r>
      <w:r>
        <w:rPr>
          <w:rFonts w:eastAsia="仿宋_GB2312"/>
          <w:spacing w:val="-2"/>
          <w:sz w:val="32"/>
          <w:szCs w:val="32"/>
        </w:rPr>
        <w:t>满；行政处罚未执行的失信行为信息，延长至行政处罚执行结束。</w:t>
      </w:r>
    </w:p>
    <w:p>
      <w:pPr>
        <w:spacing w:line="600" w:lineRule="exact"/>
        <w:ind w:firstLine="640" w:firstLineChars="200"/>
        <w:rPr>
          <w:rFonts w:eastAsia="仿宋_GB2312"/>
          <w:sz w:val="32"/>
          <w:szCs w:val="32"/>
        </w:rPr>
      </w:pPr>
      <w:r>
        <w:rPr>
          <w:rFonts w:eastAsia="仿宋_GB2312"/>
          <w:sz w:val="32"/>
          <w:szCs w:val="32"/>
        </w:rPr>
        <w:t>上述期限自相应行为认定之日或做出相应决定之日起计算。</w:t>
      </w:r>
    </w:p>
    <w:p>
      <w:pPr>
        <w:spacing w:line="600" w:lineRule="exact"/>
        <w:ind w:firstLine="642" w:firstLineChars="200"/>
        <w:rPr>
          <w:rFonts w:eastAsia="仿宋_GB2312"/>
          <w:sz w:val="32"/>
          <w:szCs w:val="32"/>
        </w:rPr>
      </w:pPr>
      <w:r>
        <w:rPr>
          <w:rFonts w:eastAsia="仿宋_GB2312"/>
          <w:b/>
          <w:bCs/>
          <w:sz w:val="32"/>
          <w:szCs w:val="32"/>
        </w:rPr>
        <w:t xml:space="preserve">第十六条  </w:t>
      </w:r>
      <w:r>
        <w:rPr>
          <w:rFonts w:eastAsia="仿宋_GB2312"/>
          <w:sz w:val="32"/>
          <w:szCs w:val="32"/>
        </w:rPr>
        <w:t>“信用交通</w:t>
      </w:r>
      <w:r>
        <w:rPr>
          <w:rFonts w:hint="eastAsia" w:ascii="仿宋_GB2312" w:eastAsia="仿宋_GB2312"/>
          <w:sz w:val="32"/>
          <w:szCs w:val="32"/>
        </w:rPr>
        <w:t>·</w:t>
      </w:r>
      <w:r>
        <w:rPr>
          <w:rFonts w:eastAsia="仿宋_GB2312"/>
          <w:sz w:val="32"/>
          <w:szCs w:val="32"/>
        </w:rPr>
        <w:t>湖南”公示网提供我省注册水路运输市场从业单位及人员信用信息的公开及一站式查询服务。“信用交通</w:t>
      </w:r>
      <w:r>
        <w:rPr>
          <w:rFonts w:hint="eastAsia" w:ascii="仿宋_GB2312" w:eastAsia="仿宋_GB2312"/>
          <w:sz w:val="32"/>
          <w:szCs w:val="32"/>
        </w:rPr>
        <w:t>·</w:t>
      </w:r>
      <w:r>
        <w:rPr>
          <w:rFonts w:eastAsia="仿宋_GB2312"/>
          <w:sz w:val="32"/>
          <w:szCs w:val="32"/>
        </w:rPr>
        <w:t>湖南”公示网以及交通运输部水路运输市场信用信息系统（以下简称“部平台”）发布的水路运输市场从业单位及人员信用信息，可作为我省交通运输主管部门开展水路运输行政许可及审批的证据资料。</w:t>
      </w:r>
    </w:p>
    <w:p>
      <w:pPr>
        <w:spacing w:line="600" w:lineRule="exact"/>
        <w:rPr>
          <w:rFonts w:eastAsia="仿宋_GB2312"/>
          <w:sz w:val="32"/>
          <w:szCs w:val="32"/>
        </w:rPr>
      </w:pPr>
    </w:p>
    <w:p>
      <w:pPr>
        <w:spacing w:line="600" w:lineRule="exact"/>
        <w:jc w:val="center"/>
        <w:rPr>
          <w:rFonts w:eastAsia="黑体"/>
          <w:bCs/>
          <w:sz w:val="32"/>
          <w:szCs w:val="32"/>
        </w:rPr>
      </w:pPr>
      <w:r>
        <w:rPr>
          <w:rFonts w:eastAsia="黑体"/>
          <w:bCs/>
          <w:sz w:val="32"/>
          <w:szCs w:val="32"/>
        </w:rPr>
        <w:t>第三章  信用评价及结果应用</w:t>
      </w:r>
    </w:p>
    <w:p>
      <w:pPr>
        <w:spacing w:line="600" w:lineRule="exact"/>
        <w:ind w:firstLine="642" w:firstLineChars="200"/>
        <w:rPr>
          <w:rFonts w:eastAsia="仿宋_GB2312"/>
          <w:sz w:val="32"/>
          <w:szCs w:val="32"/>
        </w:rPr>
      </w:pPr>
      <w:r>
        <w:rPr>
          <w:rFonts w:eastAsia="仿宋_GB2312"/>
          <w:b/>
          <w:bCs/>
          <w:sz w:val="32"/>
          <w:szCs w:val="32"/>
        </w:rPr>
        <w:t>第十七条</w:t>
      </w:r>
      <w:r>
        <w:rPr>
          <w:rFonts w:eastAsia="仿宋_GB2312"/>
          <w:sz w:val="32"/>
          <w:szCs w:val="32"/>
        </w:rPr>
        <w:t xml:space="preserve">  省交通运输厅组织开展全省水路运输市场信用评价工作，县市区以上交通运输主管部门具体实施本行政区域水路运输市场从业单位的信用评价工作。从业人员的良好行为、失信行为归入其从业单位一并评价。当年新取得经营许可或者外省转入本辖区不足3个月的从业单位，不纳入当年信用评价对象。</w:t>
      </w:r>
    </w:p>
    <w:p>
      <w:pPr>
        <w:spacing w:line="600" w:lineRule="exact"/>
        <w:ind w:firstLine="642" w:firstLineChars="200"/>
        <w:rPr>
          <w:rFonts w:eastAsia="仿宋_GB2312"/>
          <w:sz w:val="32"/>
          <w:szCs w:val="32"/>
          <w:shd w:val="clear" w:color="auto" w:fill="FFFFFF"/>
        </w:rPr>
      </w:pPr>
      <w:r>
        <w:rPr>
          <w:rFonts w:eastAsia="仿宋_GB2312"/>
          <w:b/>
          <w:bCs/>
          <w:sz w:val="32"/>
          <w:szCs w:val="32"/>
        </w:rPr>
        <w:t xml:space="preserve">第十八条 </w:t>
      </w:r>
      <w:r>
        <w:rPr>
          <w:rFonts w:eastAsia="仿宋_GB2312"/>
          <w:sz w:val="32"/>
          <w:szCs w:val="32"/>
        </w:rPr>
        <w:t xml:space="preserve"> 信用评价工作实行定期评价与动态评价相结合的方式。其中定期评价周期为1年，</w:t>
      </w:r>
      <w:r>
        <w:rPr>
          <w:rFonts w:eastAsia="仿宋_GB2312"/>
          <w:sz w:val="32"/>
          <w:szCs w:val="32"/>
          <w:shd w:val="clear" w:color="auto" w:fill="FFFFFF"/>
        </w:rPr>
        <w:t>由各级交通运输部门（含水运事务中心、综合执法机构）对</w:t>
      </w:r>
      <w:r>
        <w:rPr>
          <w:rFonts w:eastAsia="仿宋_GB2312"/>
          <w:sz w:val="32"/>
          <w:szCs w:val="32"/>
        </w:rPr>
        <w:t>水路运输市场从业单位</w:t>
      </w:r>
      <w:r>
        <w:rPr>
          <w:rFonts w:eastAsia="仿宋_GB2312"/>
          <w:sz w:val="32"/>
          <w:szCs w:val="32"/>
          <w:shd w:val="clear" w:color="auto" w:fill="FFFFFF"/>
        </w:rPr>
        <w:t>上一年度（每年1月1日至12月31日）的从业行为进行综合评价;动态评价是指交通运输部门对存在严重</w:t>
      </w:r>
      <w:r>
        <w:rPr>
          <w:rFonts w:eastAsia="仿宋_GB2312"/>
          <w:sz w:val="32"/>
          <w:szCs w:val="32"/>
          <w:shd w:val="clear" w:color="auto" w:fill="FFFFFF"/>
          <w:lang w:val="en"/>
        </w:rPr>
        <w:t>失信行为</w:t>
      </w:r>
      <w:r>
        <w:rPr>
          <w:rFonts w:eastAsia="仿宋_GB2312"/>
          <w:sz w:val="32"/>
          <w:szCs w:val="32"/>
          <w:shd w:val="clear" w:color="auto" w:fill="FFFFFF"/>
        </w:rPr>
        <w:t>的</w:t>
      </w:r>
      <w:r>
        <w:rPr>
          <w:rFonts w:eastAsia="仿宋_GB2312"/>
          <w:sz w:val="32"/>
          <w:szCs w:val="32"/>
        </w:rPr>
        <w:t>水路运输市场从业单位</w:t>
      </w:r>
      <w:r>
        <w:rPr>
          <w:rFonts w:eastAsia="仿宋_GB2312"/>
          <w:sz w:val="32"/>
          <w:szCs w:val="32"/>
          <w:shd w:val="clear" w:color="auto" w:fill="FFFFFF"/>
        </w:rPr>
        <w:t>直接进行定级或调降信用等级。</w:t>
      </w:r>
    </w:p>
    <w:p>
      <w:pPr>
        <w:spacing w:line="600" w:lineRule="exact"/>
        <w:ind w:firstLine="642" w:firstLineChars="200"/>
        <w:rPr>
          <w:rFonts w:eastAsia="仿宋_GB2312"/>
          <w:sz w:val="32"/>
          <w:szCs w:val="32"/>
        </w:rPr>
      </w:pPr>
      <w:r>
        <w:rPr>
          <w:rFonts w:eastAsia="仿宋_GB2312"/>
          <w:b/>
          <w:bCs/>
          <w:sz w:val="32"/>
          <w:szCs w:val="32"/>
        </w:rPr>
        <w:t xml:space="preserve">第十九条  </w:t>
      </w:r>
      <w:r>
        <w:rPr>
          <w:rFonts w:eastAsia="仿宋_GB2312"/>
          <w:sz w:val="32"/>
          <w:szCs w:val="32"/>
        </w:rPr>
        <w:t>信用评价打分实行100分计分制，按评价标准（详见附件1、2）在原始基准分100分的基础上进行加、减分，并按评价内容分类设置扣分上限，最终评分不超过100分。其中</w:t>
      </w:r>
      <w:r>
        <w:rPr>
          <w:rFonts w:eastAsia="仿宋_GB2312"/>
          <w:bCs/>
          <w:sz w:val="32"/>
          <w:szCs w:val="32"/>
        </w:rPr>
        <w:t>水路运输业务经营人</w:t>
      </w:r>
      <w:r>
        <w:rPr>
          <w:rFonts w:eastAsia="仿宋_GB2312"/>
          <w:sz w:val="32"/>
          <w:szCs w:val="32"/>
        </w:rPr>
        <w:t>：经营资质（20分）、运输服务质量（</w:t>
      </w:r>
      <w:r>
        <w:rPr>
          <w:rFonts w:eastAsia="仿宋_GB2312"/>
          <w:sz w:val="32"/>
          <w:szCs w:val="32"/>
          <w:lang w:val="en"/>
        </w:rPr>
        <w:t>4</w:t>
      </w:r>
      <w:r>
        <w:rPr>
          <w:rFonts w:eastAsia="仿宋_GB2312"/>
          <w:sz w:val="32"/>
          <w:szCs w:val="32"/>
        </w:rPr>
        <w:t>0分）、安全环保（30分)、社会责任（</w:t>
      </w:r>
      <w:r>
        <w:rPr>
          <w:rFonts w:eastAsia="仿宋_GB2312"/>
          <w:sz w:val="32"/>
          <w:szCs w:val="32"/>
          <w:lang w:val="en"/>
        </w:rPr>
        <w:t>10</w:t>
      </w:r>
      <w:r>
        <w:rPr>
          <w:rFonts w:eastAsia="仿宋_GB2312"/>
          <w:sz w:val="32"/>
          <w:szCs w:val="32"/>
        </w:rPr>
        <w:t>分）；</w:t>
      </w:r>
      <w:r>
        <w:rPr>
          <w:rFonts w:eastAsia="仿宋_GB2312"/>
          <w:bCs/>
          <w:sz w:val="32"/>
          <w:szCs w:val="32"/>
        </w:rPr>
        <w:t>港口业务经营人</w:t>
      </w:r>
      <w:r>
        <w:rPr>
          <w:rFonts w:eastAsia="仿宋_GB2312"/>
          <w:sz w:val="32"/>
          <w:szCs w:val="32"/>
        </w:rPr>
        <w:t>：经营资质（20分）、经营服务质量（30）、港口建设（10分）、安全环保（30分）、社会责任（10分）。加分项最高不超过5分。</w:t>
      </w:r>
    </w:p>
    <w:p>
      <w:pPr>
        <w:spacing w:line="600" w:lineRule="exact"/>
        <w:ind w:firstLine="642" w:firstLineChars="200"/>
        <w:rPr>
          <w:rFonts w:eastAsia="仿宋_GB2312"/>
          <w:sz w:val="32"/>
          <w:szCs w:val="32"/>
        </w:rPr>
      </w:pPr>
      <w:r>
        <w:rPr>
          <w:rFonts w:eastAsia="仿宋_GB2312"/>
          <w:b/>
          <w:bCs/>
          <w:sz w:val="32"/>
          <w:szCs w:val="32"/>
        </w:rPr>
        <w:t xml:space="preserve">第二十条  </w:t>
      </w:r>
      <w:r>
        <w:rPr>
          <w:rFonts w:eastAsia="仿宋_GB2312"/>
          <w:sz w:val="32"/>
          <w:szCs w:val="32"/>
        </w:rPr>
        <w:t>信用评价等级分为AA、A、B、C和D五个等级，分别对应好、较好、一般、较差、差。各级交通运输主管部门在日常检查、行政审批、支持或奖励政策、评优评先、“信易行”、诚信约谈、失信通报等方面开展信用评价等级结果应用，对信用主体实施守信激励和失信惩戒（详见附件3、4）。</w:t>
      </w:r>
    </w:p>
    <w:p>
      <w:pPr>
        <w:spacing w:line="600" w:lineRule="exact"/>
        <w:ind w:firstLine="642" w:firstLineChars="200"/>
        <w:rPr>
          <w:rFonts w:eastAsia="仿宋_GB2312"/>
          <w:sz w:val="32"/>
          <w:szCs w:val="32"/>
          <w:shd w:val="clear" w:color="auto" w:fill="FFFFFF"/>
        </w:rPr>
      </w:pPr>
      <w:r>
        <w:rPr>
          <w:rFonts w:eastAsia="仿宋_GB2312"/>
          <w:b/>
          <w:bCs/>
          <w:sz w:val="32"/>
          <w:szCs w:val="32"/>
        </w:rPr>
        <w:t xml:space="preserve">第二十一条  </w:t>
      </w:r>
      <w:r>
        <w:rPr>
          <w:rFonts w:eastAsia="仿宋_GB2312"/>
          <w:sz w:val="32"/>
          <w:szCs w:val="32"/>
          <w:shd w:val="clear" w:color="auto" w:fill="FFFFFF"/>
        </w:rPr>
        <w:t>各级交通运输部门（含水运事务中心、综合执法机构）按职责对</w:t>
      </w:r>
      <w:r>
        <w:rPr>
          <w:rFonts w:eastAsia="仿宋_GB2312"/>
          <w:sz w:val="32"/>
          <w:szCs w:val="32"/>
        </w:rPr>
        <w:t>水路运输市场从业单位实时</w:t>
      </w:r>
      <w:r>
        <w:rPr>
          <w:rFonts w:eastAsia="仿宋_GB2312"/>
          <w:sz w:val="32"/>
          <w:szCs w:val="32"/>
          <w:shd w:val="clear" w:color="auto" w:fill="FFFFFF"/>
        </w:rPr>
        <w:t>进行评价打分，并将评价打分情况通过省平台及时推送告知被评价对象。同一时间段发生的相同失信行为不重复扣分。</w:t>
      </w:r>
    </w:p>
    <w:p>
      <w:pPr>
        <w:spacing w:line="600" w:lineRule="exact"/>
        <w:ind w:firstLine="642" w:firstLineChars="200"/>
        <w:rPr>
          <w:rFonts w:eastAsia="仿宋_GB2312"/>
          <w:sz w:val="32"/>
          <w:szCs w:val="32"/>
          <w:shd w:val="clear" w:color="auto" w:fill="FFFFFF"/>
        </w:rPr>
      </w:pPr>
      <w:r>
        <w:rPr>
          <w:rFonts w:eastAsia="仿宋_GB2312"/>
          <w:b/>
          <w:bCs/>
          <w:sz w:val="32"/>
          <w:szCs w:val="32"/>
        </w:rPr>
        <w:t xml:space="preserve">第二十二条  </w:t>
      </w:r>
      <w:r>
        <w:rPr>
          <w:rFonts w:eastAsia="仿宋_GB2312"/>
          <w:sz w:val="32"/>
          <w:szCs w:val="32"/>
          <w:shd w:val="clear" w:color="auto" w:fill="FFFFFF"/>
        </w:rPr>
        <w:t>各市州、县市区交通运输行政主管部门复核汇总本级信用评价情况并经单位负责人签字确认后，通过省平台及时报送给上级信用评价管理机构，其中县市区交通运输主管部门应在下一年度的1月10日前完成提交；市州交通运输主管部门应在下一年度的1月20前完成提交。省水运事务中心应在每年1月底前完成全省的信用评价情况的复核汇总工作，并按要求将成果报送至省交通运输厅。</w:t>
      </w:r>
    </w:p>
    <w:p>
      <w:pPr>
        <w:spacing w:line="600" w:lineRule="exact"/>
        <w:ind w:firstLine="626" w:firstLineChars="195"/>
        <w:rPr>
          <w:rFonts w:eastAsia="仿宋_GB2312"/>
          <w:sz w:val="32"/>
          <w:szCs w:val="32"/>
        </w:rPr>
      </w:pPr>
      <w:r>
        <w:rPr>
          <w:rFonts w:eastAsia="仿宋_GB2312"/>
          <w:b/>
          <w:bCs/>
          <w:sz w:val="32"/>
          <w:szCs w:val="32"/>
        </w:rPr>
        <w:t xml:space="preserve">第二十三条  </w:t>
      </w:r>
      <w:r>
        <w:rPr>
          <w:rFonts w:eastAsia="仿宋_GB2312"/>
          <w:sz w:val="32"/>
          <w:szCs w:val="32"/>
        </w:rPr>
        <w:t>省交通运输厅在门户网、信用交通.湖南公示网对上年度水路运输市场从业单位信用评价等级结果信息进行公示，公示期不少于10个工作日。公示期内，接受水路运输市场从业单位的申诉（详见附件5）。省交通运输厅收到申诉后,应及时组织调查处理,并在10日内将处理结果告知申诉人。</w:t>
      </w:r>
    </w:p>
    <w:p>
      <w:pPr>
        <w:spacing w:line="600" w:lineRule="exact"/>
        <w:ind w:firstLine="626" w:firstLineChars="195"/>
        <w:rPr>
          <w:rFonts w:eastAsia="仿宋_GB2312"/>
          <w:sz w:val="32"/>
          <w:szCs w:val="32"/>
        </w:rPr>
      </w:pPr>
      <w:r>
        <w:rPr>
          <w:rFonts w:eastAsia="仿宋_GB2312"/>
          <w:b/>
          <w:bCs/>
          <w:sz w:val="32"/>
          <w:szCs w:val="32"/>
        </w:rPr>
        <w:t xml:space="preserve">第二十四条  </w:t>
      </w:r>
      <w:r>
        <w:rPr>
          <w:rFonts w:eastAsia="仿宋_GB2312"/>
          <w:sz w:val="32"/>
          <w:szCs w:val="32"/>
          <w:shd w:val="clear" w:color="auto" w:fill="FFFFFF"/>
        </w:rPr>
        <w:t>省交通运输厅于每年3月上旬完成上一年度</w:t>
      </w:r>
      <w:r>
        <w:rPr>
          <w:rFonts w:eastAsia="仿宋_GB2312"/>
          <w:sz w:val="32"/>
          <w:szCs w:val="32"/>
        </w:rPr>
        <w:t>水路运输市场从业单位的</w:t>
      </w:r>
      <w:r>
        <w:rPr>
          <w:rFonts w:eastAsia="仿宋_GB2312"/>
          <w:sz w:val="32"/>
          <w:szCs w:val="32"/>
          <w:shd w:val="clear" w:color="auto" w:fill="FFFFFF"/>
        </w:rPr>
        <w:t>信用评价工作,并分</w:t>
      </w:r>
      <w:r>
        <w:rPr>
          <w:rFonts w:eastAsia="仿宋_GB2312"/>
          <w:sz w:val="32"/>
          <w:szCs w:val="32"/>
        </w:rPr>
        <w:t>类</w:t>
      </w:r>
      <w:r>
        <w:rPr>
          <w:rFonts w:eastAsia="仿宋_GB2312"/>
          <w:sz w:val="32"/>
          <w:szCs w:val="32"/>
          <w:shd w:val="clear" w:color="auto" w:fill="FFFFFF"/>
        </w:rPr>
        <w:t>发布</w:t>
      </w:r>
      <w:r>
        <w:rPr>
          <w:rFonts w:eastAsia="仿宋_GB2312"/>
          <w:sz w:val="32"/>
          <w:szCs w:val="32"/>
        </w:rPr>
        <w:t>水路运输业务经营人、水路运输业务辅助业经营人、港口业务经营人信用评价等级结果</w:t>
      </w:r>
      <w:r>
        <w:rPr>
          <w:rFonts w:eastAsia="仿宋_GB2312"/>
          <w:sz w:val="32"/>
          <w:szCs w:val="32"/>
          <w:shd w:val="clear" w:color="auto" w:fill="FFFFFF"/>
        </w:rPr>
        <w:t>。</w:t>
      </w:r>
    </w:p>
    <w:p>
      <w:pPr>
        <w:spacing w:line="600" w:lineRule="exact"/>
        <w:ind w:firstLine="642" w:firstLineChars="200"/>
        <w:rPr>
          <w:rFonts w:eastAsia="仿宋_GB2312"/>
          <w:sz w:val="32"/>
          <w:szCs w:val="32"/>
        </w:rPr>
      </w:pPr>
      <w:r>
        <w:rPr>
          <w:rFonts w:eastAsia="仿宋_GB2312"/>
          <w:b/>
          <w:sz w:val="32"/>
          <w:szCs w:val="32"/>
        </w:rPr>
        <w:t xml:space="preserve">第二十五条  </w:t>
      </w:r>
      <w:r>
        <w:rPr>
          <w:rFonts w:eastAsia="仿宋_GB2312"/>
          <w:sz w:val="32"/>
          <w:szCs w:val="32"/>
          <w:shd w:val="clear" w:color="auto" w:fill="FFFFFF"/>
        </w:rPr>
        <w:t>省交通运输厅发布的信用评价等级结果在全省水路运输市场适用</w:t>
      </w:r>
      <w:r>
        <w:rPr>
          <w:rFonts w:eastAsia="仿宋_GB2312"/>
          <w:sz w:val="32"/>
          <w:szCs w:val="32"/>
        </w:rPr>
        <w:t>，</w:t>
      </w:r>
      <w:r>
        <w:rPr>
          <w:rFonts w:eastAsia="仿宋_GB2312"/>
          <w:sz w:val="32"/>
          <w:szCs w:val="32"/>
          <w:shd w:val="clear" w:color="auto" w:fill="FFFFFF"/>
        </w:rPr>
        <w:t>有效期为1年。</w:t>
      </w:r>
      <w:r>
        <w:rPr>
          <w:rFonts w:eastAsia="仿宋_GB2312"/>
          <w:sz w:val="32"/>
          <w:szCs w:val="32"/>
        </w:rPr>
        <w:t>在评价等级结果适用期内，当水路运输从业单位出现严重</w:t>
      </w:r>
      <w:r>
        <w:rPr>
          <w:rFonts w:eastAsia="仿宋_GB2312"/>
          <w:sz w:val="32"/>
          <w:szCs w:val="32"/>
          <w:lang w:val="en"/>
        </w:rPr>
        <w:t>失信行为</w:t>
      </w:r>
      <w:r>
        <w:rPr>
          <w:rFonts w:eastAsia="仿宋_GB2312"/>
          <w:sz w:val="32"/>
          <w:szCs w:val="32"/>
        </w:rPr>
        <w:t>时，由所属市州交通运输局将相关情况自发生后15日内上报省交通运输厅，省交通运输厅依程序动态评价其信用等级，自信息发布之日起执行。</w:t>
      </w:r>
    </w:p>
    <w:p>
      <w:pPr>
        <w:spacing w:line="600" w:lineRule="exact"/>
        <w:ind w:firstLine="321" w:firstLineChars="100"/>
        <w:jc w:val="center"/>
        <w:rPr>
          <w:rFonts w:eastAsia="仿宋_GB2312"/>
          <w:b/>
          <w:bCs/>
          <w:sz w:val="32"/>
          <w:szCs w:val="32"/>
        </w:rPr>
      </w:pPr>
    </w:p>
    <w:p>
      <w:pPr>
        <w:spacing w:line="600" w:lineRule="exact"/>
        <w:ind w:firstLine="320" w:firstLineChars="100"/>
        <w:jc w:val="center"/>
        <w:rPr>
          <w:rFonts w:eastAsia="黑体"/>
          <w:bCs/>
          <w:sz w:val="32"/>
          <w:szCs w:val="32"/>
        </w:rPr>
      </w:pPr>
      <w:r>
        <w:rPr>
          <w:rFonts w:eastAsia="黑体"/>
          <w:bCs/>
          <w:sz w:val="32"/>
          <w:szCs w:val="32"/>
        </w:rPr>
        <w:t>第四章  监督管理</w:t>
      </w:r>
    </w:p>
    <w:p>
      <w:pPr>
        <w:spacing w:line="600" w:lineRule="exact"/>
        <w:ind w:firstLine="642" w:firstLineChars="200"/>
        <w:rPr>
          <w:rFonts w:eastAsia="仿宋_GB2312"/>
          <w:sz w:val="32"/>
          <w:szCs w:val="32"/>
        </w:rPr>
      </w:pPr>
      <w:r>
        <w:rPr>
          <w:rFonts w:eastAsia="仿宋_GB2312"/>
          <w:b/>
          <w:sz w:val="32"/>
          <w:szCs w:val="32"/>
        </w:rPr>
        <w:t>第二十六条</w:t>
      </w:r>
      <w:r>
        <w:rPr>
          <w:rFonts w:eastAsia="仿宋_GB2312"/>
          <w:sz w:val="32"/>
          <w:szCs w:val="32"/>
        </w:rPr>
        <w:t xml:space="preserve">  水路运输市场信用信息接受社会监督，任何单位和个人发现从业单位及人员信用信息虚假的，可向县级以上交通运输主管部门举报。各级交通运输主管部门在接到举报材料之日起10个工作日内应完成核查并予以处理，对于实名举报的应及时将处理情况告知举报人。</w:t>
      </w:r>
    </w:p>
    <w:p>
      <w:pPr>
        <w:spacing w:line="600" w:lineRule="exact"/>
        <w:ind w:firstLine="642" w:firstLineChars="200"/>
        <w:rPr>
          <w:rFonts w:eastAsia="仿宋_GB2312"/>
          <w:sz w:val="32"/>
          <w:szCs w:val="32"/>
        </w:rPr>
      </w:pPr>
      <w:r>
        <w:rPr>
          <w:rFonts w:eastAsia="仿宋_GB2312"/>
          <w:b/>
          <w:sz w:val="32"/>
          <w:szCs w:val="32"/>
        </w:rPr>
        <w:t xml:space="preserve">第二十七条 </w:t>
      </w:r>
      <w:r>
        <w:rPr>
          <w:rFonts w:eastAsia="仿宋_GB2312"/>
          <w:sz w:val="32"/>
          <w:szCs w:val="32"/>
        </w:rPr>
        <w:t xml:space="preserve"> 水路运输市场经营人发现</w:t>
      </w:r>
      <w:r>
        <w:rPr>
          <w:rFonts w:eastAsia="仿宋_GB2312"/>
          <w:sz w:val="32"/>
          <w:szCs w:val="32"/>
          <w:lang w:val="en"/>
        </w:rPr>
        <w:t>省平台</w:t>
      </w:r>
      <w:r>
        <w:rPr>
          <w:rFonts w:eastAsia="仿宋_GB2312"/>
          <w:sz w:val="32"/>
          <w:szCs w:val="32"/>
        </w:rPr>
        <w:t>发布的信用信息存在错误或遗漏、侵犯其商业秘密或个人隐私、超过发布期限仍未解除发布的，可向</w:t>
      </w:r>
      <w:r>
        <w:rPr>
          <w:rFonts w:eastAsia="仿宋_GB2312"/>
          <w:sz w:val="32"/>
          <w:szCs w:val="32"/>
          <w:shd w:val="clear" w:color="auto" w:fill="FFFFFF"/>
        </w:rPr>
        <w:t>省交通运输厅</w:t>
      </w:r>
      <w:r>
        <w:rPr>
          <w:rFonts w:eastAsia="仿宋_GB2312"/>
          <w:sz w:val="32"/>
          <w:szCs w:val="32"/>
        </w:rPr>
        <w:t>书面提出异议，</w:t>
      </w:r>
      <w:r>
        <w:rPr>
          <w:rFonts w:eastAsia="仿宋_GB2312"/>
          <w:sz w:val="32"/>
          <w:szCs w:val="32"/>
          <w:shd w:val="clear" w:color="auto" w:fill="FFFFFF"/>
        </w:rPr>
        <w:t>省交通运输厅</w:t>
      </w:r>
      <w:r>
        <w:rPr>
          <w:rFonts w:eastAsia="仿宋_GB2312"/>
          <w:sz w:val="32"/>
          <w:szCs w:val="32"/>
        </w:rPr>
        <w:t>应在收到书面异议申请之日起10日内完成核查并予以处理，并将处理情况书面告知申请人。</w:t>
      </w:r>
    </w:p>
    <w:p>
      <w:pPr>
        <w:spacing w:line="600" w:lineRule="exact"/>
        <w:ind w:firstLine="642" w:firstLineChars="200"/>
        <w:rPr>
          <w:rFonts w:eastAsia="仿宋_GB2312"/>
          <w:sz w:val="32"/>
          <w:szCs w:val="32"/>
        </w:rPr>
      </w:pPr>
      <w:r>
        <w:rPr>
          <w:rFonts w:eastAsia="仿宋_GB2312"/>
          <w:b/>
          <w:sz w:val="32"/>
          <w:szCs w:val="32"/>
        </w:rPr>
        <w:t>第二十八条</w:t>
      </w:r>
      <w:r>
        <w:rPr>
          <w:rFonts w:eastAsia="仿宋_GB2312"/>
          <w:sz w:val="32"/>
          <w:szCs w:val="32"/>
        </w:rPr>
        <w:t xml:space="preserve">  各级交通运输主管部门应建立健全和严格执行保障信息安全的规章制度，并采取有效措施保障信息安全，不得存在下列行为：</w:t>
      </w:r>
    </w:p>
    <w:p>
      <w:pPr>
        <w:spacing w:line="600" w:lineRule="exact"/>
        <w:ind w:firstLine="640" w:firstLineChars="200"/>
        <w:rPr>
          <w:rFonts w:eastAsia="仿宋_GB2312"/>
          <w:sz w:val="32"/>
          <w:szCs w:val="32"/>
        </w:rPr>
      </w:pPr>
      <w:r>
        <w:rPr>
          <w:rFonts w:eastAsia="仿宋_GB2312"/>
          <w:sz w:val="32"/>
          <w:szCs w:val="32"/>
        </w:rPr>
        <w:t>（一）篡改、虚构、违规删除信用信息；</w:t>
      </w:r>
    </w:p>
    <w:p>
      <w:pPr>
        <w:spacing w:line="600" w:lineRule="exact"/>
        <w:ind w:firstLine="640" w:firstLineChars="200"/>
        <w:rPr>
          <w:rFonts w:eastAsia="仿宋_GB2312"/>
          <w:sz w:val="32"/>
          <w:szCs w:val="32"/>
        </w:rPr>
      </w:pPr>
      <w:r>
        <w:rPr>
          <w:rFonts w:eastAsia="仿宋_GB2312"/>
          <w:sz w:val="32"/>
          <w:szCs w:val="32"/>
        </w:rPr>
        <w:t>（二）未经授权违规发布信用信息；</w:t>
      </w:r>
    </w:p>
    <w:p>
      <w:pPr>
        <w:spacing w:line="600" w:lineRule="exact"/>
        <w:ind w:firstLine="640" w:firstLineChars="200"/>
        <w:rPr>
          <w:rFonts w:eastAsia="仿宋_GB2312"/>
          <w:sz w:val="32"/>
          <w:szCs w:val="32"/>
        </w:rPr>
      </w:pPr>
      <w:r>
        <w:rPr>
          <w:rFonts w:eastAsia="仿宋_GB2312"/>
          <w:sz w:val="32"/>
          <w:szCs w:val="32"/>
        </w:rPr>
        <w:t>（三）泄露涉及国家秘密、商业秘密的信用信息；</w:t>
      </w:r>
    </w:p>
    <w:p>
      <w:pPr>
        <w:spacing w:line="600" w:lineRule="exact"/>
        <w:ind w:firstLine="640" w:firstLineChars="200"/>
        <w:rPr>
          <w:rFonts w:eastAsia="仿宋_GB2312"/>
          <w:sz w:val="32"/>
          <w:szCs w:val="32"/>
        </w:rPr>
      </w:pPr>
      <w:r>
        <w:rPr>
          <w:rFonts w:eastAsia="仿宋_GB2312"/>
          <w:sz w:val="32"/>
          <w:szCs w:val="32"/>
        </w:rPr>
        <w:t>（四）未按照规定对举报信息、异议信息进行核查处理；</w:t>
      </w:r>
    </w:p>
    <w:p>
      <w:pPr>
        <w:spacing w:line="600" w:lineRule="exact"/>
        <w:ind w:firstLine="640" w:firstLineChars="200"/>
        <w:rPr>
          <w:rFonts w:eastAsia="仿宋_GB2312"/>
          <w:sz w:val="32"/>
          <w:szCs w:val="32"/>
        </w:rPr>
      </w:pPr>
      <w:r>
        <w:rPr>
          <w:rFonts w:eastAsia="仿宋_GB2312"/>
          <w:sz w:val="32"/>
          <w:szCs w:val="32"/>
        </w:rPr>
        <w:t>（五）法律、法规和规章禁止的其他行为。</w:t>
      </w:r>
    </w:p>
    <w:p>
      <w:pPr>
        <w:spacing w:line="600" w:lineRule="exact"/>
        <w:ind w:firstLine="640" w:firstLineChars="200"/>
        <w:rPr>
          <w:rFonts w:eastAsia="仿宋_GB2312"/>
          <w:sz w:val="32"/>
          <w:szCs w:val="32"/>
        </w:rPr>
      </w:pPr>
    </w:p>
    <w:p>
      <w:pPr>
        <w:spacing w:line="600" w:lineRule="exact"/>
        <w:ind w:firstLine="320" w:firstLineChars="100"/>
        <w:jc w:val="center"/>
        <w:rPr>
          <w:rFonts w:eastAsia="黑体"/>
          <w:bCs/>
          <w:sz w:val="32"/>
          <w:szCs w:val="32"/>
        </w:rPr>
      </w:pPr>
      <w:r>
        <w:rPr>
          <w:rFonts w:eastAsia="黑体"/>
          <w:bCs/>
          <w:sz w:val="32"/>
          <w:szCs w:val="32"/>
        </w:rPr>
        <w:t>第五章  附  则</w:t>
      </w:r>
    </w:p>
    <w:p>
      <w:pPr>
        <w:spacing w:line="600" w:lineRule="exact"/>
        <w:ind w:firstLine="642" w:firstLineChars="200"/>
        <w:rPr>
          <w:rFonts w:eastAsia="仿宋_GB2312"/>
          <w:sz w:val="32"/>
          <w:szCs w:val="32"/>
        </w:rPr>
      </w:pPr>
      <w:r>
        <w:rPr>
          <w:rFonts w:eastAsia="仿宋_GB2312"/>
          <w:b/>
          <w:sz w:val="32"/>
          <w:szCs w:val="32"/>
        </w:rPr>
        <w:t>第二十九条</w:t>
      </w:r>
      <w:r>
        <w:rPr>
          <w:rFonts w:eastAsiaTheme="minorEastAsia"/>
          <w:sz w:val="32"/>
          <w:szCs w:val="32"/>
        </w:rPr>
        <w:t xml:space="preserve">  </w:t>
      </w:r>
      <w:r>
        <w:rPr>
          <w:rFonts w:eastAsia="仿宋_GB2312"/>
          <w:sz w:val="32"/>
          <w:szCs w:val="32"/>
        </w:rPr>
        <w:t>水路运输市场信用修复参照《湖南省交通运输信用管理暂行办法》（湘交政务规〔2022〕7号）有关规定执行。</w:t>
      </w:r>
    </w:p>
    <w:p>
      <w:pPr>
        <w:spacing w:line="600" w:lineRule="exact"/>
        <w:ind w:firstLine="642" w:firstLineChars="200"/>
        <w:rPr>
          <w:rFonts w:eastAsia="仿宋_GB2312"/>
          <w:spacing w:val="2"/>
          <w:w w:val="102"/>
          <w:sz w:val="32"/>
          <w:szCs w:val="32"/>
        </w:rPr>
      </w:pPr>
      <w:r>
        <w:rPr>
          <w:rFonts w:eastAsia="仿宋_GB2312"/>
          <w:b/>
          <w:sz w:val="32"/>
          <w:szCs w:val="32"/>
        </w:rPr>
        <w:t>第三十条</w:t>
      </w:r>
      <w:r>
        <w:rPr>
          <w:rFonts w:eastAsiaTheme="minorEastAsia"/>
          <w:sz w:val="32"/>
          <w:szCs w:val="32"/>
        </w:rPr>
        <w:t xml:space="preserve">  </w:t>
      </w:r>
      <w:r>
        <w:rPr>
          <w:rFonts w:eastAsia="仿宋_GB2312"/>
          <w:spacing w:val="2"/>
          <w:w w:val="102"/>
          <w:sz w:val="32"/>
          <w:szCs w:val="32"/>
        </w:rPr>
        <w:t>本办法自2023年</w:t>
      </w:r>
      <w:r>
        <w:rPr>
          <w:rFonts w:hint="eastAsia" w:eastAsia="仿宋_GB2312"/>
          <w:spacing w:val="2"/>
          <w:w w:val="102"/>
          <w:sz w:val="32"/>
          <w:szCs w:val="32"/>
        </w:rPr>
        <w:t>12</w:t>
      </w:r>
      <w:r>
        <w:rPr>
          <w:rFonts w:eastAsia="仿宋_GB2312"/>
          <w:spacing w:val="2"/>
          <w:w w:val="102"/>
          <w:sz w:val="32"/>
          <w:szCs w:val="32"/>
        </w:rPr>
        <w:t>月</w:t>
      </w:r>
      <w:r>
        <w:rPr>
          <w:rFonts w:hint="eastAsia" w:eastAsia="仿宋_GB2312"/>
          <w:spacing w:val="2"/>
          <w:w w:val="102"/>
          <w:sz w:val="32"/>
          <w:szCs w:val="32"/>
        </w:rPr>
        <w:t>22</w:t>
      </w:r>
      <w:r>
        <w:rPr>
          <w:rFonts w:eastAsia="仿宋_GB2312"/>
          <w:spacing w:val="2"/>
          <w:w w:val="102"/>
          <w:sz w:val="32"/>
          <w:szCs w:val="32"/>
        </w:rPr>
        <w:t>日起试行，有效期2年。</w:t>
      </w:r>
    </w:p>
    <w:p>
      <w:pPr>
        <w:spacing w:line="600" w:lineRule="exact"/>
        <w:rPr>
          <w:rFonts w:eastAsia="仿宋_GB2312"/>
          <w:sz w:val="32"/>
          <w:szCs w:val="32"/>
        </w:rPr>
      </w:pPr>
    </w:p>
    <w:p>
      <w:pPr>
        <w:spacing w:line="600" w:lineRule="exact"/>
        <w:ind w:firstLine="640" w:firstLineChars="200"/>
        <w:rPr>
          <w:rFonts w:eastAsia="仿宋_GB2312"/>
          <w:sz w:val="32"/>
          <w:szCs w:val="32"/>
        </w:rPr>
      </w:pPr>
      <w:r>
        <w:rPr>
          <w:rFonts w:eastAsia="仿宋_GB2312"/>
          <w:sz w:val="32"/>
          <w:szCs w:val="32"/>
        </w:rPr>
        <w:t>附件：1.湖南省水路运输经营人信用评价标准</w:t>
      </w:r>
    </w:p>
    <w:p>
      <w:pPr>
        <w:spacing w:line="600" w:lineRule="exact"/>
        <w:ind w:firstLine="640" w:firstLineChars="200"/>
        <w:rPr>
          <w:rFonts w:eastAsia="仿宋_GB2312"/>
          <w:sz w:val="32"/>
          <w:szCs w:val="32"/>
        </w:rPr>
      </w:pPr>
      <w:r>
        <w:rPr>
          <w:rFonts w:eastAsia="仿宋_GB2312"/>
          <w:sz w:val="32"/>
          <w:szCs w:val="32"/>
        </w:rPr>
        <w:t xml:space="preserve">      2.湖南省港口经营人信用评价标准</w:t>
      </w:r>
    </w:p>
    <w:p>
      <w:pPr>
        <w:spacing w:line="600" w:lineRule="exact"/>
        <w:ind w:left="1916" w:leftChars="760" w:hanging="320" w:hangingChars="100"/>
        <w:rPr>
          <w:rFonts w:eastAsia="仿宋_GB2312"/>
          <w:sz w:val="32"/>
          <w:szCs w:val="32"/>
        </w:rPr>
      </w:pPr>
      <w:r>
        <w:rPr>
          <w:rFonts w:eastAsia="仿宋_GB2312"/>
          <w:sz w:val="32"/>
          <w:szCs w:val="32"/>
        </w:rPr>
        <w:t>3.湖南省水路运输经营人信用评价结果应用措施</w:t>
      </w:r>
    </w:p>
    <w:p>
      <w:pPr>
        <w:spacing w:line="600" w:lineRule="exact"/>
        <w:ind w:left="1918" w:leftChars="304" w:hanging="1280" w:hangingChars="400"/>
        <w:rPr>
          <w:rFonts w:eastAsia="仿宋_GB2312"/>
          <w:sz w:val="32"/>
          <w:szCs w:val="32"/>
        </w:rPr>
      </w:pPr>
      <w:r>
        <w:rPr>
          <w:rFonts w:eastAsia="仿宋_GB2312"/>
          <w:sz w:val="32"/>
          <w:szCs w:val="32"/>
        </w:rPr>
        <w:t xml:space="preserve">      4.湖南省水路港口经营人信用评价结果应用措施</w:t>
      </w:r>
    </w:p>
    <w:p>
      <w:pPr>
        <w:spacing w:line="600" w:lineRule="exact"/>
        <w:ind w:left="1918" w:leftChars="304" w:hanging="1280" w:hangingChars="400"/>
        <w:rPr>
          <w:rFonts w:eastAsia="仿宋_GB2312"/>
          <w:sz w:val="32"/>
          <w:szCs w:val="32"/>
        </w:rPr>
      </w:pPr>
      <w:r>
        <w:rPr>
          <w:rFonts w:eastAsia="仿宋_GB2312"/>
          <w:sz w:val="32"/>
          <w:szCs w:val="32"/>
        </w:rPr>
        <w:t xml:space="preserve">      5.湖南省水路运输经营人信用评价申诉书</w:t>
      </w:r>
    </w:p>
    <w:p>
      <w:pPr>
        <w:spacing w:line="560" w:lineRule="exact"/>
        <w:ind w:firstLine="5952" w:firstLineChars="1860"/>
        <w:rPr>
          <w:rFonts w:eastAsia="仿宋_GB2312"/>
          <w:sz w:val="32"/>
        </w:rPr>
      </w:pPr>
      <w:r>
        <w:rPr>
          <w:rFonts w:eastAsia="仿宋_GB2312"/>
          <w:sz w:val="32"/>
        </w:rPr>
        <w:br w:type="page"/>
      </w:r>
    </w:p>
    <w:p>
      <w:pPr>
        <w:rPr>
          <w:rFonts w:eastAsia="仿宋_GB2312"/>
          <w:sz w:val="32"/>
        </w:rPr>
        <w:sectPr>
          <w:footerReference r:id="rId3" w:type="default"/>
          <w:footerReference r:id="rId4" w:type="even"/>
          <w:pgSz w:w="11906" w:h="16838"/>
          <w:pgMar w:top="2098" w:right="1588" w:bottom="1928" w:left="1588" w:header="851" w:footer="1701" w:gutter="0"/>
          <w:cols w:space="425" w:num="1"/>
          <w:docGrid w:type="lines" w:linePitch="312" w:charSpace="0"/>
        </w:sectPr>
      </w:pPr>
    </w:p>
    <w:tbl>
      <w:tblPr>
        <w:tblStyle w:val="7"/>
        <w:tblW w:w="15216" w:type="dxa"/>
        <w:jc w:val="center"/>
        <w:tblLayout w:type="autofit"/>
        <w:tblCellMar>
          <w:top w:w="0" w:type="dxa"/>
          <w:left w:w="108" w:type="dxa"/>
          <w:bottom w:w="0" w:type="dxa"/>
          <w:right w:w="108" w:type="dxa"/>
        </w:tblCellMar>
      </w:tblPr>
      <w:tblGrid>
        <w:gridCol w:w="1254"/>
        <w:gridCol w:w="773"/>
        <w:gridCol w:w="1239"/>
        <w:gridCol w:w="7049"/>
        <w:gridCol w:w="1353"/>
        <w:gridCol w:w="3548"/>
      </w:tblGrid>
      <w:tr>
        <w:tblPrEx>
          <w:tblCellMar>
            <w:top w:w="0" w:type="dxa"/>
            <w:left w:w="108" w:type="dxa"/>
            <w:bottom w:w="0" w:type="dxa"/>
            <w:right w:w="108" w:type="dxa"/>
          </w:tblCellMar>
        </w:tblPrEx>
        <w:trPr>
          <w:trHeight w:val="290" w:hRule="atLeast"/>
          <w:jc w:val="center"/>
        </w:trPr>
        <w:tc>
          <w:tcPr>
            <w:tcW w:w="15216" w:type="dxa"/>
            <w:gridSpan w:val="6"/>
            <w:tcBorders>
              <w:top w:val="nil"/>
              <w:left w:val="nil"/>
              <w:bottom w:val="nil"/>
              <w:right w:val="nil"/>
            </w:tcBorders>
            <w:shd w:val="clear" w:color="000000" w:fill="FFFFFF"/>
            <w:vAlign w:val="center"/>
          </w:tcPr>
          <w:p>
            <w:pPr>
              <w:widowControl/>
              <w:spacing w:line="520" w:lineRule="exact"/>
              <w:jc w:val="left"/>
              <w:rPr>
                <w:rFonts w:eastAsia="黑体"/>
                <w:bCs/>
                <w:kern w:val="0"/>
                <w:sz w:val="32"/>
                <w:szCs w:val="32"/>
              </w:rPr>
            </w:pPr>
            <w:r>
              <w:rPr>
                <w:rFonts w:eastAsia="黑体"/>
                <w:bCs/>
                <w:kern w:val="0"/>
                <w:sz w:val="32"/>
                <w:szCs w:val="32"/>
              </w:rPr>
              <w:t>附件1</w:t>
            </w:r>
          </w:p>
        </w:tc>
      </w:tr>
      <w:tr>
        <w:tblPrEx>
          <w:tblCellMar>
            <w:top w:w="0" w:type="dxa"/>
            <w:left w:w="108" w:type="dxa"/>
            <w:bottom w:w="0" w:type="dxa"/>
            <w:right w:w="108" w:type="dxa"/>
          </w:tblCellMar>
        </w:tblPrEx>
        <w:trPr>
          <w:trHeight w:val="511" w:hRule="atLeast"/>
          <w:jc w:val="center"/>
        </w:trPr>
        <w:tc>
          <w:tcPr>
            <w:tcW w:w="15216" w:type="dxa"/>
            <w:gridSpan w:val="6"/>
            <w:tcBorders>
              <w:top w:val="nil"/>
              <w:left w:val="nil"/>
              <w:bottom w:val="single" w:color="auto" w:sz="4" w:space="0"/>
              <w:right w:val="nil"/>
            </w:tcBorders>
            <w:shd w:val="clear" w:color="000000" w:fill="FFFFFF"/>
            <w:vAlign w:val="center"/>
          </w:tcPr>
          <w:p>
            <w:pPr>
              <w:widowControl/>
              <w:spacing w:line="660" w:lineRule="exact"/>
              <w:jc w:val="center"/>
              <w:rPr>
                <w:rFonts w:eastAsia="方正小标宋简体"/>
                <w:bCs/>
                <w:spacing w:val="2"/>
                <w:kern w:val="0"/>
                <w:sz w:val="32"/>
                <w:szCs w:val="32"/>
              </w:rPr>
            </w:pPr>
            <w:r>
              <w:rPr>
                <w:rFonts w:eastAsia="方正小标宋简体"/>
                <w:bCs/>
                <w:spacing w:val="2"/>
                <w:kern w:val="0"/>
                <w:sz w:val="44"/>
                <w:szCs w:val="32"/>
              </w:rPr>
              <w:t>湖南省水路运输经营人信用评价标准</w:t>
            </w:r>
          </w:p>
        </w:tc>
      </w:tr>
      <w:tr>
        <w:tblPrEx>
          <w:tblCellMar>
            <w:top w:w="0" w:type="dxa"/>
            <w:left w:w="108" w:type="dxa"/>
            <w:bottom w:w="0" w:type="dxa"/>
            <w:right w:w="108" w:type="dxa"/>
          </w:tblCellMar>
        </w:tblPrEx>
        <w:trPr>
          <w:trHeight w:val="468" w:hRule="atLeast"/>
          <w:jc w:val="center"/>
        </w:trPr>
        <w:tc>
          <w:tcPr>
            <w:tcW w:w="205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评定内容</w:t>
            </w: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行为代码</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不良/良好行为</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行为等级和扣分标准</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评分依据</w:t>
            </w:r>
          </w:p>
        </w:tc>
      </w:tr>
      <w:tr>
        <w:tblPrEx>
          <w:tblCellMar>
            <w:top w:w="0" w:type="dxa"/>
            <w:left w:w="108" w:type="dxa"/>
            <w:bottom w:w="0" w:type="dxa"/>
            <w:right w:w="108" w:type="dxa"/>
          </w:tblCellMar>
        </w:tblPrEx>
        <w:trPr>
          <w:trHeight w:val="712" w:hRule="atLeast"/>
          <w:jc w:val="center"/>
        </w:trPr>
        <w:tc>
          <w:tcPr>
            <w:tcW w:w="205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kern w:val="0"/>
                <w:sz w:val="20"/>
                <w:szCs w:val="20"/>
              </w:rPr>
            </w:pPr>
            <w:r>
              <w:rPr>
                <w:b/>
                <w:bCs/>
                <w:kern w:val="0"/>
                <w:sz w:val="20"/>
                <w:szCs w:val="20"/>
              </w:rPr>
              <w:t>严重失信行为</w:t>
            </w: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SLYS1-1-1</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违反相关法律法规，由相关交通运输管理部门撤销相关经营资格或吊销相关许可证件的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直接定为</w:t>
            </w:r>
          </w:p>
          <w:p>
            <w:pPr>
              <w:widowControl/>
              <w:jc w:val="center"/>
              <w:rPr>
                <w:kern w:val="0"/>
                <w:sz w:val="20"/>
                <w:szCs w:val="20"/>
              </w:rPr>
            </w:pPr>
            <w:r>
              <w:rPr>
                <w:kern w:val="0"/>
                <w:sz w:val="20"/>
                <w:szCs w:val="20"/>
              </w:rPr>
              <w:t>D级</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《水路运输市场信用信息管理办法(试行)》第十条</w:t>
            </w:r>
          </w:p>
        </w:tc>
      </w:tr>
      <w:tr>
        <w:tblPrEx>
          <w:tblCellMar>
            <w:top w:w="0" w:type="dxa"/>
            <w:left w:w="108" w:type="dxa"/>
            <w:bottom w:w="0" w:type="dxa"/>
            <w:right w:w="108" w:type="dxa"/>
          </w:tblCellMar>
        </w:tblPrEx>
        <w:trPr>
          <w:trHeight w:val="712" w:hRule="atLeast"/>
          <w:jc w:val="center"/>
        </w:trPr>
        <w:tc>
          <w:tcPr>
            <w:tcW w:w="205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SLYS1-1-2</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违反相关法律法规，由相关交通运输管理部门责令停止经营、停产停业整顿的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直接定为</w:t>
            </w:r>
          </w:p>
          <w:p>
            <w:pPr>
              <w:widowControl/>
              <w:jc w:val="center"/>
              <w:rPr>
                <w:kern w:val="0"/>
                <w:sz w:val="20"/>
                <w:szCs w:val="20"/>
              </w:rPr>
            </w:pPr>
            <w:r>
              <w:rPr>
                <w:kern w:val="0"/>
                <w:sz w:val="20"/>
                <w:szCs w:val="20"/>
              </w:rPr>
              <w:t>D级</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《水路运输市场信用信息管理办法(试行)》第十条</w:t>
            </w:r>
          </w:p>
        </w:tc>
      </w:tr>
      <w:tr>
        <w:tblPrEx>
          <w:tblCellMar>
            <w:top w:w="0" w:type="dxa"/>
            <w:left w:w="108" w:type="dxa"/>
            <w:bottom w:w="0" w:type="dxa"/>
            <w:right w:w="108" w:type="dxa"/>
          </w:tblCellMar>
        </w:tblPrEx>
        <w:trPr>
          <w:trHeight w:val="519" w:hRule="atLeast"/>
          <w:jc w:val="center"/>
        </w:trPr>
        <w:tc>
          <w:tcPr>
            <w:tcW w:w="205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SLYS1-1-3</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被纳入交通运输安全生产"黑名单"的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直接定为</w:t>
            </w:r>
          </w:p>
          <w:p>
            <w:pPr>
              <w:widowControl/>
              <w:jc w:val="center"/>
              <w:rPr>
                <w:kern w:val="0"/>
                <w:sz w:val="20"/>
                <w:szCs w:val="20"/>
              </w:rPr>
            </w:pPr>
            <w:r>
              <w:rPr>
                <w:kern w:val="0"/>
                <w:sz w:val="20"/>
                <w:szCs w:val="20"/>
              </w:rPr>
              <w:t>D级</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《水路运输市场信用信息管理办法(试行)》第十条</w:t>
            </w:r>
          </w:p>
        </w:tc>
      </w:tr>
      <w:tr>
        <w:tblPrEx>
          <w:tblCellMar>
            <w:top w:w="0" w:type="dxa"/>
            <w:left w:w="108" w:type="dxa"/>
            <w:bottom w:w="0" w:type="dxa"/>
            <w:right w:w="108" w:type="dxa"/>
          </w:tblCellMar>
        </w:tblPrEx>
        <w:trPr>
          <w:trHeight w:val="774" w:hRule="atLeast"/>
          <w:jc w:val="center"/>
        </w:trPr>
        <w:tc>
          <w:tcPr>
            <w:tcW w:w="205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SLYS1-1-4</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在申请交通运输有关行政许可、财政补贴等过程中提供虚假材料、谎报瞒报重要事项的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直接定为</w:t>
            </w:r>
          </w:p>
          <w:p>
            <w:pPr>
              <w:widowControl/>
              <w:jc w:val="center"/>
              <w:rPr>
                <w:kern w:val="0"/>
                <w:sz w:val="20"/>
                <w:szCs w:val="20"/>
              </w:rPr>
            </w:pPr>
            <w:r>
              <w:rPr>
                <w:kern w:val="0"/>
                <w:sz w:val="20"/>
                <w:szCs w:val="20"/>
              </w:rPr>
              <w:t>D级</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《水路运输市场信用信息管理办法(试行)》第十条</w:t>
            </w:r>
          </w:p>
        </w:tc>
      </w:tr>
      <w:tr>
        <w:tblPrEx>
          <w:tblCellMar>
            <w:top w:w="0" w:type="dxa"/>
            <w:left w:w="108" w:type="dxa"/>
            <w:bottom w:w="0" w:type="dxa"/>
            <w:right w:w="108" w:type="dxa"/>
          </w:tblCellMar>
        </w:tblPrEx>
        <w:trPr>
          <w:trHeight w:val="712" w:hRule="atLeast"/>
          <w:jc w:val="center"/>
        </w:trPr>
        <w:tc>
          <w:tcPr>
            <w:tcW w:w="205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SLYS1-1-5</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出现严重扰乱社会秩序、造成恶劣社会影响的事件，对纠纷处理不力，导致矛盾激化、引发较大规模群体性事件，影响社会稳定的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直接定为</w:t>
            </w:r>
          </w:p>
          <w:p>
            <w:pPr>
              <w:widowControl/>
              <w:jc w:val="center"/>
              <w:rPr>
                <w:kern w:val="0"/>
                <w:sz w:val="20"/>
                <w:szCs w:val="20"/>
              </w:rPr>
            </w:pPr>
            <w:r>
              <w:rPr>
                <w:kern w:val="0"/>
                <w:sz w:val="20"/>
                <w:szCs w:val="20"/>
              </w:rPr>
              <w:t>D级</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《水路运输市场信用信息管理办法(试行)》第十条</w:t>
            </w:r>
          </w:p>
        </w:tc>
      </w:tr>
      <w:tr>
        <w:tblPrEx>
          <w:tblCellMar>
            <w:top w:w="0" w:type="dxa"/>
            <w:left w:w="108" w:type="dxa"/>
            <w:bottom w:w="0" w:type="dxa"/>
            <w:right w:w="108" w:type="dxa"/>
          </w:tblCellMar>
        </w:tblPrEx>
        <w:trPr>
          <w:trHeight w:val="838" w:hRule="atLeast"/>
          <w:jc w:val="center"/>
        </w:trPr>
        <w:tc>
          <w:tcPr>
            <w:tcW w:w="12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kern w:val="0"/>
                <w:sz w:val="20"/>
                <w:szCs w:val="20"/>
              </w:rPr>
            </w:pPr>
            <w:r>
              <w:rPr>
                <w:b/>
                <w:bCs/>
                <w:kern w:val="0"/>
                <w:sz w:val="20"/>
                <w:szCs w:val="20"/>
              </w:rPr>
              <w:t>经营资质</w:t>
            </w:r>
            <w:r>
              <w:rPr>
                <w:b/>
                <w:bCs/>
                <w:kern w:val="0"/>
                <w:sz w:val="20"/>
                <w:szCs w:val="20"/>
              </w:rPr>
              <w:br w:type="textWrapping"/>
            </w:r>
            <w:r>
              <w:rPr>
                <w:b/>
                <w:bCs/>
                <w:kern w:val="0"/>
                <w:sz w:val="20"/>
                <w:szCs w:val="20"/>
              </w:rPr>
              <w:t>(满分20分，扣完为止)</w:t>
            </w:r>
          </w:p>
        </w:tc>
        <w:tc>
          <w:tcPr>
            <w:tcW w:w="77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kern w:val="0"/>
                <w:sz w:val="20"/>
                <w:szCs w:val="20"/>
              </w:rPr>
            </w:pPr>
            <w:r>
              <w:rPr>
                <w:b/>
                <w:bCs/>
                <w:kern w:val="0"/>
                <w:sz w:val="20"/>
                <w:szCs w:val="20"/>
              </w:rPr>
              <w:t>企业资质</w:t>
            </w: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SLYS1-2-1</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未经许可擅自经营或者超越许可范围经营水路运输业务、国内船舶管理业务以及辅助业务的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15分/次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《国内水路运输管理规定》第五十条、《国内水路运输管理条例》第三十三条</w:t>
            </w:r>
          </w:p>
        </w:tc>
      </w:tr>
      <w:tr>
        <w:tblPrEx>
          <w:tblCellMar>
            <w:top w:w="0" w:type="dxa"/>
            <w:left w:w="108" w:type="dxa"/>
            <w:bottom w:w="0" w:type="dxa"/>
            <w:right w:w="108" w:type="dxa"/>
          </w:tblCellMar>
        </w:tblPrEx>
        <w:trPr>
          <w:trHeight w:val="719"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SLYS1-2-2</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未经国务院交通运输主管部门许可或者超越许可范围使用外国籍船舶经营水路运输业务的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10分/起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《国内水路运输管理条例》第三十五条</w:t>
            </w:r>
          </w:p>
        </w:tc>
      </w:tr>
      <w:tr>
        <w:tblPrEx>
          <w:tblCellMar>
            <w:top w:w="0" w:type="dxa"/>
            <w:left w:w="108" w:type="dxa"/>
            <w:bottom w:w="0" w:type="dxa"/>
            <w:right w:w="108" w:type="dxa"/>
          </w:tblCellMar>
        </w:tblPrEx>
        <w:trPr>
          <w:trHeight w:val="748"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SLYS1-2-3</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伪造、变造、涂改行政许可证件的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15分/起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《国内水路运输管理规定》第二十二条《国内水路运输管理条例》第三十七条</w:t>
            </w:r>
          </w:p>
        </w:tc>
      </w:tr>
      <w:tr>
        <w:tblPrEx>
          <w:tblCellMar>
            <w:top w:w="0" w:type="dxa"/>
            <w:left w:w="108" w:type="dxa"/>
            <w:bottom w:w="0" w:type="dxa"/>
            <w:right w:w="108" w:type="dxa"/>
          </w:tblCellMar>
        </w:tblPrEx>
        <w:trPr>
          <w:trHeight w:val="564"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SLYS1-2-4</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未在水路运输经营证件有效期届满前的30日内向原许可机关提出换证申请的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5分/次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《国内水路运输管理规定》第十七条</w:t>
            </w:r>
          </w:p>
        </w:tc>
      </w:tr>
      <w:tr>
        <w:tblPrEx>
          <w:tblCellMar>
            <w:top w:w="0" w:type="dxa"/>
            <w:left w:w="108" w:type="dxa"/>
            <w:bottom w:w="0" w:type="dxa"/>
            <w:right w:w="108" w:type="dxa"/>
          </w:tblCellMar>
        </w:tblPrEx>
        <w:trPr>
          <w:trHeight w:val="564" w:hRule="atLeast"/>
          <w:jc w:val="center"/>
        </w:trPr>
        <w:tc>
          <w:tcPr>
            <w:tcW w:w="20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 w:val="20"/>
                <w:szCs w:val="20"/>
              </w:rPr>
            </w:pPr>
            <w:r>
              <w:rPr>
                <w:rFonts w:eastAsia="黑体"/>
                <w:bCs/>
                <w:kern w:val="0"/>
                <w:sz w:val="20"/>
                <w:szCs w:val="20"/>
              </w:rPr>
              <w:t>评定内容</w:t>
            </w:r>
          </w:p>
        </w:tc>
        <w:tc>
          <w:tcPr>
            <w:tcW w:w="12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行为代码</w:t>
            </w:r>
          </w:p>
        </w:tc>
        <w:tc>
          <w:tcPr>
            <w:tcW w:w="704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不良/良好行为</w:t>
            </w:r>
          </w:p>
        </w:tc>
        <w:tc>
          <w:tcPr>
            <w:tcW w:w="135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行为等级和扣分标准</w:t>
            </w:r>
          </w:p>
        </w:tc>
        <w:tc>
          <w:tcPr>
            <w:tcW w:w="354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评分依据</w:t>
            </w:r>
          </w:p>
        </w:tc>
      </w:tr>
      <w:tr>
        <w:tblPrEx>
          <w:tblCellMar>
            <w:top w:w="0" w:type="dxa"/>
            <w:left w:w="108" w:type="dxa"/>
            <w:bottom w:w="0" w:type="dxa"/>
            <w:right w:w="108" w:type="dxa"/>
          </w:tblCellMar>
        </w:tblPrEx>
        <w:trPr>
          <w:trHeight w:val="558" w:hRule="atLeast"/>
          <w:jc w:val="center"/>
        </w:trPr>
        <w:tc>
          <w:tcPr>
            <w:tcW w:w="12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b/>
                <w:bCs/>
                <w:kern w:val="0"/>
                <w:sz w:val="20"/>
                <w:szCs w:val="20"/>
              </w:rPr>
            </w:pPr>
            <w:r>
              <w:rPr>
                <w:b/>
                <w:bCs/>
                <w:kern w:val="0"/>
                <w:sz w:val="20"/>
                <w:szCs w:val="20"/>
              </w:rPr>
              <w:t>经营资质</w:t>
            </w:r>
            <w:r>
              <w:rPr>
                <w:b/>
                <w:bCs/>
                <w:kern w:val="0"/>
                <w:sz w:val="20"/>
                <w:szCs w:val="20"/>
              </w:rPr>
              <w:br w:type="textWrapping"/>
            </w:r>
            <w:r>
              <w:rPr>
                <w:b/>
                <w:bCs/>
                <w:kern w:val="0"/>
                <w:sz w:val="20"/>
                <w:szCs w:val="20"/>
              </w:rPr>
              <w:t>(满分20分，扣完为止)</w:t>
            </w:r>
          </w:p>
        </w:tc>
        <w:tc>
          <w:tcPr>
            <w:tcW w:w="77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b/>
                <w:bCs/>
                <w:kern w:val="0"/>
                <w:sz w:val="20"/>
                <w:szCs w:val="20"/>
              </w:rPr>
            </w:pPr>
            <w:r>
              <w:rPr>
                <w:b/>
                <w:bCs/>
                <w:kern w:val="0"/>
                <w:sz w:val="20"/>
                <w:szCs w:val="20"/>
              </w:rPr>
              <w:t>企业资质</w:t>
            </w: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SLYS1-2-5</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spacing w:val="-2"/>
                <w:w w:val="99"/>
                <w:kern w:val="0"/>
                <w:sz w:val="20"/>
                <w:szCs w:val="20"/>
              </w:rPr>
            </w:pPr>
            <w:r>
              <w:rPr>
                <w:spacing w:val="-2"/>
                <w:w w:val="99"/>
                <w:kern w:val="0"/>
                <w:sz w:val="20"/>
                <w:szCs w:val="20"/>
              </w:rPr>
              <w:t>终止经营之日起15个工作日内，未向原许可机关办理注销手续和交回许可证件的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2分/起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《国内水路运输管理规定》第一十九条</w:t>
            </w:r>
          </w:p>
        </w:tc>
      </w:tr>
      <w:tr>
        <w:tblPrEx>
          <w:tblCellMar>
            <w:top w:w="0" w:type="dxa"/>
            <w:left w:w="108" w:type="dxa"/>
            <w:bottom w:w="0" w:type="dxa"/>
            <w:right w:w="108" w:type="dxa"/>
          </w:tblCellMar>
        </w:tblPrEx>
        <w:trPr>
          <w:trHeight w:val="481"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SLYS1-2-6</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未保持相应的经营资质条件的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10分/起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《国内水路运输管理规定》第二十条</w:t>
            </w:r>
          </w:p>
        </w:tc>
      </w:tr>
      <w:tr>
        <w:tblPrEx>
          <w:tblCellMar>
            <w:top w:w="0" w:type="dxa"/>
            <w:left w:w="108" w:type="dxa"/>
            <w:bottom w:w="0" w:type="dxa"/>
            <w:right w:w="108" w:type="dxa"/>
          </w:tblCellMar>
        </w:tblPrEx>
        <w:trPr>
          <w:trHeight w:val="634"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77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b/>
                <w:bCs/>
                <w:kern w:val="0"/>
                <w:sz w:val="20"/>
                <w:szCs w:val="20"/>
              </w:rPr>
            </w:pPr>
            <w:r>
              <w:rPr>
                <w:b/>
                <w:bCs/>
                <w:kern w:val="0"/>
                <w:sz w:val="20"/>
                <w:szCs w:val="20"/>
              </w:rPr>
              <w:t>人员资质</w:t>
            </w: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SLYS1-2-7</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未按规定要求配备海务、机务管理人员的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1分/人次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《国内水路运输管理规定》第四十八条、《国内水路运输辅助业管理规定》第三十四条</w:t>
            </w:r>
          </w:p>
        </w:tc>
      </w:tr>
      <w:tr>
        <w:tblPrEx>
          <w:tblCellMar>
            <w:top w:w="0" w:type="dxa"/>
            <w:left w:w="108" w:type="dxa"/>
            <w:bottom w:w="0" w:type="dxa"/>
            <w:right w:w="108" w:type="dxa"/>
          </w:tblCellMar>
        </w:tblPrEx>
        <w:trPr>
          <w:trHeight w:val="484"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SLYS1-2-8</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未按照规定配备船员或者未使船舶处于适航状态的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1分/人次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《国内水路运输管理条例》第三十八条</w:t>
            </w:r>
          </w:p>
        </w:tc>
      </w:tr>
      <w:tr>
        <w:tblPrEx>
          <w:tblCellMar>
            <w:top w:w="0" w:type="dxa"/>
            <w:left w:w="108" w:type="dxa"/>
            <w:bottom w:w="0" w:type="dxa"/>
            <w:right w:w="108" w:type="dxa"/>
          </w:tblCellMar>
        </w:tblPrEx>
        <w:trPr>
          <w:trHeight w:val="562"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SLYS1-2-9</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水路旅客运输经营者未按规定要求配备乘务人员的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1分/人次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《国内水路运输管理规定》第三十二条</w:t>
            </w:r>
          </w:p>
        </w:tc>
      </w:tr>
      <w:tr>
        <w:tblPrEx>
          <w:tblCellMar>
            <w:top w:w="0" w:type="dxa"/>
            <w:left w:w="108" w:type="dxa"/>
            <w:bottom w:w="0" w:type="dxa"/>
            <w:right w:w="108" w:type="dxa"/>
          </w:tblCellMar>
        </w:tblPrEx>
        <w:trPr>
          <w:trHeight w:val="556"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SLYS1-2-10</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spacing w:val="-4"/>
                <w:kern w:val="0"/>
                <w:sz w:val="20"/>
                <w:szCs w:val="20"/>
              </w:rPr>
            </w:pPr>
            <w:r>
              <w:rPr>
                <w:spacing w:val="-4"/>
                <w:kern w:val="0"/>
                <w:sz w:val="20"/>
                <w:szCs w:val="20"/>
              </w:rPr>
              <w:t>未按照规定设置安全生产管理机构或者配备安全生产管理人员、注册安全工程师的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1分/人次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spacing w:val="-4"/>
                <w:w w:val="99"/>
                <w:kern w:val="0"/>
                <w:sz w:val="20"/>
                <w:szCs w:val="20"/>
              </w:rPr>
            </w:pPr>
            <w:r>
              <w:rPr>
                <w:spacing w:val="-4"/>
                <w:w w:val="99"/>
                <w:kern w:val="0"/>
                <w:sz w:val="20"/>
                <w:szCs w:val="20"/>
              </w:rPr>
              <w:t>《中华人民共和国安全生产法》九十七条</w:t>
            </w:r>
          </w:p>
        </w:tc>
      </w:tr>
      <w:tr>
        <w:tblPrEx>
          <w:tblCellMar>
            <w:top w:w="0" w:type="dxa"/>
            <w:left w:w="108" w:type="dxa"/>
            <w:bottom w:w="0" w:type="dxa"/>
            <w:right w:w="108" w:type="dxa"/>
          </w:tblCellMar>
        </w:tblPrEx>
        <w:trPr>
          <w:trHeight w:val="549"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SLYS1-2-11</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危险物品运输单位主要负责人和安全生产管理人员未按照规定经考核合格的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1分/人次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spacing w:val="-4"/>
                <w:w w:val="99"/>
                <w:kern w:val="0"/>
                <w:sz w:val="20"/>
                <w:szCs w:val="20"/>
              </w:rPr>
            </w:pPr>
            <w:r>
              <w:rPr>
                <w:spacing w:val="-4"/>
                <w:w w:val="99"/>
                <w:kern w:val="0"/>
                <w:sz w:val="20"/>
                <w:szCs w:val="20"/>
              </w:rPr>
              <w:t>《中华人民共和国安全生产法》九十七条</w:t>
            </w:r>
          </w:p>
        </w:tc>
      </w:tr>
      <w:tr>
        <w:tblPrEx>
          <w:tblCellMar>
            <w:top w:w="0" w:type="dxa"/>
            <w:left w:w="108" w:type="dxa"/>
            <w:bottom w:w="0" w:type="dxa"/>
            <w:right w:w="108" w:type="dxa"/>
          </w:tblCellMar>
        </w:tblPrEx>
        <w:trPr>
          <w:trHeight w:val="558"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SLYS1-2-12</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未经考试合格并取得适任证书或者其他适任证件的人员擅自从事船舶航行的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2分/人次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spacing w:val="-4"/>
                <w:w w:val="99"/>
                <w:kern w:val="0"/>
                <w:sz w:val="20"/>
                <w:szCs w:val="20"/>
              </w:rPr>
            </w:pPr>
            <w:r>
              <w:rPr>
                <w:spacing w:val="-4"/>
                <w:w w:val="99"/>
                <w:kern w:val="0"/>
                <w:sz w:val="20"/>
                <w:szCs w:val="20"/>
              </w:rPr>
              <w:t>《中华人民共和国内河交通安全管理条例》第六十六条</w:t>
            </w:r>
          </w:p>
        </w:tc>
      </w:tr>
      <w:tr>
        <w:tblPrEx>
          <w:tblCellMar>
            <w:top w:w="0" w:type="dxa"/>
            <w:left w:w="108" w:type="dxa"/>
            <w:bottom w:w="0" w:type="dxa"/>
            <w:right w:w="108" w:type="dxa"/>
          </w:tblCellMar>
        </w:tblPrEx>
        <w:trPr>
          <w:trHeight w:val="749"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SLYS1-2-13</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装卸管理人员、申报员、检查员未取得从业资格上岗作业的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1分/人次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rPr>
                <w:spacing w:val="-6"/>
                <w:w w:val="96"/>
                <w:kern w:val="0"/>
                <w:sz w:val="20"/>
                <w:szCs w:val="20"/>
              </w:rPr>
            </w:pPr>
            <w:r>
              <w:rPr>
                <w:spacing w:val="-6"/>
                <w:w w:val="96"/>
                <w:kern w:val="0"/>
                <w:sz w:val="20"/>
                <w:szCs w:val="20"/>
              </w:rPr>
              <w:t>《危险货物水路运输从业人员考核和从业资格管理规定》第二十七条；《中华人民共和国内河交通安全管理条例》第二十二条</w:t>
            </w:r>
          </w:p>
        </w:tc>
      </w:tr>
      <w:tr>
        <w:tblPrEx>
          <w:tblCellMar>
            <w:top w:w="0" w:type="dxa"/>
            <w:left w:w="108" w:type="dxa"/>
            <w:bottom w:w="0" w:type="dxa"/>
            <w:right w:w="108" w:type="dxa"/>
          </w:tblCellMar>
        </w:tblPrEx>
        <w:trPr>
          <w:trHeight w:val="422"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SLYS1-2-14</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从事危险化学品运输的船员未取得相应的船员适任证书和培训合格证明的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1分/人次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spacing w:val="-4"/>
                <w:w w:val="99"/>
                <w:kern w:val="0"/>
                <w:sz w:val="20"/>
                <w:szCs w:val="20"/>
              </w:rPr>
              <w:t>《中华人民共和国内河交通安全管理条例》第二十二条</w:t>
            </w:r>
          </w:p>
        </w:tc>
      </w:tr>
      <w:tr>
        <w:tblPrEx>
          <w:tblCellMar>
            <w:top w:w="0" w:type="dxa"/>
            <w:left w:w="108" w:type="dxa"/>
            <w:bottom w:w="0" w:type="dxa"/>
            <w:right w:w="108" w:type="dxa"/>
          </w:tblCellMar>
        </w:tblPrEx>
        <w:trPr>
          <w:trHeight w:val="422"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77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b/>
                <w:bCs/>
                <w:kern w:val="0"/>
                <w:sz w:val="20"/>
                <w:szCs w:val="20"/>
              </w:rPr>
            </w:pPr>
            <w:r>
              <w:rPr>
                <w:b/>
                <w:bCs/>
                <w:kern w:val="0"/>
                <w:sz w:val="20"/>
                <w:szCs w:val="20"/>
              </w:rPr>
              <w:t>船舶资质</w:t>
            </w: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SLYS1-2-15</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使用未取得船舶营运证件的船舶从事水路运输的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10分/次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《国内水路运输管理条例》第三十四条</w:t>
            </w:r>
          </w:p>
        </w:tc>
      </w:tr>
      <w:tr>
        <w:tblPrEx>
          <w:tblCellMar>
            <w:top w:w="0" w:type="dxa"/>
            <w:left w:w="108" w:type="dxa"/>
            <w:bottom w:w="0" w:type="dxa"/>
            <w:right w:w="108" w:type="dxa"/>
          </w:tblCellMar>
        </w:tblPrEx>
        <w:trPr>
          <w:trHeight w:val="596"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SLYS1-2-16</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不符合交通运输部关于船型技术标准、船龄要求的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2分/项、次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《国内水路运输管理规定》第七条</w:t>
            </w:r>
          </w:p>
        </w:tc>
      </w:tr>
      <w:tr>
        <w:tblPrEx>
          <w:tblCellMar>
            <w:top w:w="0" w:type="dxa"/>
            <w:left w:w="108" w:type="dxa"/>
            <w:bottom w:w="0" w:type="dxa"/>
            <w:right w:w="108" w:type="dxa"/>
          </w:tblCellMar>
        </w:tblPrEx>
        <w:trPr>
          <w:trHeight w:val="563"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SLYS1-2-17</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船舶报废、转让或者变更经营者后，未在15个工作日内向原许可机关办理《船舶营业运输证》注销、变更手续的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5分/起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《国内水路运输管理规定》第一十九条</w:t>
            </w:r>
          </w:p>
        </w:tc>
      </w:tr>
      <w:tr>
        <w:tblPrEx>
          <w:tblCellMar>
            <w:top w:w="0" w:type="dxa"/>
            <w:left w:w="108" w:type="dxa"/>
            <w:bottom w:w="0" w:type="dxa"/>
            <w:right w:w="108" w:type="dxa"/>
          </w:tblCellMar>
        </w:tblPrEx>
        <w:trPr>
          <w:trHeight w:val="563" w:hRule="atLeast"/>
          <w:jc w:val="center"/>
        </w:trPr>
        <w:tc>
          <w:tcPr>
            <w:tcW w:w="20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 w:val="20"/>
                <w:szCs w:val="20"/>
              </w:rPr>
            </w:pPr>
            <w:r>
              <w:rPr>
                <w:rFonts w:eastAsia="黑体"/>
                <w:bCs/>
                <w:kern w:val="0"/>
                <w:sz w:val="20"/>
                <w:szCs w:val="20"/>
              </w:rPr>
              <w:t>评定内容</w:t>
            </w: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行为代码</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不良/良好行为</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行为等级和扣分标准</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评分依据</w:t>
            </w:r>
          </w:p>
        </w:tc>
      </w:tr>
      <w:tr>
        <w:tblPrEx>
          <w:tblCellMar>
            <w:top w:w="0" w:type="dxa"/>
            <w:left w:w="108" w:type="dxa"/>
            <w:bottom w:w="0" w:type="dxa"/>
            <w:right w:w="108" w:type="dxa"/>
          </w:tblCellMar>
        </w:tblPrEx>
        <w:trPr>
          <w:trHeight w:val="1139" w:hRule="atLeast"/>
          <w:jc w:val="center"/>
        </w:trPr>
        <w:tc>
          <w:tcPr>
            <w:tcW w:w="12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kern w:val="0"/>
                <w:sz w:val="20"/>
                <w:szCs w:val="20"/>
              </w:rPr>
            </w:pPr>
            <w:r>
              <w:rPr>
                <w:b/>
                <w:bCs/>
                <w:kern w:val="0"/>
                <w:sz w:val="20"/>
                <w:szCs w:val="20"/>
              </w:rPr>
              <w:t>经营资质</w:t>
            </w:r>
            <w:r>
              <w:rPr>
                <w:b/>
                <w:bCs/>
                <w:kern w:val="0"/>
                <w:sz w:val="20"/>
                <w:szCs w:val="20"/>
              </w:rPr>
              <w:br w:type="textWrapping"/>
            </w:r>
            <w:r>
              <w:rPr>
                <w:b/>
                <w:bCs/>
                <w:kern w:val="0"/>
                <w:sz w:val="20"/>
                <w:szCs w:val="20"/>
              </w:rPr>
              <w:t>(满分20分，扣完为止)</w:t>
            </w:r>
          </w:p>
        </w:tc>
        <w:tc>
          <w:tcPr>
            <w:tcW w:w="77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kern w:val="0"/>
                <w:sz w:val="20"/>
                <w:szCs w:val="20"/>
              </w:rPr>
            </w:pPr>
            <w:r>
              <w:rPr>
                <w:b/>
                <w:bCs/>
                <w:kern w:val="0"/>
                <w:sz w:val="20"/>
                <w:szCs w:val="20"/>
              </w:rPr>
              <w:t>船舶资质</w:t>
            </w: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SLYS1-2-18</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未随船携带船舶营运证件，或《船舶营业运输证》遗失或者损毁未及时向原配发机关申请补发的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3分/起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《国内水路运输管理条例》第三十四条、《国内水路运输管理规定》第二十二条</w:t>
            </w:r>
          </w:p>
        </w:tc>
      </w:tr>
      <w:tr>
        <w:tblPrEx>
          <w:tblCellMar>
            <w:top w:w="0" w:type="dxa"/>
            <w:left w:w="108" w:type="dxa"/>
            <w:bottom w:w="0" w:type="dxa"/>
            <w:right w:w="108" w:type="dxa"/>
          </w:tblCellMar>
        </w:tblPrEx>
        <w:trPr>
          <w:trHeight w:val="728"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SLYS1-2-19</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船舶未持有合格的检验证书、登记证书擅自航行或者作业的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2分/起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《中华人民共和国内河交通安全管理条例》第六十四条</w:t>
            </w:r>
          </w:p>
        </w:tc>
      </w:tr>
      <w:tr>
        <w:tblPrEx>
          <w:tblCellMar>
            <w:top w:w="0" w:type="dxa"/>
            <w:left w:w="108" w:type="dxa"/>
            <w:bottom w:w="0" w:type="dxa"/>
            <w:right w:w="108" w:type="dxa"/>
          </w:tblCellMar>
        </w:tblPrEx>
        <w:trPr>
          <w:trHeight w:val="810"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SLYS1-2-20</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未持有危险货物适装证书擅自载运危险货物或者未按照安全技术规范进行配载和运输的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2分/起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《中华人民共和国内河交通安全管理条例》第七十一条</w:t>
            </w:r>
          </w:p>
        </w:tc>
      </w:tr>
      <w:tr>
        <w:tblPrEx>
          <w:tblCellMar>
            <w:top w:w="0" w:type="dxa"/>
            <w:left w:w="108" w:type="dxa"/>
            <w:bottom w:w="0" w:type="dxa"/>
            <w:right w:w="108" w:type="dxa"/>
          </w:tblCellMar>
        </w:tblPrEx>
        <w:trPr>
          <w:trHeight w:val="933"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SLYS1-2-23</w:t>
            </w:r>
          </w:p>
        </w:tc>
        <w:tc>
          <w:tcPr>
            <w:tcW w:w="7049" w:type="dxa"/>
            <w:tcBorders>
              <w:top w:val="single" w:color="auto" w:sz="4" w:space="0"/>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购置或者光租外国籍一、二、三类船舶前，未按照国家有关规定向设区的市级人民政府水路运输管理部门提出增加运力的申请的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5分/起</w:t>
            </w:r>
          </w:p>
        </w:tc>
        <w:tc>
          <w:tcPr>
            <w:tcW w:w="3548" w:type="dxa"/>
            <w:tcBorders>
              <w:top w:val="single" w:color="auto" w:sz="4" w:space="0"/>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《老旧运输船舶管理规定》第十三条</w:t>
            </w:r>
          </w:p>
        </w:tc>
      </w:tr>
      <w:tr>
        <w:tblPrEx>
          <w:tblCellMar>
            <w:top w:w="0" w:type="dxa"/>
            <w:left w:w="108" w:type="dxa"/>
            <w:bottom w:w="0" w:type="dxa"/>
            <w:right w:w="108" w:type="dxa"/>
          </w:tblCellMar>
        </w:tblPrEx>
        <w:trPr>
          <w:trHeight w:val="828"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SLYS1-2-24</w:t>
            </w:r>
          </w:p>
        </w:tc>
        <w:tc>
          <w:tcPr>
            <w:tcW w:w="7049" w:type="dxa"/>
            <w:tcBorders>
              <w:top w:val="single" w:color="auto" w:sz="4" w:space="0"/>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船舶管理业务终止经营，未自终止经营之日起15个工作日内向原许可机关办理注销手续，交回许可证件的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5分/起</w:t>
            </w:r>
          </w:p>
        </w:tc>
        <w:tc>
          <w:tcPr>
            <w:tcW w:w="3548" w:type="dxa"/>
            <w:tcBorders>
              <w:top w:val="single" w:color="auto" w:sz="4" w:space="0"/>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《国内水路运输辅助业管理规定》第十一条</w:t>
            </w:r>
          </w:p>
        </w:tc>
      </w:tr>
      <w:tr>
        <w:tblPrEx>
          <w:tblCellMar>
            <w:top w:w="0" w:type="dxa"/>
            <w:left w:w="108" w:type="dxa"/>
            <w:bottom w:w="0" w:type="dxa"/>
            <w:right w:w="108" w:type="dxa"/>
          </w:tblCellMar>
        </w:tblPrEx>
        <w:trPr>
          <w:trHeight w:val="634"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SLYS1-2-25</w:t>
            </w:r>
          </w:p>
        </w:tc>
        <w:tc>
          <w:tcPr>
            <w:tcW w:w="7049" w:type="dxa"/>
            <w:tcBorders>
              <w:top w:val="single" w:color="auto" w:sz="4" w:space="0"/>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船舶管理业务经营者未保持相应的经营资质条件的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2分/起</w:t>
            </w:r>
          </w:p>
        </w:tc>
        <w:tc>
          <w:tcPr>
            <w:tcW w:w="3548" w:type="dxa"/>
            <w:tcBorders>
              <w:top w:val="single" w:color="auto" w:sz="4" w:space="0"/>
              <w:left w:val="nil"/>
              <w:bottom w:val="single" w:color="auto" w:sz="4" w:space="0"/>
              <w:right w:val="single" w:color="auto" w:sz="4" w:space="0"/>
            </w:tcBorders>
            <w:shd w:val="clear" w:color="auto" w:fill="auto"/>
            <w:noWrap/>
            <w:vAlign w:val="center"/>
          </w:tcPr>
          <w:p>
            <w:pPr>
              <w:widowControl/>
              <w:rPr>
                <w:kern w:val="0"/>
                <w:sz w:val="20"/>
                <w:szCs w:val="20"/>
              </w:rPr>
            </w:pPr>
            <w:r>
              <w:rPr>
                <w:kern w:val="0"/>
                <w:sz w:val="20"/>
                <w:szCs w:val="20"/>
              </w:rPr>
              <w:t>《国内水路运输辅助业管理规定》第十四条</w:t>
            </w:r>
          </w:p>
        </w:tc>
      </w:tr>
      <w:tr>
        <w:tblPrEx>
          <w:tblCellMar>
            <w:top w:w="0" w:type="dxa"/>
            <w:left w:w="108" w:type="dxa"/>
            <w:bottom w:w="0" w:type="dxa"/>
            <w:right w:w="108" w:type="dxa"/>
          </w:tblCellMar>
        </w:tblPrEx>
        <w:trPr>
          <w:trHeight w:val="814" w:hRule="atLeast"/>
          <w:jc w:val="center"/>
        </w:trPr>
        <w:tc>
          <w:tcPr>
            <w:tcW w:w="12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kern w:val="0"/>
                <w:sz w:val="20"/>
                <w:szCs w:val="20"/>
              </w:rPr>
            </w:pPr>
            <w:r>
              <w:rPr>
                <w:b/>
                <w:bCs/>
                <w:kern w:val="0"/>
                <w:sz w:val="20"/>
                <w:szCs w:val="20"/>
              </w:rPr>
              <w:t>运输服务质量(满分40分，扣完</w:t>
            </w:r>
          </w:p>
          <w:p>
            <w:pPr>
              <w:widowControl/>
              <w:jc w:val="center"/>
              <w:rPr>
                <w:b/>
                <w:bCs/>
                <w:kern w:val="0"/>
                <w:sz w:val="20"/>
                <w:szCs w:val="20"/>
              </w:rPr>
            </w:pPr>
            <w:r>
              <w:rPr>
                <w:b/>
                <w:bCs/>
                <w:kern w:val="0"/>
                <w:sz w:val="20"/>
                <w:szCs w:val="20"/>
              </w:rPr>
              <w:t>为止)</w:t>
            </w:r>
          </w:p>
        </w:tc>
        <w:tc>
          <w:tcPr>
            <w:tcW w:w="77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kern w:val="0"/>
                <w:sz w:val="20"/>
                <w:szCs w:val="20"/>
              </w:rPr>
            </w:pPr>
            <w:r>
              <w:rPr>
                <w:b/>
                <w:bCs/>
                <w:kern w:val="0"/>
                <w:sz w:val="20"/>
                <w:szCs w:val="20"/>
              </w:rPr>
              <w:t>内部日常管理</w:t>
            </w: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SLYS1-3-1</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出现《国内水路运输管理规定》第十八条规定情形，未在15个工作日内以书面形式向原许可机关备案的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2分/起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《国内水路运输管理规定》第十八条</w:t>
            </w:r>
          </w:p>
        </w:tc>
      </w:tr>
      <w:tr>
        <w:tblPrEx>
          <w:tblCellMar>
            <w:top w:w="0" w:type="dxa"/>
            <w:left w:w="108" w:type="dxa"/>
            <w:bottom w:w="0" w:type="dxa"/>
            <w:right w:w="108" w:type="dxa"/>
          </w:tblCellMar>
        </w:tblPrEx>
        <w:trPr>
          <w:trHeight w:val="698"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SLYS1-3-2</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未按照国家统计规定报送运输经营统计信息的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2分/次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《国内水路运输管理规定》第三十五条</w:t>
            </w:r>
          </w:p>
        </w:tc>
      </w:tr>
      <w:tr>
        <w:tblPrEx>
          <w:tblCellMar>
            <w:top w:w="0" w:type="dxa"/>
            <w:left w:w="108" w:type="dxa"/>
            <w:bottom w:w="0" w:type="dxa"/>
            <w:right w:w="108" w:type="dxa"/>
          </w:tblCellMar>
        </w:tblPrEx>
        <w:trPr>
          <w:trHeight w:val="977"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SLYS1-3-3</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拒绝接受监督检查或者隐匿有关资料或瞒报、谎报有关情况的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10分/起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《国内水路运输管理规定》第五十二条、《国内水路运输辅助业管理规定》第三十七条</w:t>
            </w:r>
          </w:p>
        </w:tc>
      </w:tr>
      <w:tr>
        <w:tblPrEx>
          <w:tblCellMar>
            <w:top w:w="0" w:type="dxa"/>
            <w:left w:w="108" w:type="dxa"/>
            <w:bottom w:w="0" w:type="dxa"/>
            <w:right w:w="108" w:type="dxa"/>
          </w:tblCellMar>
        </w:tblPrEx>
        <w:trPr>
          <w:trHeight w:val="563" w:hRule="atLeast"/>
          <w:jc w:val="center"/>
        </w:trPr>
        <w:tc>
          <w:tcPr>
            <w:tcW w:w="20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 w:val="20"/>
                <w:szCs w:val="20"/>
              </w:rPr>
            </w:pPr>
            <w:r>
              <w:rPr>
                <w:rFonts w:eastAsia="黑体"/>
                <w:bCs/>
                <w:kern w:val="0"/>
                <w:sz w:val="20"/>
                <w:szCs w:val="20"/>
              </w:rPr>
              <w:t>评定内容</w:t>
            </w: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行为代码</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不良/良好行为</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行为等级和扣分标准</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评分依据</w:t>
            </w:r>
          </w:p>
        </w:tc>
      </w:tr>
      <w:tr>
        <w:tblPrEx>
          <w:tblCellMar>
            <w:top w:w="0" w:type="dxa"/>
            <w:left w:w="108" w:type="dxa"/>
            <w:bottom w:w="0" w:type="dxa"/>
            <w:right w:w="108" w:type="dxa"/>
          </w:tblCellMar>
        </w:tblPrEx>
        <w:trPr>
          <w:trHeight w:val="571" w:hRule="atLeast"/>
          <w:jc w:val="center"/>
        </w:trPr>
        <w:tc>
          <w:tcPr>
            <w:tcW w:w="12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kern w:val="0"/>
                <w:sz w:val="20"/>
                <w:szCs w:val="20"/>
              </w:rPr>
            </w:pPr>
            <w:r>
              <w:rPr>
                <w:b/>
                <w:bCs/>
                <w:kern w:val="0"/>
                <w:sz w:val="20"/>
                <w:szCs w:val="20"/>
              </w:rPr>
              <w:t>运输服务</w:t>
            </w:r>
          </w:p>
          <w:p>
            <w:pPr>
              <w:widowControl/>
              <w:jc w:val="center"/>
              <w:rPr>
                <w:b/>
                <w:bCs/>
                <w:kern w:val="0"/>
                <w:sz w:val="20"/>
                <w:szCs w:val="20"/>
              </w:rPr>
            </w:pPr>
            <w:r>
              <w:rPr>
                <w:b/>
                <w:bCs/>
                <w:kern w:val="0"/>
                <w:sz w:val="20"/>
                <w:szCs w:val="20"/>
              </w:rPr>
              <w:t>质量(满分40分，扣完为止)</w:t>
            </w:r>
          </w:p>
        </w:tc>
        <w:tc>
          <w:tcPr>
            <w:tcW w:w="77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kern w:val="0"/>
                <w:sz w:val="20"/>
                <w:szCs w:val="20"/>
              </w:rPr>
            </w:pPr>
            <w:r>
              <w:rPr>
                <w:b/>
                <w:bCs/>
                <w:kern w:val="0"/>
                <w:sz w:val="20"/>
                <w:szCs w:val="20"/>
              </w:rPr>
              <w:t>内部日常管理</w:t>
            </w: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SLYS1-3-5</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未为经营的客运船舶投保承运人责任保险或者取得相应的财务担保的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5分/起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《国内水路运输管理条例》第三十九条</w:t>
            </w:r>
          </w:p>
        </w:tc>
      </w:tr>
      <w:tr>
        <w:tblPrEx>
          <w:tblCellMar>
            <w:top w:w="0" w:type="dxa"/>
            <w:left w:w="108" w:type="dxa"/>
            <w:bottom w:w="0" w:type="dxa"/>
            <w:right w:w="108" w:type="dxa"/>
          </w:tblCellMar>
        </w:tblPrEx>
        <w:trPr>
          <w:trHeight w:val="786"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SLYS1-3-6</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经批准取得水路运输经营许可的外商投资企业外方投资者或者外方投资股比等事项发生变化的，未报原许可机关批准的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5分/起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《国内水路运输管理规定》第三十五条</w:t>
            </w:r>
          </w:p>
        </w:tc>
      </w:tr>
      <w:tr>
        <w:tblPrEx>
          <w:tblCellMar>
            <w:top w:w="0" w:type="dxa"/>
            <w:left w:w="108" w:type="dxa"/>
            <w:bottom w:w="0" w:type="dxa"/>
            <w:right w:w="108" w:type="dxa"/>
          </w:tblCellMar>
        </w:tblPrEx>
        <w:trPr>
          <w:trHeight w:val="654"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SLYS1-3-7</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使用的运输单证不符合有关规定的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1分/起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《国内水路运输辅助业管理规定》第三十六条</w:t>
            </w:r>
          </w:p>
        </w:tc>
      </w:tr>
      <w:tr>
        <w:tblPrEx>
          <w:tblCellMar>
            <w:top w:w="0" w:type="dxa"/>
            <w:left w:w="108" w:type="dxa"/>
            <w:bottom w:w="0" w:type="dxa"/>
            <w:right w:w="108" w:type="dxa"/>
          </w:tblCellMar>
        </w:tblPrEx>
        <w:trPr>
          <w:trHeight w:val="519"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kern w:val="0"/>
                <w:sz w:val="20"/>
                <w:szCs w:val="20"/>
              </w:rPr>
            </w:pPr>
            <w:r>
              <w:rPr>
                <w:b/>
                <w:bCs/>
                <w:kern w:val="0"/>
                <w:sz w:val="20"/>
                <w:szCs w:val="20"/>
              </w:rPr>
              <w:t>经营行为</w:t>
            </w: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SLYS1-3-8</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未按要求对托运人身份信息、托运货物信息进行查验及处理的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3分/次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《国内水路运输管理规定》第二十四条</w:t>
            </w:r>
          </w:p>
        </w:tc>
      </w:tr>
      <w:tr>
        <w:tblPrEx>
          <w:tblCellMar>
            <w:top w:w="0" w:type="dxa"/>
            <w:left w:w="108" w:type="dxa"/>
            <w:bottom w:w="0" w:type="dxa"/>
            <w:right w:w="108" w:type="dxa"/>
          </w:tblCellMar>
        </w:tblPrEx>
        <w:trPr>
          <w:trHeight w:val="634"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SLYS1-3-9</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未按要求规范销售客票的，或未向旅客明示退票、改签等规定的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1分/人次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《国内水路运输管理规定》第二十九条</w:t>
            </w:r>
          </w:p>
        </w:tc>
      </w:tr>
      <w:tr>
        <w:tblPrEx>
          <w:tblCellMar>
            <w:top w:w="0" w:type="dxa"/>
            <w:left w:w="108" w:type="dxa"/>
            <w:bottom w:w="0" w:type="dxa"/>
            <w:right w:w="108" w:type="dxa"/>
          </w:tblCellMar>
        </w:tblPrEx>
        <w:trPr>
          <w:trHeight w:val="602"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SLYS1-3-10</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未按有关规定为军人、人民警察、国家综合性消防救援队伍人员、学生、老幼病残孕等旅客提供优先、优惠、免票等优待服务的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1分/人次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 xml:space="preserve">《国内水路运输管理规定》第三十条 </w:t>
            </w:r>
          </w:p>
        </w:tc>
      </w:tr>
      <w:tr>
        <w:tblPrEx>
          <w:tblCellMar>
            <w:top w:w="0" w:type="dxa"/>
            <w:left w:w="108" w:type="dxa"/>
            <w:bottom w:w="0" w:type="dxa"/>
            <w:right w:w="108" w:type="dxa"/>
          </w:tblCellMar>
        </w:tblPrEx>
        <w:trPr>
          <w:trHeight w:val="749"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SLYS1-3-11</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未保持船上服务设施和警告标识完好的；未为老幼病残孕等需要帮助的旅客提供无障碍服务的；未在船舶开航前播报旅客乘船安全须知，并及时向旅客播报特殊情况下的禁航等信息的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1分/次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《国内水路运输管理规定》第三十二条</w:t>
            </w:r>
          </w:p>
        </w:tc>
      </w:tr>
      <w:tr>
        <w:tblPrEx>
          <w:tblCellMar>
            <w:top w:w="0" w:type="dxa"/>
            <w:left w:w="108" w:type="dxa"/>
            <w:bottom w:w="0" w:type="dxa"/>
            <w:right w:w="108" w:type="dxa"/>
          </w:tblCellMar>
        </w:tblPrEx>
        <w:trPr>
          <w:trHeight w:val="691"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SLYS1-3-12</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不配合监督检查，未如实提供有关凭证、文件及其他相关资料的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10分/起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《国内水路运输管理规定》第四十二条</w:t>
            </w:r>
          </w:p>
        </w:tc>
      </w:tr>
      <w:tr>
        <w:tblPrEx>
          <w:tblCellMar>
            <w:top w:w="0" w:type="dxa"/>
            <w:left w:w="108" w:type="dxa"/>
            <w:bottom w:w="0" w:type="dxa"/>
            <w:right w:w="108" w:type="dxa"/>
          </w:tblCellMar>
        </w:tblPrEx>
        <w:trPr>
          <w:trHeight w:val="864"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SLYS1-3-13</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擅自改装客船、危险品船增加《船舶营业运输证》核定的载客定额、载货定额或者变更从事散装液体危险货物运输种类的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10分/次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《国内水路运输管理规定》第五十条</w:t>
            </w:r>
          </w:p>
        </w:tc>
      </w:tr>
      <w:tr>
        <w:tblPrEx>
          <w:tblCellMar>
            <w:top w:w="0" w:type="dxa"/>
            <w:left w:w="108" w:type="dxa"/>
            <w:bottom w:w="0" w:type="dxa"/>
            <w:right w:w="108" w:type="dxa"/>
          </w:tblCellMar>
        </w:tblPrEx>
        <w:trPr>
          <w:trHeight w:val="728"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SLYS1-3-14</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超越船舶核定载客定额或者核定载重量载运旅客或者货物的，或使用货船载运旅客的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5分/起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《国内水路运输管理规定》第五十条</w:t>
            </w:r>
          </w:p>
        </w:tc>
      </w:tr>
      <w:tr>
        <w:tblPrEx>
          <w:tblCellMar>
            <w:top w:w="0" w:type="dxa"/>
            <w:left w:w="108" w:type="dxa"/>
            <w:bottom w:w="0" w:type="dxa"/>
            <w:right w:w="108" w:type="dxa"/>
          </w:tblCellMar>
        </w:tblPrEx>
        <w:trPr>
          <w:trHeight w:val="576"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SLYS1-3-15</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使用未取得危险货物适装证书的船舶运输危险货物的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10分/起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《国内水路运输管理条例》第三十八条</w:t>
            </w:r>
          </w:p>
        </w:tc>
      </w:tr>
      <w:tr>
        <w:tblPrEx>
          <w:tblCellMar>
            <w:top w:w="0" w:type="dxa"/>
            <w:left w:w="108" w:type="dxa"/>
            <w:bottom w:w="0" w:type="dxa"/>
            <w:right w:w="108" w:type="dxa"/>
          </w:tblCellMar>
        </w:tblPrEx>
        <w:trPr>
          <w:trHeight w:val="576" w:hRule="atLeast"/>
          <w:jc w:val="center"/>
        </w:trPr>
        <w:tc>
          <w:tcPr>
            <w:tcW w:w="20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 w:val="20"/>
                <w:szCs w:val="20"/>
              </w:rPr>
            </w:pPr>
            <w:r>
              <w:rPr>
                <w:rFonts w:eastAsia="黑体"/>
                <w:bCs/>
                <w:kern w:val="0"/>
                <w:sz w:val="20"/>
                <w:szCs w:val="20"/>
              </w:rPr>
              <w:t>评定内容</w:t>
            </w: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行为代码</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不良/良好行为</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行为等级和扣分标准</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评分依据</w:t>
            </w:r>
          </w:p>
        </w:tc>
      </w:tr>
      <w:tr>
        <w:tblPrEx>
          <w:tblCellMar>
            <w:top w:w="0" w:type="dxa"/>
            <w:left w:w="108" w:type="dxa"/>
            <w:bottom w:w="0" w:type="dxa"/>
            <w:right w:w="108" w:type="dxa"/>
          </w:tblCellMar>
        </w:tblPrEx>
        <w:trPr>
          <w:trHeight w:val="557" w:hRule="atLeast"/>
          <w:jc w:val="center"/>
        </w:trPr>
        <w:tc>
          <w:tcPr>
            <w:tcW w:w="12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kern w:val="0"/>
                <w:sz w:val="20"/>
                <w:szCs w:val="20"/>
              </w:rPr>
            </w:pPr>
            <w:r>
              <w:rPr>
                <w:b/>
                <w:bCs/>
                <w:kern w:val="0"/>
                <w:sz w:val="20"/>
                <w:szCs w:val="20"/>
              </w:rPr>
              <w:t>运输服务质量(满分40分，扣完为止)</w:t>
            </w:r>
          </w:p>
        </w:tc>
        <w:tc>
          <w:tcPr>
            <w:tcW w:w="77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kern w:val="0"/>
                <w:sz w:val="20"/>
                <w:szCs w:val="20"/>
              </w:rPr>
            </w:pPr>
            <w:r>
              <w:rPr>
                <w:b/>
                <w:bCs/>
                <w:kern w:val="0"/>
                <w:sz w:val="20"/>
                <w:szCs w:val="20"/>
              </w:rPr>
              <w:t>经营行为</w:t>
            </w: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SLYS1-3-16</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班轮运输业务经营者未提前向社会公布所使用的船舶、班期、班次和运价或者其变更信息的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5分/起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《国内水路运输管理条例》第四十条</w:t>
            </w:r>
          </w:p>
        </w:tc>
      </w:tr>
      <w:tr>
        <w:tblPrEx>
          <w:tblCellMar>
            <w:top w:w="0" w:type="dxa"/>
            <w:left w:w="108" w:type="dxa"/>
            <w:bottom w:w="0" w:type="dxa"/>
            <w:right w:w="108" w:type="dxa"/>
          </w:tblCellMar>
        </w:tblPrEx>
        <w:trPr>
          <w:trHeight w:val="553"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SLYS1-3-17</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旅客班轮运输业务经营者自取得班轮航线经营许可之日起60日内未开航的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5分/起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《国内水路运输管理条例》第四十一条</w:t>
            </w:r>
          </w:p>
        </w:tc>
      </w:tr>
      <w:tr>
        <w:tblPrEx>
          <w:tblCellMar>
            <w:top w:w="0" w:type="dxa"/>
            <w:left w:w="108" w:type="dxa"/>
            <w:bottom w:w="0" w:type="dxa"/>
            <w:right w:w="108" w:type="dxa"/>
          </w:tblCellMar>
        </w:tblPrEx>
        <w:trPr>
          <w:trHeight w:val="630"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SLYS1-3-18</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船舶管理业务经营者与委托人订立虚假协议或者名义上接受委托实际不承担船舶海务、机务管理责任的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10分/起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《国内水路运输辅助业管理规定》第三十五条</w:t>
            </w:r>
          </w:p>
        </w:tc>
      </w:tr>
      <w:tr>
        <w:tblPrEx>
          <w:tblCellMar>
            <w:top w:w="0" w:type="dxa"/>
            <w:left w:w="108" w:type="dxa"/>
            <w:bottom w:w="0" w:type="dxa"/>
            <w:right w:w="108" w:type="dxa"/>
          </w:tblCellMar>
        </w:tblPrEx>
        <w:trPr>
          <w:trHeight w:val="634"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SLYS1-3-19</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未履行备案或者报告义务的；或未建立业务记录和管理台账的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3分/起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《国内水路运输管理规定》第五十一条、《国内水路运输辅助业管理规定》第三十六条</w:t>
            </w:r>
          </w:p>
        </w:tc>
      </w:tr>
      <w:tr>
        <w:tblPrEx>
          <w:tblCellMar>
            <w:top w:w="0" w:type="dxa"/>
            <w:left w:w="108" w:type="dxa"/>
            <w:bottom w:w="0" w:type="dxa"/>
            <w:right w:w="108" w:type="dxa"/>
          </w:tblCellMar>
        </w:tblPrEx>
        <w:trPr>
          <w:trHeight w:val="902"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SLYS1-3-20</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 xml:space="preserve">违规提供水路运输辅助服务的；或以不正当方式或者不规范行为争抢客源、货源及提供其他水路运输辅助服务，扰乱市场秩序的 </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10分/起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《国内水路运输管理规定》第五十一条、《国内水路运输辅助业管理规定》第三十六条</w:t>
            </w:r>
          </w:p>
        </w:tc>
      </w:tr>
      <w:tr>
        <w:tblPrEx>
          <w:tblCellMar>
            <w:top w:w="0" w:type="dxa"/>
            <w:left w:w="108" w:type="dxa"/>
            <w:bottom w:w="0" w:type="dxa"/>
            <w:right w:w="108" w:type="dxa"/>
          </w:tblCellMar>
        </w:tblPrEx>
        <w:trPr>
          <w:trHeight w:val="924"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SLYS1-3-21</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未订立书面合同、强行代理或者代办业务的； 或限制委托人选择其他代理或者船舶管理服务提供者的； 或进行虚假宣传，误导旅客或者委托人的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10分/起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《国内水路运输管理规定》第五十一条、《国内水路运输辅助业管理规定》第三十六条</w:t>
            </w:r>
          </w:p>
        </w:tc>
      </w:tr>
      <w:tr>
        <w:tblPrEx>
          <w:tblCellMar>
            <w:top w:w="0" w:type="dxa"/>
            <w:left w:w="108" w:type="dxa"/>
            <w:bottom w:w="0" w:type="dxa"/>
            <w:right w:w="108" w:type="dxa"/>
          </w:tblCellMar>
        </w:tblPrEx>
        <w:trPr>
          <w:trHeight w:val="981"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SLYS1-3-22</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 xml:space="preserve">未在售票场所和售票网站的明显位置公布船舶、班期、班次、票价等信息的； 或未以公布的票价或者变相变更公布的票价销售客票的 </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3分/起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《国内水路运输管理规定》第五十一条、《国内水路运输辅助业管理规定》第三十六条</w:t>
            </w:r>
          </w:p>
        </w:tc>
      </w:tr>
      <w:tr>
        <w:tblPrEx>
          <w:tblCellMar>
            <w:top w:w="0" w:type="dxa"/>
            <w:left w:w="108" w:type="dxa"/>
            <w:bottom w:w="0" w:type="dxa"/>
            <w:right w:w="108" w:type="dxa"/>
          </w:tblCellMar>
        </w:tblPrEx>
        <w:trPr>
          <w:trHeight w:val="696"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SLYS1-3-23</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与船舶所有人、经营人、承租人未订立船舶管理协议或者协议未对船舶海务、机务管理责任做出明确规定的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3分/起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《国内水路运输辅助业管理规定》第三十六条</w:t>
            </w:r>
          </w:p>
        </w:tc>
      </w:tr>
      <w:tr>
        <w:tblPrEx>
          <w:tblCellMar>
            <w:top w:w="0" w:type="dxa"/>
            <w:left w:w="108" w:type="dxa"/>
            <w:bottom w:w="0" w:type="dxa"/>
            <w:right w:w="108" w:type="dxa"/>
          </w:tblCellMar>
        </w:tblPrEx>
        <w:trPr>
          <w:trHeight w:val="692"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SLYS1-3-24</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不按《水路旅客运输实名制管理规定》规定对客户身份进行查验，或者对身份不明、拒绝身份查验的客户提供服务的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5分/起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《水路旅客运输实名制管理规定》第十四条</w:t>
            </w:r>
          </w:p>
        </w:tc>
      </w:tr>
      <w:tr>
        <w:tblPrEx>
          <w:tblCellMar>
            <w:top w:w="0" w:type="dxa"/>
            <w:left w:w="108" w:type="dxa"/>
            <w:bottom w:w="0" w:type="dxa"/>
            <w:right w:w="108" w:type="dxa"/>
          </w:tblCellMar>
        </w:tblPrEx>
        <w:trPr>
          <w:trHeight w:val="422"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SLYS1-3-25</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水路旅客运输经营者或者其委托的船票销售单位、港口经营人的工作人员窃取、泄露旅客身份信息的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5分/起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《水路旅客运输实名制管理规定》第十五条</w:t>
            </w:r>
          </w:p>
        </w:tc>
      </w:tr>
      <w:tr>
        <w:tblPrEx>
          <w:tblCellMar>
            <w:top w:w="0" w:type="dxa"/>
            <w:left w:w="108" w:type="dxa"/>
            <w:bottom w:w="0" w:type="dxa"/>
            <w:right w:w="108" w:type="dxa"/>
          </w:tblCellMar>
        </w:tblPrEx>
        <w:trPr>
          <w:trHeight w:val="422" w:hRule="atLeast"/>
          <w:jc w:val="center"/>
        </w:trPr>
        <w:tc>
          <w:tcPr>
            <w:tcW w:w="20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 w:val="20"/>
                <w:szCs w:val="20"/>
              </w:rPr>
            </w:pPr>
            <w:r>
              <w:rPr>
                <w:rFonts w:eastAsia="黑体"/>
                <w:bCs/>
                <w:kern w:val="0"/>
                <w:sz w:val="20"/>
                <w:szCs w:val="20"/>
              </w:rPr>
              <w:t>评定内容</w:t>
            </w: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行为代码</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不良/良好行为</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行为等级和扣分标准</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评分依据</w:t>
            </w:r>
          </w:p>
        </w:tc>
      </w:tr>
      <w:tr>
        <w:tblPrEx>
          <w:tblCellMar>
            <w:top w:w="0" w:type="dxa"/>
            <w:left w:w="108" w:type="dxa"/>
            <w:bottom w:w="0" w:type="dxa"/>
            <w:right w:w="108" w:type="dxa"/>
          </w:tblCellMar>
        </w:tblPrEx>
        <w:trPr>
          <w:trHeight w:val="571" w:hRule="atLeast"/>
          <w:jc w:val="center"/>
        </w:trPr>
        <w:tc>
          <w:tcPr>
            <w:tcW w:w="12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kern w:val="0"/>
                <w:sz w:val="20"/>
                <w:szCs w:val="20"/>
              </w:rPr>
            </w:pPr>
            <w:r>
              <w:rPr>
                <w:b/>
                <w:bCs/>
                <w:kern w:val="0"/>
                <w:sz w:val="20"/>
                <w:szCs w:val="20"/>
              </w:rPr>
              <w:t>运输服务质量(满分40分，扣完为止)</w:t>
            </w:r>
          </w:p>
        </w:tc>
        <w:tc>
          <w:tcPr>
            <w:tcW w:w="77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kern w:val="0"/>
                <w:sz w:val="20"/>
                <w:szCs w:val="20"/>
              </w:rPr>
            </w:pPr>
            <w:r>
              <w:rPr>
                <w:b/>
                <w:bCs/>
                <w:kern w:val="0"/>
                <w:sz w:val="20"/>
                <w:szCs w:val="20"/>
              </w:rPr>
              <w:t>经营行为</w:t>
            </w: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SLYS1-3-26</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未使用规范的、符合有关法律法规和交通运输部规定的客票和运输单证的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2分/起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《国内水路运输管理规定》第二十五条</w:t>
            </w:r>
          </w:p>
        </w:tc>
      </w:tr>
      <w:tr>
        <w:tblPrEx>
          <w:tblCellMar>
            <w:top w:w="0" w:type="dxa"/>
            <w:left w:w="108" w:type="dxa"/>
            <w:bottom w:w="0" w:type="dxa"/>
            <w:right w:w="108" w:type="dxa"/>
          </w:tblCellMar>
        </w:tblPrEx>
        <w:trPr>
          <w:trHeight w:val="551"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SLYS1-3-27</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水路运输辅助业经营人以承运人的身份从事水路运输经营活动的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10分/起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《国内水路运输辅助业管理规定》第二十二条</w:t>
            </w:r>
          </w:p>
        </w:tc>
      </w:tr>
      <w:tr>
        <w:tblPrEx>
          <w:tblCellMar>
            <w:top w:w="0" w:type="dxa"/>
            <w:left w:w="108" w:type="dxa"/>
            <w:bottom w:w="0" w:type="dxa"/>
            <w:right w:w="108" w:type="dxa"/>
          </w:tblCellMar>
        </w:tblPrEx>
        <w:trPr>
          <w:trHeight w:val="596" w:hRule="atLeast"/>
          <w:jc w:val="center"/>
        </w:trPr>
        <w:tc>
          <w:tcPr>
            <w:tcW w:w="12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kern w:val="0"/>
                <w:sz w:val="20"/>
                <w:szCs w:val="20"/>
              </w:rPr>
            </w:pPr>
            <w:r>
              <w:rPr>
                <w:b/>
                <w:bCs/>
                <w:kern w:val="0"/>
                <w:sz w:val="20"/>
                <w:szCs w:val="20"/>
              </w:rPr>
              <w:t>安全环保(满分30分，扣完为止)</w:t>
            </w:r>
          </w:p>
        </w:tc>
        <w:tc>
          <w:tcPr>
            <w:tcW w:w="77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kern w:val="0"/>
                <w:sz w:val="20"/>
                <w:szCs w:val="20"/>
              </w:rPr>
            </w:pPr>
            <w:r>
              <w:rPr>
                <w:b/>
                <w:bCs/>
                <w:kern w:val="0"/>
                <w:sz w:val="20"/>
                <w:szCs w:val="20"/>
              </w:rPr>
              <w:t>主体责任落实</w:t>
            </w: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SLYS1-4-1</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未按照规定设立安全管理机构、配备安全管理人员的</w:t>
            </w:r>
          </w:p>
        </w:tc>
        <w:tc>
          <w:tcPr>
            <w:tcW w:w="1353"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kern w:val="0"/>
                <w:sz w:val="20"/>
                <w:szCs w:val="20"/>
              </w:rPr>
            </w:pPr>
            <w:r>
              <w:rPr>
                <w:kern w:val="0"/>
                <w:sz w:val="20"/>
                <w:szCs w:val="20"/>
              </w:rPr>
              <w:t>5分/项</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《湖南省水上交通安全条例》第九条</w:t>
            </w:r>
          </w:p>
        </w:tc>
      </w:tr>
      <w:tr>
        <w:tblPrEx>
          <w:tblCellMar>
            <w:top w:w="0" w:type="dxa"/>
            <w:left w:w="108" w:type="dxa"/>
            <w:bottom w:w="0" w:type="dxa"/>
            <w:right w:w="108" w:type="dxa"/>
          </w:tblCellMar>
        </w:tblPrEx>
        <w:trPr>
          <w:trHeight w:val="540"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SLYS1-4-2</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未依法参加工伤保险的，或未依法投保安全生产责任险的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3分/起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spacing w:val="-4"/>
                <w:w w:val="98"/>
                <w:kern w:val="0"/>
                <w:sz w:val="20"/>
                <w:szCs w:val="20"/>
              </w:rPr>
            </w:pPr>
            <w:r>
              <w:rPr>
                <w:spacing w:val="-4"/>
                <w:w w:val="98"/>
                <w:kern w:val="0"/>
                <w:sz w:val="20"/>
                <w:szCs w:val="20"/>
              </w:rPr>
              <w:t>《中华人民共和国安全生产法》五十一条</w:t>
            </w:r>
          </w:p>
        </w:tc>
      </w:tr>
      <w:tr>
        <w:tblPrEx>
          <w:tblCellMar>
            <w:top w:w="0" w:type="dxa"/>
            <w:left w:w="108" w:type="dxa"/>
            <w:bottom w:w="0" w:type="dxa"/>
            <w:right w:w="108" w:type="dxa"/>
          </w:tblCellMar>
        </w:tblPrEx>
        <w:trPr>
          <w:trHeight w:val="481"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SLYS1-4-3</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未如实记录安全生产教育和培训情况的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3分/次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spacing w:val="-4"/>
                <w:w w:val="98"/>
                <w:kern w:val="0"/>
                <w:sz w:val="20"/>
                <w:szCs w:val="20"/>
              </w:rPr>
            </w:pPr>
            <w:r>
              <w:rPr>
                <w:spacing w:val="-4"/>
                <w:w w:val="98"/>
                <w:kern w:val="0"/>
                <w:sz w:val="20"/>
                <w:szCs w:val="20"/>
              </w:rPr>
              <w:t>《中华人民共和国安全生产法》九十七条</w:t>
            </w:r>
          </w:p>
        </w:tc>
      </w:tr>
      <w:tr>
        <w:tblPrEx>
          <w:tblCellMar>
            <w:top w:w="0" w:type="dxa"/>
            <w:left w:w="108" w:type="dxa"/>
            <w:bottom w:w="0" w:type="dxa"/>
            <w:right w:w="108" w:type="dxa"/>
          </w:tblCellMar>
        </w:tblPrEx>
        <w:trPr>
          <w:trHeight w:val="542"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SLYS1-4-4</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未将事故隐患排查治理情况如实记录或者未向从业人员通报的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1分/起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spacing w:val="-4"/>
                <w:w w:val="98"/>
                <w:kern w:val="0"/>
                <w:sz w:val="20"/>
                <w:szCs w:val="20"/>
              </w:rPr>
            </w:pPr>
            <w:r>
              <w:rPr>
                <w:spacing w:val="-4"/>
                <w:w w:val="98"/>
                <w:kern w:val="0"/>
                <w:sz w:val="20"/>
                <w:szCs w:val="20"/>
              </w:rPr>
              <w:t>《中华人民共和国安全生产法》九十七条</w:t>
            </w:r>
          </w:p>
        </w:tc>
      </w:tr>
      <w:tr>
        <w:tblPrEx>
          <w:tblCellMar>
            <w:top w:w="0" w:type="dxa"/>
            <w:left w:w="108" w:type="dxa"/>
            <w:bottom w:w="0" w:type="dxa"/>
            <w:right w:w="108" w:type="dxa"/>
          </w:tblCellMar>
        </w:tblPrEx>
        <w:trPr>
          <w:trHeight w:val="691"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SLYS1-4-5</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未在有较大危险因素的生产经营场所和有关设施、设备上设置明显的安全警示标志的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3分/起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spacing w:val="-4"/>
                <w:w w:val="98"/>
                <w:kern w:val="0"/>
                <w:sz w:val="20"/>
                <w:szCs w:val="20"/>
              </w:rPr>
            </w:pPr>
            <w:r>
              <w:rPr>
                <w:spacing w:val="-4"/>
                <w:w w:val="98"/>
                <w:kern w:val="0"/>
                <w:sz w:val="20"/>
                <w:szCs w:val="20"/>
              </w:rPr>
              <w:t>《中华人民共和国安全生产法》九十九条</w:t>
            </w:r>
          </w:p>
        </w:tc>
      </w:tr>
      <w:tr>
        <w:tblPrEx>
          <w:tblCellMar>
            <w:top w:w="0" w:type="dxa"/>
            <w:left w:w="108" w:type="dxa"/>
            <w:bottom w:w="0" w:type="dxa"/>
            <w:right w:w="108" w:type="dxa"/>
          </w:tblCellMar>
        </w:tblPrEx>
        <w:trPr>
          <w:trHeight w:val="658"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SLYS1-4-6</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安全设备使用不符合国家标准或者行业标准的；未对安全设备进行经常性维护、保养和定期检测的；或使用应当淘汰的危及生产安全的工艺、设备的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5分/起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spacing w:val="-4"/>
                <w:w w:val="98"/>
                <w:kern w:val="0"/>
                <w:sz w:val="20"/>
                <w:szCs w:val="20"/>
              </w:rPr>
            </w:pPr>
            <w:r>
              <w:rPr>
                <w:spacing w:val="-4"/>
                <w:w w:val="98"/>
                <w:kern w:val="0"/>
                <w:sz w:val="20"/>
                <w:szCs w:val="20"/>
              </w:rPr>
              <w:t>《中华人民共和国安全生产法》九十九条</w:t>
            </w:r>
          </w:p>
        </w:tc>
      </w:tr>
      <w:tr>
        <w:tblPrEx>
          <w:tblCellMar>
            <w:top w:w="0" w:type="dxa"/>
            <w:left w:w="108" w:type="dxa"/>
            <w:bottom w:w="0" w:type="dxa"/>
            <w:right w:w="108" w:type="dxa"/>
          </w:tblCellMar>
        </w:tblPrEx>
        <w:trPr>
          <w:trHeight w:val="612"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SLYS1-4-7</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关闭、破坏直接关系生产安全的设备设施，或者篡改、隐瞒、销毁其相关数据信息的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5分/起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spacing w:val="-4"/>
                <w:w w:val="98"/>
                <w:kern w:val="0"/>
                <w:sz w:val="20"/>
                <w:szCs w:val="20"/>
              </w:rPr>
            </w:pPr>
            <w:r>
              <w:rPr>
                <w:spacing w:val="-4"/>
                <w:w w:val="98"/>
                <w:kern w:val="0"/>
                <w:sz w:val="20"/>
                <w:szCs w:val="20"/>
              </w:rPr>
              <w:t>《中华人民共和国安全生产法》九十九条</w:t>
            </w:r>
          </w:p>
        </w:tc>
      </w:tr>
      <w:tr>
        <w:tblPrEx>
          <w:tblCellMar>
            <w:top w:w="0" w:type="dxa"/>
            <w:left w:w="108" w:type="dxa"/>
            <w:bottom w:w="0" w:type="dxa"/>
            <w:right w:w="108" w:type="dxa"/>
          </w:tblCellMar>
        </w:tblPrEx>
        <w:trPr>
          <w:trHeight w:val="769"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SLYS1-4-8</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危险物品的容器、运输工具未经检测检验合格，未取得安全使用证或者安全标志投入使用的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5分/起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spacing w:val="-4"/>
                <w:w w:val="98"/>
                <w:kern w:val="0"/>
                <w:sz w:val="20"/>
                <w:szCs w:val="20"/>
              </w:rPr>
            </w:pPr>
            <w:r>
              <w:rPr>
                <w:spacing w:val="-4"/>
                <w:w w:val="98"/>
                <w:kern w:val="0"/>
                <w:sz w:val="20"/>
                <w:szCs w:val="20"/>
              </w:rPr>
              <w:t>《中华人民共和国安全生产法》九十九条</w:t>
            </w:r>
          </w:p>
        </w:tc>
      </w:tr>
      <w:tr>
        <w:tblPrEx>
          <w:tblCellMar>
            <w:top w:w="0" w:type="dxa"/>
            <w:left w:w="108" w:type="dxa"/>
            <w:bottom w:w="0" w:type="dxa"/>
            <w:right w:w="108" w:type="dxa"/>
          </w:tblCellMar>
        </w:tblPrEx>
        <w:trPr>
          <w:trHeight w:val="749"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SLYS1-4-9</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生产经营、运输储存、使用危险物品或者处置废弃危险物品，未建立专门安全管理制度、未采取可靠的安全措施的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3分/起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《中华人民共和国安全生产法》一百条零一条</w:t>
            </w:r>
          </w:p>
        </w:tc>
      </w:tr>
      <w:tr>
        <w:tblPrEx>
          <w:tblCellMar>
            <w:top w:w="0" w:type="dxa"/>
            <w:left w:w="108" w:type="dxa"/>
            <w:bottom w:w="0" w:type="dxa"/>
            <w:right w:w="108" w:type="dxa"/>
          </w:tblCellMar>
        </w:tblPrEx>
        <w:trPr>
          <w:trHeight w:val="563"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SLYS1-4-10</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对重大危险源未登记建档，未进行定期检测、评估、监控，未制定应急预案；或者未告知应急措施的；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5分/起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《中华人民共和国安全生产法》一百条零一条</w:t>
            </w:r>
          </w:p>
        </w:tc>
      </w:tr>
      <w:tr>
        <w:tblPrEx>
          <w:tblCellMar>
            <w:top w:w="0" w:type="dxa"/>
            <w:left w:w="108" w:type="dxa"/>
            <w:bottom w:w="0" w:type="dxa"/>
            <w:right w:w="108" w:type="dxa"/>
          </w:tblCellMar>
        </w:tblPrEx>
        <w:trPr>
          <w:trHeight w:val="563" w:hRule="atLeast"/>
          <w:jc w:val="center"/>
        </w:trPr>
        <w:tc>
          <w:tcPr>
            <w:tcW w:w="20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 w:val="20"/>
                <w:szCs w:val="20"/>
              </w:rPr>
            </w:pPr>
            <w:r>
              <w:rPr>
                <w:rFonts w:eastAsia="黑体"/>
                <w:bCs/>
                <w:kern w:val="0"/>
                <w:sz w:val="20"/>
                <w:szCs w:val="20"/>
              </w:rPr>
              <w:t>评定内容</w:t>
            </w: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行为代码</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不良/良好行为</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行为等级和扣分标准</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评分依据</w:t>
            </w:r>
          </w:p>
        </w:tc>
      </w:tr>
      <w:tr>
        <w:tblPrEx>
          <w:tblCellMar>
            <w:top w:w="0" w:type="dxa"/>
            <w:left w:w="108" w:type="dxa"/>
            <w:bottom w:w="0" w:type="dxa"/>
            <w:right w:w="108" w:type="dxa"/>
          </w:tblCellMar>
        </w:tblPrEx>
        <w:trPr>
          <w:trHeight w:val="699" w:hRule="atLeast"/>
          <w:jc w:val="center"/>
        </w:trPr>
        <w:tc>
          <w:tcPr>
            <w:tcW w:w="12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b/>
                <w:bCs/>
                <w:kern w:val="0"/>
                <w:sz w:val="20"/>
                <w:szCs w:val="20"/>
              </w:rPr>
            </w:pPr>
            <w:r>
              <w:rPr>
                <w:b/>
                <w:bCs/>
                <w:kern w:val="0"/>
                <w:sz w:val="20"/>
                <w:szCs w:val="20"/>
              </w:rPr>
              <w:t>安全环保(满分30分，扣完为止)</w:t>
            </w:r>
          </w:p>
        </w:tc>
        <w:tc>
          <w:tcPr>
            <w:tcW w:w="77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b/>
                <w:bCs/>
                <w:kern w:val="0"/>
                <w:sz w:val="20"/>
                <w:szCs w:val="20"/>
              </w:rPr>
            </w:pPr>
            <w:r>
              <w:rPr>
                <w:b/>
                <w:bCs/>
                <w:kern w:val="0"/>
                <w:sz w:val="20"/>
                <w:szCs w:val="20"/>
              </w:rPr>
              <w:t>主体责任落实</w:t>
            </w: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SLYS1-4-11</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未建立事故隐患排查治理制度，重大事故隐患排查治理情况未按照规定报告的；未建立安全风险分级管控制度或者未按照安全风险分级采取相应管控措施的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3分/起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《中华人民共和国安全生产法》一百条零一条</w:t>
            </w:r>
          </w:p>
        </w:tc>
      </w:tr>
      <w:tr>
        <w:tblPrEx>
          <w:tblCellMar>
            <w:top w:w="0" w:type="dxa"/>
            <w:left w:w="108" w:type="dxa"/>
            <w:bottom w:w="0" w:type="dxa"/>
            <w:right w:w="108" w:type="dxa"/>
          </w:tblCellMar>
        </w:tblPrEx>
        <w:trPr>
          <w:trHeight w:val="553"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SLYS1-4-12</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未采取措施消除事故隐患的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5分/起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《中华人民共和国安全生产法》一百条零二条</w:t>
            </w:r>
          </w:p>
        </w:tc>
      </w:tr>
      <w:tr>
        <w:tblPrEx>
          <w:tblCellMar>
            <w:top w:w="0" w:type="dxa"/>
            <w:left w:w="108" w:type="dxa"/>
            <w:bottom w:w="0" w:type="dxa"/>
            <w:right w:w="108" w:type="dxa"/>
          </w:tblCellMar>
        </w:tblPrEx>
        <w:trPr>
          <w:trHeight w:val="538"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SLYS1-4-13</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发生一般生产安全事故的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20分/次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《中华人民共和国安全生产法》一百一十四条</w:t>
            </w:r>
          </w:p>
        </w:tc>
      </w:tr>
      <w:tr>
        <w:tblPrEx>
          <w:tblCellMar>
            <w:top w:w="0" w:type="dxa"/>
            <w:left w:w="108" w:type="dxa"/>
            <w:bottom w:w="0" w:type="dxa"/>
            <w:right w:w="108" w:type="dxa"/>
          </w:tblCellMar>
        </w:tblPrEx>
        <w:trPr>
          <w:trHeight w:val="538"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SLYS1-4-14</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发生较大生产安全事故的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30分/次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《中华人民共和国安全生产法》一百一十四条</w:t>
            </w:r>
          </w:p>
        </w:tc>
      </w:tr>
      <w:tr>
        <w:tblPrEx>
          <w:tblCellMar>
            <w:top w:w="0" w:type="dxa"/>
            <w:left w:w="108" w:type="dxa"/>
            <w:bottom w:w="0" w:type="dxa"/>
            <w:right w:w="108" w:type="dxa"/>
          </w:tblCellMar>
        </w:tblPrEx>
        <w:trPr>
          <w:trHeight w:val="520"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77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80" w:lineRule="exact"/>
              <w:jc w:val="center"/>
              <w:rPr>
                <w:b/>
                <w:bCs/>
                <w:kern w:val="0"/>
                <w:sz w:val="20"/>
                <w:szCs w:val="20"/>
              </w:rPr>
            </w:pPr>
            <w:r>
              <w:rPr>
                <w:b/>
                <w:bCs/>
                <w:kern w:val="0"/>
                <w:sz w:val="20"/>
                <w:szCs w:val="20"/>
              </w:rPr>
              <w:t>设备设施</w:t>
            </w: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SLYS1-4-15</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未经依法批准，擅自生产、经营、运输、储存、使用危险物品或者处置废弃危险物品的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5分/起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《中华人民共和国安全生产法》一百条</w:t>
            </w:r>
          </w:p>
        </w:tc>
      </w:tr>
      <w:tr>
        <w:tblPrEx>
          <w:tblCellMar>
            <w:top w:w="0" w:type="dxa"/>
            <w:left w:w="108" w:type="dxa"/>
            <w:bottom w:w="0" w:type="dxa"/>
            <w:right w:w="108" w:type="dxa"/>
          </w:tblCellMar>
        </w:tblPrEx>
        <w:trPr>
          <w:trHeight w:val="602"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SLYS1-4-16</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从事危险货物运输的船舶，未编制危险货物事故应急预案或者未配备相应的应急救援设备和器材的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5分/起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《中华人民共和国内河交通安全管理条例》第二十一条</w:t>
            </w:r>
          </w:p>
        </w:tc>
      </w:tr>
      <w:tr>
        <w:tblPrEx>
          <w:tblCellMar>
            <w:top w:w="0" w:type="dxa"/>
            <w:left w:w="108" w:type="dxa"/>
            <w:bottom w:w="0" w:type="dxa"/>
            <w:right w:w="108" w:type="dxa"/>
          </w:tblCellMar>
        </w:tblPrEx>
        <w:trPr>
          <w:trHeight w:val="554"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SLYS1-4-17</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运输危险化学品的船舶及其配载的容器未经检验合格而投入使用的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5分/起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《中华人民共和国内河交通安全管理条例》第二十三条</w:t>
            </w:r>
          </w:p>
        </w:tc>
      </w:tr>
      <w:tr>
        <w:tblPrEx>
          <w:tblCellMar>
            <w:top w:w="0" w:type="dxa"/>
            <w:left w:w="108" w:type="dxa"/>
            <w:bottom w:w="0" w:type="dxa"/>
            <w:right w:w="108" w:type="dxa"/>
          </w:tblCellMar>
        </w:tblPrEx>
        <w:trPr>
          <w:trHeight w:val="636"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SLYS1-4-18</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未按照国家有关规定对所托运的危险化学品妥善包装并在外包装上设置相应标志的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1分/起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《中华人民共和国内河交通安全管理条例》第二十五条</w:t>
            </w:r>
          </w:p>
        </w:tc>
      </w:tr>
      <w:tr>
        <w:tblPrEx>
          <w:tblCellMar>
            <w:top w:w="0" w:type="dxa"/>
            <w:left w:w="108" w:type="dxa"/>
            <w:bottom w:w="0" w:type="dxa"/>
            <w:right w:w="108" w:type="dxa"/>
          </w:tblCellMar>
        </w:tblPrEx>
        <w:trPr>
          <w:trHeight w:val="690"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SLYS1-4-19</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客运企业、散装危险化学品运输企业未建立岸基监控制度，或者未运用自动识别系统（AIS）等信息化手段对所属客船和散装危险化学品船实施动态监控的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3分/起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《长江干线水上交通安全管理特别规定》第三十五条</w:t>
            </w:r>
          </w:p>
        </w:tc>
      </w:tr>
      <w:tr>
        <w:tblPrEx>
          <w:tblCellMar>
            <w:top w:w="0" w:type="dxa"/>
            <w:left w:w="108" w:type="dxa"/>
            <w:bottom w:w="0" w:type="dxa"/>
            <w:right w:w="108" w:type="dxa"/>
          </w:tblCellMar>
        </w:tblPrEx>
        <w:trPr>
          <w:trHeight w:val="440"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SLYS1-4-20</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未按规定需配备船载自动识别系统（AIS）</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3分/起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《船舶进出港报告管理办法》</w:t>
            </w:r>
          </w:p>
        </w:tc>
      </w:tr>
      <w:tr>
        <w:tblPrEx>
          <w:tblCellMar>
            <w:top w:w="0" w:type="dxa"/>
            <w:left w:w="108" w:type="dxa"/>
            <w:bottom w:w="0" w:type="dxa"/>
            <w:right w:w="108" w:type="dxa"/>
          </w:tblCellMar>
        </w:tblPrEx>
        <w:trPr>
          <w:trHeight w:val="546"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SLYS1-4-21</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船舶未配备防污染设备或者防污设备存在重大缺陷，在海事管理机构限期内不予纠正的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3分/起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《中华人民共和国防治船舶污染内河水域环境管理规定》第五十四条</w:t>
            </w:r>
          </w:p>
        </w:tc>
      </w:tr>
      <w:tr>
        <w:tblPrEx>
          <w:tblCellMar>
            <w:top w:w="0" w:type="dxa"/>
            <w:left w:w="108" w:type="dxa"/>
            <w:bottom w:w="0" w:type="dxa"/>
            <w:right w:w="108" w:type="dxa"/>
          </w:tblCellMar>
        </w:tblPrEx>
        <w:trPr>
          <w:trHeight w:val="499"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SLYS1-4-22</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应当报废的船舶、浮动设施在内河航行或者作业的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2分/起</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《中华人民共和国内河交通安全管理条例》第十五条</w:t>
            </w:r>
          </w:p>
        </w:tc>
      </w:tr>
      <w:tr>
        <w:tblPrEx>
          <w:tblCellMar>
            <w:top w:w="0" w:type="dxa"/>
            <w:left w:w="108" w:type="dxa"/>
            <w:bottom w:w="0" w:type="dxa"/>
            <w:right w:w="108" w:type="dxa"/>
          </w:tblCellMar>
        </w:tblPrEx>
        <w:trPr>
          <w:trHeight w:val="564"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center"/>
              <w:rPr>
                <w:kern w:val="0"/>
                <w:sz w:val="20"/>
                <w:szCs w:val="20"/>
              </w:rPr>
            </w:pPr>
            <w:r>
              <w:rPr>
                <w:kern w:val="0"/>
                <w:sz w:val="20"/>
                <w:szCs w:val="20"/>
              </w:rPr>
              <w:t>SLYS1-4-23</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未按照规定悬挂国旗，标明船名、船籍港、载重线，或者遮挡船名、船籍港、载重线的</w:t>
            </w:r>
          </w:p>
        </w:tc>
        <w:tc>
          <w:tcPr>
            <w:tcW w:w="1353"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280" w:lineRule="exact"/>
              <w:jc w:val="center"/>
              <w:rPr>
                <w:kern w:val="0"/>
                <w:sz w:val="20"/>
                <w:szCs w:val="20"/>
              </w:rPr>
            </w:pPr>
            <w:r>
              <w:rPr>
                <w:kern w:val="0"/>
                <w:sz w:val="20"/>
                <w:szCs w:val="20"/>
              </w:rPr>
              <w:t>1分/艘次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280" w:lineRule="exact"/>
              <w:jc w:val="left"/>
              <w:rPr>
                <w:kern w:val="0"/>
                <w:sz w:val="20"/>
                <w:szCs w:val="20"/>
              </w:rPr>
            </w:pPr>
            <w:r>
              <w:rPr>
                <w:kern w:val="0"/>
                <w:sz w:val="20"/>
                <w:szCs w:val="20"/>
              </w:rPr>
              <w:t>《中华人民共和国内河交通安全管理条例》第十六条</w:t>
            </w:r>
          </w:p>
        </w:tc>
      </w:tr>
      <w:tr>
        <w:tblPrEx>
          <w:tblCellMar>
            <w:top w:w="0" w:type="dxa"/>
            <w:left w:w="108" w:type="dxa"/>
            <w:bottom w:w="0" w:type="dxa"/>
            <w:right w:w="108" w:type="dxa"/>
          </w:tblCellMar>
        </w:tblPrEx>
        <w:trPr>
          <w:trHeight w:val="564" w:hRule="atLeast"/>
          <w:jc w:val="center"/>
        </w:trPr>
        <w:tc>
          <w:tcPr>
            <w:tcW w:w="20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 w:val="20"/>
                <w:szCs w:val="20"/>
              </w:rPr>
            </w:pPr>
            <w:r>
              <w:rPr>
                <w:rFonts w:eastAsia="黑体"/>
                <w:bCs/>
                <w:kern w:val="0"/>
                <w:sz w:val="20"/>
                <w:szCs w:val="20"/>
              </w:rPr>
              <w:t>评定内容</w:t>
            </w: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行为代码</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不良/良好行为</w:t>
            </w:r>
          </w:p>
        </w:tc>
        <w:tc>
          <w:tcPr>
            <w:tcW w:w="1353"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eastAsia="黑体"/>
                <w:bCs/>
                <w:kern w:val="0"/>
                <w:sz w:val="20"/>
                <w:szCs w:val="20"/>
              </w:rPr>
            </w:pPr>
            <w:r>
              <w:rPr>
                <w:rFonts w:eastAsia="黑体"/>
                <w:bCs/>
                <w:kern w:val="0"/>
                <w:sz w:val="20"/>
                <w:szCs w:val="20"/>
              </w:rPr>
              <w:t>行为等级和扣分标准</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评分依据</w:t>
            </w:r>
          </w:p>
        </w:tc>
      </w:tr>
      <w:tr>
        <w:tblPrEx>
          <w:tblCellMar>
            <w:top w:w="0" w:type="dxa"/>
            <w:left w:w="108" w:type="dxa"/>
            <w:bottom w:w="0" w:type="dxa"/>
            <w:right w:w="108" w:type="dxa"/>
          </w:tblCellMar>
        </w:tblPrEx>
        <w:trPr>
          <w:trHeight w:val="771" w:hRule="atLeast"/>
          <w:jc w:val="center"/>
        </w:trPr>
        <w:tc>
          <w:tcPr>
            <w:tcW w:w="12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jc w:val="center"/>
              <w:rPr>
                <w:b/>
                <w:bCs/>
                <w:kern w:val="0"/>
                <w:sz w:val="20"/>
                <w:szCs w:val="20"/>
              </w:rPr>
            </w:pPr>
            <w:r>
              <w:rPr>
                <w:b/>
                <w:bCs/>
                <w:kern w:val="0"/>
                <w:sz w:val="20"/>
                <w:szCs w:val="20"/>
              </w:rPr>
              <w:t>安全环保(满分30分，扣完为止)</w:t>
            </w:r>
          </w:p>
        </w:tc>
        <w:tc>
          <w:tcPr>
            <w:tcW w:w="77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jc w:val="center"/>
              <w:rPr>
                <w:b/>
                <w:bCs/>
                <w:kern w:val="0"/>
                <w:sz w:val="20"/>
                <w:szCs w:val="20"/>
              </w:rPr>
            </w:pPr>
            <w:r>
              <w:rPr>
                <w:b/>
                <w:bCs/>
                <w:kern w:val="0"/>
                <w:sz w:val="20"/>
                <w:szCs w:val="20"/>
              </w:rPr>
              <w:t>生产作业</w:t>
            </w: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kern w:val="0"/>
                <w:sz w:val="20"/>
                <w:szCs w:val="20"/>
              </w:rPr>
            </w:pPr>
            <w:r>
              <w:rPr>
                <w:kern w:val="0"/>
                <w:sz w:val="20"/>
                <w:szCs w:val="20"/>
              </w:rPr>
              <w:t>SLYS1-4-24</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left"/>
              <w:rPr>
                <w:kern w:val="0"/>
                <w:sz w:val="20"/>
                <w:szCs w:val="20"/>
              </w:rPr>
            </w:pPr>
            <w:r>
              <w:rPr>
                <w:kern w:val="0"/>
                <w:sz w:val="20"/>
                <w:szCs w:val="20"/>
              </w:rPr>
              <w:t>进出港口未按照规定向海事管理机构报告相关情况的，或国际航行船舶未按照规定办理进出口岸手续的；或未按照规定申请引航的</w:t>
            </w:r>
          </w:p>
        </w:tc>
        <w:tc>
          <w:tcPr>
            <w:tcW w:w="1353"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kern w:val="0"/>
                <w:sz w:val="20"/>
                <w:szCs w:val="20"/>
              </w:rPr>
            </w:pPr>
            <w:r>
              <w:rPr>
                <w:kern w:val="0"/>
                <w:sz w:val="20"/>
                <w:szCs w:val="20"/>
              </w:rPr>
              <w:t>2分/艘次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left"/>
              <w:rPr>
                <w:kern w:val="0"/>
                <w:sz w:val="20"/>
                <w:szCs w:val="20"/>
              </w:rPr>
            </w:pPr>
            <w:r>
              <w:rPr>
                <w:kern w:val="0"/>
                <w:sz w:val="20"/>
                <w:szCs w:val="20"/>
              </w:rPr>
              <w:t>《中华人民共和国内河交通安全管理条例》第十六条</w:t>
            </w:r>
          </w:p>
        </w:tc>
      </w:tr>
      <w:tr>
        <w:tblPrEx>
          <w:tblCellMar>
            <w:top w:w="0" w:type="dxa"/>
            <w:left w:w="108" w:type="dxa"/>
            <w:bottom w:w="0" w:type="dxa"/>
            <w:right w:w="108" w:type="dxa"/>
          </w:tblCellMar>
        </w:tblPrEx>
        <w:trPr>
          <w:trHeight w:val="839" w:hRule="atLeast"/>
          <w:jc w:val="center"/>
        </w:trPr>
        <w:tc>
          <w:tcPr>
            <w:tcW w:w="1277"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kern w:val="0"/>
                <w:sz w:val="20"/>
                <w:szCs w:val="20"/>
              </w:rPr>
            </w:pPr>
            <w:r>
              <w:rPr>
                <w:kern w:val="0"/>
                <w:sz w:val="20"/>
                <w:szCs w:val="20"/>
              </w:rPr>
              <w:t>SLYS1-4-25</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left"/>
              <w:rPr>
                <w:kern w:val="0"/>
                <w:sz w:val="20"/>
                <w:szCs w:val="20"/>
              </w:rPr>
            </w:pPr>
            <w:r>
              <w:rPr>
                <w:kern w:val="0"/>
                <w:sz w:val="20"/>
                <w:szCs w:val="20"/>
              </w:rPr>
              <w:t>船舶进出航行条件受到限制区域，未遵守海事管理机构发布的特别规定，或无正当理由进入或者穿越禁航区的</w:t>
            </w:r>
          </w:p>
        </w:tc>
        <w:tc>
          <w:tcPr>
            <w:tcW w:w="1353"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kern w:val="0"/>
                <w:sz w:val="20"/>
                <w:szCs w:val="20"/>
              </w:rPr>
            </w:pPr>
            <w:r>
              <w:rPr>
                <w:kern w:val="0"/>
                <w:sz w:val="20"/>
                <w:szCs w:val="20"/>
              </w:rPr>
              <w:t>5分/艘次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left"/>
              <w:rPr>
                <w:kern w:val="0"/>
                <w:sz w:val="20"/>
                <w:szCs w:val="20"/>
              </w:rPr>
            </w:pPr>
            <w:r>
              <w:rPr>
                <w:kern w:val="0"/>
                <w:sz w:val="20"/>
                <w:szCs w:val="20"/>
              </w:rPr>
              <w:t>《中华人民共和国内河交通安全管理条例》第十六条</w:t>
            </w:r>
          </w:p>
        </w:tc>
      </w:tr>
      <w:tr>
        <w:tblPrEx>
          <w:tblCellMar>
            <w:top w:w="0" w:type="dxa"/>
            <w:left w:w="108" w:type="dxa"/>
            <w:bottom w:w="0" w:type="dxa"/>
            <w:right w:w="108" w:type="dxa"/>
          </w:tblCellMar>
        </w:tblPrEx>
        <w:trPr>
          <w:trHeight w:val="850" w:hRule="atLeast"/>
          <w:jc w:val="center"/>
        </w:trPr>
        <w:tc>
          <w:tcPr>
            <w:tcW w:w="1277"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kern w:val="0"/>
                <w:sz w:val="20"/>
                <w:szCs w:val="20"/>
              </w:rPr>
            </w:pPr>
            <w:r>
              <w:rPr>
                <w:kern w:val="0"/>
                <w:sz w:val="20"/>
                <w:szCs w:val="20"/>
              </w:rPr>
              <w:t>SLYS1-4-26</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left"/>
              <w:rPr>
                <w:kern w:val="0"/>
                <w:sz w:val="20"/>
                <w:szCs w:val="20"/>
              </w:rPr>
            </w:pPr>
            <w:r>
              <w:rPr>
                <w:kern w:val="0"/>
                <w:sz w:val="20"/>
                <w:szCs w:val="20"/>
              </w:rPr>
              <w:t>载运或者拖带超重超长、超高超宽、半潜的物体，未申请核定航路、航行时间或者未按照核定的航路、时间航行的</w:t>
            </w:r>
          </w:p>
        </w:tc>
        <w:tc>
          <w:tcPr>
            <w:tcW w:w="1353"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kern w:val="0"/>
                <w:sz w:val="20"/>
                <w:szCs w:val="20"/>
              </w:rPr>
            </w:pPr>
            <w:r>
              <w:rPr>
                <w:kern w:val="0"/>
                <w:sz w:val="20"/>
                <w:szCs w:val="20"/>
              </w:rPr>
              <w:t>3分/艘次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left"/>
              <w:rPr>
                <w:kern w:val="0"/>
                <w:sz w:val="20"/>
                <w:szCs w:val="20"/>
              </w:rPr>
            </w:pPr>
            <w:r>
              <w:rPr>
                <w:kern w:val="0"/>
                <w:sz w:val="20"/>
                <w:szCs w:val="20"/>
              </w:rPr>
              <w:t>《中华人民共和国内河交通安全管理条例》第十六条</w:t>
            </w:r>
          </w:p>
        </w:tc>
      </w:tr>
      <w:tr>
        <w:tblPrEx>
          <w:tblCellMar>
            <w:top w:w="0" w:type="dxa"/>
            <w:left w:w="108" w:type="dxa"/>
            <w:bottom w:w="0" w:type="dxa"/>
            <w:right w:w="108" w:type="dxa"/>
          </w:tblCellMar>
        </w:tblPrEx>
        <w:trPr>
          <w:trHeight w:val="692" w:hRule="atLeast"/>
          <w:jc w:val="center"/>
        </w:trPr>
        <w:tc>
          <w:tcPr>
            <w:tcW w:w="1277"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kern w:val="0"/>
                <w:sz w:val="20"/>
                <w:szCs w:val="20"/>
              </w:rPr>
            </w:pPr>
            <w:r>
              <w:rPr>
                <w:kern w:val="0"/>
                <w:sz w:val="20"/>
                <w:szCs w:val="20"/>
              </w:rPr>
              <w:t>SLYS1-4-27</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left"/>
              <w:rPr>
                <w:kern w:val="0"/>
                <w:sz w:val="20"/>
                <w:szCs w:val="20"/>
              </w:rPr>
            </w:pPr>
            <w:r>
              <w:rPr>
                <w:kern w:val="0"/>
                <w:sz w:val="20"/>
                <w:szCs w:val="20"/>
              </w:rPr>
              <w:t>船舶在内河航行、停泊或者作业，不遵守航行、避让和信号显示规则的</w:t>
            </w:r>
          </w:p>
        </w:tc>
        <w:tc>
          <w:tcPr>
            <w:tcW w:w="1353"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kern w:val="0"/>
                <w:sz w:val="20"/>
                <w:szCs w:val="20"/>
              </w:rPr>
            </w:pPr>
            <w:r>
              <w:rPr>
                <w:kern w:val="0"/>
                <w:sz w:val="20"/>
                <w:szCs w:val="20"/>
              </w:rPr>
              <w:t>2分/艘次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left"/>
              <w:rPr>
                <w:kern w:val="0"/>
                <w:sz w:val="20"/>
                <w:szCs w:val="20"/>
              </w:rPr>
            </w:pPr>
            <w:r>
              <w:rPr>
                <w:kern w:val="0"/>
                <w:sz w:val="20"/>
                <w:szCs w:val="20"/>
              </w:rPr>
              <w:t>《中华人民共和国内河交通安全管理条例》第十七条</w:t>
            </w:r>
          </w:p>
        </w:tc>
      </w:tr>
      <w:tr>
        <w:tblPrEx>
          <w:tblCellMar>
            <w:top w:w="0" w:type="dxa"/>
            <w:left w:w="108" w:type="dxa"/>
            <w:bottom w:w="0" w:type="dxa"/>
            <w:right w:w="108" w:type="dxa"/>
          </w:tblCellMar>
        </w:tblPrEx>
        <w:trPr>
          <w:trHeight w:val="687" w:hRule="atLeast"/>
          <w:jc w:val="center"/>
        </w:trPr>
        <w:tc>
          <w:tcPr>
            <w:tcW w:w="1277"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kern w:val="0"/>
                <w:sz w:val="20"/>
                <w:szCs w:val="20"/>
              </w:rPr>
            </w:pPr>
            <w:r>
              <w:rPr>
                <w:kern w:val="0"/>
                <w:sz w:val="20"/>
                <w:szCs w:val="20"/>
              </w:rPr>
              <w:t>SLYS1-4-28</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left"/>
              <w:rPr>
                <w:kern w:val="0"/>
                <w:sz w:val="20"/>
                <w:szCs w:val="20"/>
              </w:rPr>
            </w:pPr>
            <w:r>
              <w:rPr>
                <w:kern w:val="0"/>
                <w:sz w:val="20"/>
                <w:szCs w:val="20"/>
              </w:rPr>
              <w:t>船舶不具备安全技术条件从事货物、旅客运输，或者超载运输货物、超定额运输旅客的</w:t>
            </w:r>
          </w:p>
        </w:tc>
        <w:tc>
          <w:tcPr>
            <w:tcW w:w="1353"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kern w:val="0"/>
                <w:sz w:val="20"/>
                <w:szCs w:val="20"/>
              </w:rPr>
            </w:pPr>
            <w:r>
              <w:rPr>
                <w:kern w:val="0"/>
                <w:sz w:val="20"/>
                <w:szCs w:val="20"/>
              </w:rPr>
              <w:t>2分/艘次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left"/>
              <w:rPr>
                <w:kern w:val="0"/>
                <w:sz w:val="20"/>
                <w:szCs w:val="20"/>
              </w:rPr>
            </w:pPr>
            <w:r>
              <w:rPr>
                <w:kern w:val="0"/>
                <w:sz w:val="20"/>
                <w:szCs w:val="20"/>
              </w:rPr>
              <w:t>《中华人民共和国内河交通安全管理条例》第十八条</w:t>
            </w:r>
          </w:p>
        </w:tc>
      </w:tr>
      <w:tr>
        <w:tblPrEx>
          <w:tblCellMar>
            <w:top w:w="0" w:type="dxa"/>
            <w:left w:w="108" w:type="dxa"/>
            <w:bottom w:w="0" w:type="dxa"/>
            <w:right w:w="108" w:type="dxa"/>
          </w:tblCellMar>
        </w:tblPrEx>
        <w:trPr>
          <w:trHeight w:val="698" w:hRule="atLeast"/>
          <w:jc w:val="center"/>
        </w:trPr>
        <w:tc>
          <w:tcPr>
            <w:tcW w:w="1277"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kern w:val="0"/>
                <w:sz w:val="20"/>
                <w:szCs w:val="20"/>
              </w:rPr>
            </w:pPr>
            <w:r>
              <w:rPr>
                <w:kern w:val="0"/>
                <w:sz w:val="20"/>
                <w:szCs w:val="20"/>
              </w:rPr>
              <w:t>SLYS1-4-29</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left"/>
              <w:rPr>
                <w:kern w:val="0"/>
                <w:sz w:val="20"/>
                <w:szCs w:val="20"/>
              </w:rPr>
            </w:pPr>
            <w:r>
              <w:rPr>
                <w:kern w:val="0"/>
                <w:sz w:val="20"/>
                <w:szCs w:val="20"/>
              </w:rPr>
              <w:t>船舶载运危险货物进出港或者在港口外装卸、过驳危险货物未经海事管理机构同意的</w:t>
            </w:r>
          </w:p>
        </w:tc>
        <w:tc>
          <w:tcPr>
            <w:tcW w:w="1353"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kern w:val="0"/>
                <w:sz w:val="20"/>
                <w:szCs w:val="20"/>
              </w:rPr>
            </w:pPr>
            <w:r>
              <w:rPr>
                <w:kern w:val="0"/>
                <w:sz w:val="20"/>
                <w:szCs w:val="20"/>
              </w:rPr>
              <w:t>2分/艘次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left"/>
              <w:rPr>
                <w:kern w:val="0"/>
                <w:sz w:val="20"/>
                <w:szCs w:val="20"/>
              </w:rPr>
            </w:pPr>
            <w:r>
              <w:rPr>
                <w:kern w:val="0"/>
                <w:sz w:val="20"/>
                <w:szCs w:val="20"/>
              </w:rPr>
              <w:t>《中华人民共和国内河交通安全管理条例》第二十一条</w:t>
            </w:r>
          </w:p>
        </w:tc>
      </w:tr>
      <w:tr>
        <w:tblPrEx>
          <w:tblCellMar>
            <w:top w:w="0" w:type="dxa"/>
            <w:left w:w="108" w:type="dxa"/>
            <w:bottom w:w="0" w:type="dxa"/>
            <w:right w:w="108" w:type="dxa"/>
          </w:tblCellMar>
        </w:tblPrEx>
        <w:trPr>
          <w:trHeight w:val="708" w:hRule="atLeast"/>
          <w:jc w:val="center"/>
        </w:trPr>
        <w:tc>
          <w:tcPr>
            <w:tcW w:w="1277"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kern w:val="0"/>
                <w:sz w:val="20"/>
                <w:szCs w:val="20"/>
              </w:rPr>
            </w:pPr>
            <w:r>
              <w:rPr>
                <w:kern w:val="0"/>
                <w:sz w:val="20"/>
                <w:szCs w:val="20"/>
              </w:rPr>
              <w:t>SLYS1-4-30</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left"/>
              <w:rPr>
                <w:kern w:val="0"/>
                <w:sz w:val="20"/>
                <w:szCs w:val="20"/>
              </w:rPr>
            </w:pPr>
            <w:r>
              <w:rPr>
                <w:kern w:val="0"/>
                <w:sz w:val="20"/>
                <w:szCs w:val="20"/>
              </w:rPr>
              <w:t>船舶配载和运输危险货物不符合国家有关法律、法规、规章的规定和国家标准，或者未按照危险化学品的特性采取必要安全防护措施的</w:t>
            </w:r>
          </w:p>
        </w:tc>
        <w:tc>
          <w:tcPr>
            <w:tcW w:w="1353"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20" w:lineRule="exact"/>
              <w:jc w:val="center"/>
              <w:rPr>
                <w:kern w:val="0"/>
                <w:sz w:val="20"/>
                <w:szCs w:val="20"/>
              </w:rPr>
            </w:pPr>
            <w:r>
              <w:rPr>
                <w:kern w:val="0"/>
                <w:sz w:val="20"/>
                <w:szCs w:val="20"/>
              </w:rPr>
              <w:t>2分/艘次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left"/>
              <w:rPr>
                <w:kern w:val="0"/>
                <w:sz w:val="20"/>
                <w:szCs w:val="20"/>
              </w:rPr>
            </w:pPr>
            <w:r>
              <w:rPr>
                <w:kern w:val="0"/>
                <w:sz w:val="20"/>
                <w:szCs w:val="20"/>
              </w:rPr>
              <w:t>《中华人民共和国内河交通安全管理条例》第二十四条</w:t>
            </w:r>
          </w:p>
        </w:tc>
      </w:tr>
      <w:tr>
        <w:tblPrEx>
          <w:tblCellMar>
            <w:top w:w="0" w:type="dxa"/>
            <w:left w:w="108" w:type="dxa"/>
            <w:bottom w:w="0" w:type="dxa"/>
            <w:right w:w="108" w:type="dxa"/>
          </w:tblCellMar>
        </w:tblPrEx>
        <w:trPr>
          <w:trHeight w:val="576" w:hRule="atLeast"/>
          <w:jc w:val="center"/>
        </w:trPr>
        <w:tc>
          <w:tcPr>
            <w:tcW w:w="1277"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kern w:val="0"/>
                <w:sz w:val="20"/>
                <w:szCs w:val="20"/>
              </w:rPr>
            </w:pPr>
            <w:r>
              <w:rPr>
                <w:kern w:val="0"/>
                <w:sz w:val="20"/>
                <w:szCs w:val="20"/>
              </w:rPr>
              <w:t>SLYS1-4-31</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left"/>
              <w:rPr>
                <w:kern w:val="0"/>
                <w:sz w:val="20"/>
                <w:szCs w:val="20"/>
              </w:rPr>
            </w:pPr>
            <w:r>
              <w:rPr>
                <w:kern w:val="0"/>
                <w:sz w:val="20"/>
                <w:szCs w:val="20"/>
              </w:rPr>
              <w:t>遇险后未履行报告义务，或者不积极施救的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kern w:val="0"/>
                <w:sz w:val="20"/>
                <w:szCs w:val="20"/>
              </w:rPr>
            </w:pPr>
            <w:r>
              <w:rPr>
                <w:kern w:val="0"/>
                <w:sz w:val="20"/>
                <w:szCs w:val="20"/>
              </w:rPr>
              <w:t>5分/次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left"/>
              <w:rPr>
                <w:kern w:val="0"/>
                <w:sz w:val="20"/>
                <w:szCs w:val="20"/>
              </w:rPr>
            </w:pPr>
            <w:r>
              <w:rPr>
                <w:kern w:val="0"/>
                <w:sz w:val="20"/>
                <w:szCs w:val="20"/>
              </w:rPr>
              <w:t>《中华人民共和国内河交通安全管理条例》第二十九条</w:t>
            </w:r>
          </w:p>
        </w:tc>
      </w:tr>
      <w:tr>
        <w:tblPrEx>
          <w:tblCellMar>
            <w:top w:w="0" w:type="dxa"/>
            <w:left w:w="108" w:type="dxa"/>
            <w:bottom w:w="0" w:type="dxa"/>
            <w:right w:w="108" w:type="dxa"/>
          </w:tblCellMar>
        </w:tblPrEx>
        <w:trPr>
          <w:trHeight w:val="756" w:hRule="atLeast"/>
          <w:jc w:val="center"/>
        </w:trPr>
        <w:tc>
          <w:tcPr>
            <w:tcW w:w="1277"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kern w:val="0"/>
                <w:sz w:val="20"/>
                <w:szCs w:val="20"/>
              </w:rPr>
            </w:pPr>
            <w:r>
              <w:rPr>
                <w:kern w:val="0"/>
                <w:sz w:val="20"/>
                <w:szCs w:val="20"/>
              </w:rPr>
              <w:t>SLYS1-4-32</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left"/>
              <w:rPr>
                <w:kern w:val="0"/>
                <w:sz w:val="20"/>
                <w:szCs w:val="20"/>
              </w:rPr>
            </w:pPr>
            <w:r>
              <w:rPr>
                <w:kern w:val="0"/>
                <w:sz w:val="20"/>
                <w:szCs w:val="20"/>
              </w:rPr>
              <w:t>遇险现场和附近的船舶、船员不服从海事管理机构的统一调度和指挥的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kern w:val="0"/>
                <w:sz w:val="20"/>
                <w:szCs w:val="20"/>
              </w:rPr>
            </w:pPr>
            <w:r>
              <w:rPr>
                <w:kern w:val="0"/>
                <w:sz w:val="20"/>
                <w:szCs w:val="20"/>
              </w:rPr>
              <w:t>5分/次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left"/>
              <w:rPr>
                <w:kern w:val="0"/>
                <w:sz w:val="20"/>
                <w:szCs w:val="20"/>
              </w:rPr>
            </w:pPr>
            <w:r>
              <w:rPr>
                <w:kern w:val="0"/>
                <w:sz w:val="20"/>
                <w:szCs w:val="20"/>
              </w:rPr>
              <w:t>《中华人民共和国内河交通安全管理条例》第三十条</w:t>
            </w:r>
          </w:p>
        </w:tc>
      </w:tr>
      <w:tr>
        <w:tblPrEx>
          <w:tblCellMar>
            <w:top w:w="0" w:type="dxa"/>
            <w:left w:w="108" w:type="dxa"/>
            <w:bottom w:w="0" w:type="dxa"/>
            <w:right w:w="108" w:type="dxa"/>
          </w:tblCellMar>
        </w:tblPrEx>
        <w:trPr>
          <w:trHeight w:val="807" w:hRule="atLeast"/>
          <w:jc w:val="center"/>
        </w:trPr>
        <w:tc>
          <w:tcPr>
            <w:tcW w:w="1277"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kern w:val="0"/>
                <w:sz w:val="20"/>
                <w:szCs w:val="20"/>
              </w:rPr>
            </w:pPr>
            <w:r>
              <w:rPr>
                <w:kern w:val="0"/>
                <w:sz w:val="20"/>
                <w:szCs w:val="20"/>
              </w:rPr>
              <w:t>SLYS1-4-33</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left"/>
              <w:rPr>
                <w:kern w:val="0"/>
                <w:sz w:val="20"/>
                <w:szCs w:val="20"/>
              </w:rPr>
            </w:pPr>
            <w:r>
              <w:rPr>
                <w:kern w:val="0"/>
                <w:sz w:val="20"/>
                <w:szCs w:val="20"/>
              </w:rPr>
              <w:t>在通航建筑物及其引航道和船舶调度区内从事货物装卸、水上加油、船舶维修等影响通航建筑物正常运行的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kern w:val="0"/>
                <w:sz w:val="20"/>
                <w:szCs w:val="20"/>
              </w:rPr>
            </w:pPr>
            <w:r>
              <w:rPr>
                <w:kern w:val="0"/>
                <w:sz w:val="20"/>
                <w:szCs w:val="20"/>
              </w:rPr>
              <w:t>5分/次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left"/>
              <w:rPr>
                <w:kern w:val="0"/>
                <w:sz w:val="20"/>
                <w:szCs w:val="20"/>
              </w:rPr>
            </w:pPr>
            <w:r>
              <w:rPr>
                <w:kern w:val="0"/>
                <w:sz w:val="20"/>
                <w:szCs w:val="20"/>
              </w:rPr>
              <w:t>《航道法》第四十二条</w:t>
            </w:r>
          </w:p>
        </w:tc>
      </w:tr>
      <w:tr>
        <w:tblPrEx>
          <w:tblCellMar>
            <w:top w:w="0" w:type="dxa"/>
            <w:left w:w="108" w:type="dxa"/>
            <w:bottom w:w="0" w:type="dxa"/>
            <w:right w:w="108" w:type="dxa"/>
          </w:tblCellMar>
        </w:tblPrEx>
        <w:trPr>
          <w:trHeight w:val="564" w:hRule="atLeast"/>
          <w:jc w:val="center"/>
        </w:trPr>
        <w:tc>
          <w:tcPr>
            <w:tcW w:w="205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评定内容</w:t>
            </w: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行为代码</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不良/良好行为</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行为等级和扣分标准</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评分依据</w:t>
            </w:r>
          </w:p>
        </w:tc>
      </w:tr>
      <w:tr>
        <w:tblPrEx>
          <w:tblCellMar>
            <w:top w:w="0" w:type="dxa"/>
            <w:left w:w="108" w:type="dxa"/>
            <w:bottom w:w="0" w:type="dxa"/>
            <w:right w:w="108" w:type="dxa"/>
          </w:tblCellMar>
        </w:tblPrEx>
        <w:trPr>
          <w:trHeight w:val="538" w:hRule="atLeast"/>
          <w:jc w:val="center"/>
        </w:trPr>
        <w:tc>
          <w:tcPr>
            <w:tcW w:w="12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pacing w:line="320" w:lineRule="exact"/>
              <w:jc w:val="center"/>
              <w:rPr>
                <w:b/>
                <w:bCs/>
                <w:kern w:val="0"/>
                <w:sz w:val="20"/>
                <w:szCs w:val="20"/>
              </w:rPr>
            </w:pPr>
            <w:r>
              <w:rPr>
                <w:b/>
                <w:bCs/>
                <w:kern w:val="0"/>
                <w:sz w:val="20"/>
                <w:szCs w:val="20"/>
              </w:rPr>
              <w:t>安全环保(满分30分，扣完为止)</w:t>
            </w:r>
          </w:p>
        </w:tc>
        <w:tc>
          <w:tcPr>
            <w:tcW w:w="77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spacing w:line="320" w:lineRule="exact"/>
              <w:jc w:val="left"/>
              <w:rPr>
                <w:b/>
                <w:bCs/>
                <w:kern w:val="0"/>
                <w:sz w:val="20"/>
                <w:szCs w:val="20"/>
              </w:rPr>
            </w:pPr>
            <w:r>
              <w:rPr>
                <w:b/>
                <w:bCs/>
                <w:kern w:val="0"/>
                <w:sz w:val="20"/>
                <w:szCs w:val="20"/>
              </w:rPr>
              <w:t>生产作业</w:t>
            </w: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kern w:val="0"/>
                <w:sz w:val="20"/>
                <w:szCs w:val="20"/>
              </w:rPr>
            </w:pPr>
            <w:r>
              <w:rPr>
                <w:kern w:val="0"/>
                <w:sz w:val="20"/>
                <w:szCs w:val="20"/>
              </w:rPr>
              <w:t>SLYS1-4-34</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left"/>
              <w:rPr>
                <w:kern w:val="0"/>
                <w:sz w:val="20"/>
                <w:szCs w:val="20"/>
              </w:rPr>
            </w:pPr>
            <w:r>
              <w:rPr>
                <w:kern w:val="0"/>
                <w:sz w:val="20"/>
                <w:szCs w:val="20"/>
              </w:rPr>
              <w:t>未按要求注册水路“一会三卡”系统管理账号的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kern w:val="0"/>
                <w:sz w:val="20"/>
                <w:szCs w:val="20"/>
              </w:rPr>
            </w:pPr>
            <w:r>
              <w:rPr>
                <w:kern w:val="0"/>
                <w:sz w:val="20"/>
                <w:szCs w:val="20"/>
              </w:rPr>
              <w:t>3分/起</w:t>
            </w:r>
          </w:p>
        </w:tc>
        <w:tc>
          <w:tcPr>
            <w:tcW w:w="354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jc w:val="left"/>
              <w:rPr>
                <w:kern w:val="0"/>
                <w:sz w:val="20"/>
                <w:szCs w:val="20"/>
              </w:rPr>
            </w:pPr>
            <w:r>
              <w:rPr>
                <w:kern w:val="0"/>
                <w:sz w:val="20"/>
                <w:szCs w:val="20"/>
              </w:rPr>
              <w:t>《湖南省交通运输厅关于推行水运安全生产“一会三卡”可视化监管有关事项的通知》</w:t>
            </w:r>
          </w:p>
        </w:tc>
      </w:tr>
      <w:tr>
        <w:tblPrEx>
          <w:tblCellMar>
            <w:top w:w="0" w:type="dxa"/>
            <w:left w:w="108" w:type="dxa"/>
            <w:bottom w:w="0" w:type="dxa"/>
            <w:right w:w="108" w:type="dxa"/>
          </w:tblCellMar>
        </w:tblPrEx>
        <w:trPr>
          <w:trHeight w:val="510" w:hRule="atLeast"/>
          <w:jc w:val="center"/>
        </w:trPr>
        <w:tc>
          <w:tcPr>
            <w:tcW w:w="1277"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spacing w:line="320" w:lineRule="exact"/>
              <w:jc w:val="center"/>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spacing w:line="32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kern w:val="0"/>
                <w:sz w:val="20"/>
                <w:szCs w:val="20"/>
              </w:rPr>
            </w:pPr>
            <w:r>
              <w:rPr>
                <w:kern w:val="0"/>
                <w:sz w:val="20"/>
                <w:szCs w:val="20"/>
              </w:rPr>
              <w:t>SLYS1-4-35</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left"/>
              <w:rPr>
                <w:kern w:val="0"/>
                <w:sz w:val="20"/>
                <w:szCs w:val="20"/>
              </w:rPr>
            </w:pPr>
            <w:r>
              <w:rPr>
                <w:kern w:val="0"/>
                <w:sz w:val="20"/>
                <w:szCs w:val="20"/>
              </w:rPr>
              <w:t>工作生产日未按要求召开班前会议的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kern w:val="0"/>
                <w:sz w:val="20"/>
                <w:szCs w:val="20"/>
              </w:rPr>
            </w:pPr>
            <w:r>
              <w:rPr>
                <w:kern w:val="0"/>
                <w:sz w:val="20"/>
                <w:szCs w:val="20"/>
              </w:rPr>
              <w:t>1分/次</w:t>
            </w:r>
          </w:p>
        </w:tc>
        <w:tc>
          <w:tcPr>
            <w:tcW w:w="354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kern w:val="0"/>
                <w:sz w:val="20"/>
                <w:szCs w:val="20"/>
              </w:rPr>
            </w:pPr>
          </w:p>
        </w:tc>
      </w:tr>
      <w:tr>
        <w:tblPrEx>
          <w:tblCellMar>
            <w:top w:w="0" w:type="dxa"/>
            <w:left w:w="108" w:type="dxa"/>
            <w:bottom w:w="0" w:type="dxa"/>
            <w:right w:w="108" w:type="dxa"/>
          </w:tblCellMar>
        </w:tblPrEx>
        <w:trPr>
          <w:trHeight w:val="545" w:hRule="atLeast"/>
          <w:jc w:val="center"/>
        </w:trPr>
        <w:tc>
          <w:tcPr>
            <w:tcW w:w="1277"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jc w:val="center"/>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20" w:lineRule="exact"/>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kern w:val="0"/>
                <w:sz w:val="20"/>
                <w:szCs w:val="20"/>
              </w:rPr>
            </w:pPr>
            <w:r>
              <w:rPr>
                <w:kern w:val="0"/>
                <w:sz w:val="20"/>
                <w:szCs w:val="20"/>
              </w:rPr>
              <w:t>SLYS1-4-36</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left"/>
              <w:rPr>
                <w:kern w:val="0"/>
                <w:sz w:val="20"/>
                <w:szCs w:val="20"/>
              </w:rPr>
            </w:pPr>
            <w:r>
              <w:rPr>
                <w:kern w:val="0"/>
                <w:sz w:val="20"/>
                <w:szCs w:val="20"/>
              </w:rPr>
              <w:t>未按要求在系统中开展“三卡”学习的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spacing w:line="320" w:lineRule="exact"/>
              <w:jc w:val="center"/>
              <w:rPr>
                <w:kern w:val="0"/>
                <w:sz w:val="20"/>
                <w:szCs w:val="20"/>
              </w:rPr>
            </w:pPr>
            <w:r>
              <w:rPr>
                <w:kern w:val="0"/>
                <w:sz w:val="20"/>
                <w:szCs w:val="20"/>
              </w:rPr>
              <w:t>0.5分/人次</w:t>
            </w:r>
          </w:p>
        </w:tc>
        <w:tc>
          <w:tcPr>
            <w:tcW w:w="354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kern w:val="0"/>
                <w:sz w:val="20"/>
                <w:szCs w:val="20"/>
              </w:rPr>
            </w:pPr>
          </w:p>
        </w:tc>
      </w:tr>
      <w:tr>
        <w:tblPrEx>
          <w:tblCellMar>
            <w:top w:w="0" w:type="dxa"/>
            <w:left w:w="108" w:type="dxa"/>
            <w:bottom w:w="0" w:type="dxa"/>
            <w:right w:w="108" w:type="dxa"/>
          </w:tblCellMar>
        </w:tblPrEx>
        <w:trPr>
          <w:trHeight w:val="539"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kern w:val="0"/>
                <w:sz w:val="20"/>
                <w:szCs w:val="20"/>
              </w:rPr>
            </w:pPr>
            <w:r>
              <w:rPr>
                <w:b/>
                <w:bCs/>
                <w:kern w:val="0"/>
                <w:sz w:val="20"/>
                <w:szCs w:val="20"/>
              </w:rPr>
              <w:t>环境保护</w:t>
            </w: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SLYS1-4-37</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在航道和航道保护范围内倾倒砂石、泥土、垃圾以及其他废弃物的</w:t>
            </w:r>
          </w:p>
        </w:tc>
        <w:tc>
          <w:tcPr>
            <w:tcW w:w="1353"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kern w:val="0"/>
                <w:sz w:val="20"/>
                <w:szCs w:val="20"/>
              </w:rPr>
            </w:pPr>
            <w:r>
              <w:rPr>
                <w:kern w:val="0"/>
                <w:sz w:val="20"/>
                <w:szCs w:val="20"/>
              </w:rPr>
              <w:t>3分/次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《航道法》第四十二条</w:t>
            </w:r>
          </w:p>
        </w:tc>
      </w:tr>
      <w:tr>
        <w:tblPrEx>
          <w:tblCellMar>
            <w:top w:w="0" w:type="dxa"/>
            <w:left w:w="108" w:type="dxa"/>
            <w:bottom w:w="0" w:type="dxa"/>
            <w:right w:w="108" w:type="dxa"/>
          </w:tblCellMar>
        </w:tblPrEx>
        <w:trPr>
          <w:trHeight w:val="504"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SLYS1-4-38</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运行船舶不符合交通运输部节能减排要求的</w:t>
            </w:r>
          </w:p>
        </w:tc>
        <w:tc>
          <w:tcPr>
            <w:tcW w:w="1353"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kern w:val="0"/>
                <w:sz w:val="20"/>
                <w:szCs w:val="20"/>
              </w:rPr>
            </w:pPr>
            <w:r>
              <w:rPr>
                <w:kern w:val="0"/>
                <w:sz w:val="20"/>
                <w:szCs w:val="20"/>
              </w:rPr>
              <w:t>2分/艘次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《国内水路运输管理规定》第七条</w:t>
            </w:r>
          </w:p>
        </w:tc>
      </w:tr>
      <w:tr>
        <w:tblPrEx>
          <w:tblCellMar>
            <w:top w:w="0" w:type="dxa"/>
            <w:left w:w="108" w:type="dxa"/>
            <w:bottom w:w="0" w:type="dxa"/>
            <w:right w:w="108" w:type="dxa"/>
          </w:tblCellMar>
        </w:tblPrEx>
        <w:trPr>
          <w:trHeight w:val="740"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SLYS1-4-39</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向水体倾倒船舶垃圾或者排放船舶的残油、废油的；未经作业地海事管理机构批准，船舶进行散装液体污染危害性货物的过驳作业的</w:t>
            </w:r>
          </w:p>
        </w:tc>
        <w:tc>
          <w:tcPr>
            <w:tcW w:w="1353"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kern w:val="0"/>
                <w:sz w:val="20"/>
                <w:szCs w:val="20"/>
              </w:rPr>
            </w:pPr>
            <w:r>
              <w:rPr>
                <w:kern w:val="0"/>
                <w:sz w:val="20"/>
                <w:szCs w:val="20"/>
              </w:rPr>
              <w:t>3分/次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《中华人民共和国内河交通安全管理条例》第三十四条</w:t>
            </w:r>
          </w:p>
        </w:tc>
      </w:tr>
      <w:tr>
        <w:tblPrEx>
          <w:tblCellMar>
            <w:top w:w="0" w:type="dxa"/>
            <w:left w:w="108" w:type="dxa"/>
            <w:bottom w:w="0" w:type="dxa"/>
            <w:right w:w="108" w:type="dxa"/>
          </w:tblCellMar>
        </w:tblPrEx>
        <w:trPr>
          <w:trHeight w:val="634"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SLYS1-4-40</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船舶及有关作业单位从事有污染风险的作业活动，未按照规定采取污染防治措施的</w:t>
            </w:r>
          </w:p>
        </w:tc>
        <w:tc>
          <w:tcPr>
            <w:tcW w:w="1353"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kern w:val="0"/>
                <w:sz w:val="20"/>
                <w:szCs w:val="20"/>
              </w:rPr>
            </w:pPr>
            <w:r>
              <w:rPr>
                <w:kern w:val="0"/>
                <w:sz w:val="20"/>
                <w:szCs w:val="20"/>
              </w:rPr>
              <w:t>3分/次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《中华人民共和国内河交通安全管理条例》第三十四条</w:t>
            </w:r>
          </w:p>
        </w:tc>
      </w:tr>
      <w:tr>
        <w:tblPrEx>
          <w:tblCellMar>
            <w:top w:w="0" w:type="dxa"/>
            <w:left w:w="108" w:type="dxa"/>
            <w:bottom w:w="0" w:type="dxa"/>
            <w:right w:w="108" w:type="dxa"/>
          </w:tblCellMar>
        </w:tblPrEx>
        <w:trPr>
          <w:trHeight w:val="538"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SLYS1-4-41</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进入内河的国际航线船舶，排放不符合规定的船舶压载水的</w:t>
            </w:r>
          </w:p>
        </w:tc>
        <w:tc>
          <w:tcPr>
            <w:tcW w:w="1353"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kern w:val="0"/>
                <w:sz w:val="20"/>
                <w:szCs w:val="20"/>
              </w:rPr>
            </w:pPr>
            <w:r>
              <w:rPr>
                <w:kern w:val="0"/>
                <w:sz w:val="20"/>
                <w:szCs w:val="20"/>
              </w:rPr>
              <w:t>5分/次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《中华人民共和国内河交通安全管理条例》第三十四条</w:t>
            </w:r>
          </w:p>
        </w:tc>
      </w:tr>
      <w:tr>
        <w:tblPrEx>
          <w:tblCellMar>
            <w:top w:w="0" w:type="dxa"/>
            <w:left w:w="108" w:type="dxa"/>
            <w:bottom w:w="0" w:type="dxa"/>
            <w:right w:w="108" w:type="dxa"/>
          </w:tblCellMar>
        </w:tblPrEx>
        <w:trPr>
          <w:trHeight w:val="712"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SLYS1-4-42</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船舶在城市市区的内河航道航行时，未按照规定使用声响装置的</w:t>
            </w:r>
          </w:p>
        </w:tc>
        <w:tc>
          <w:tcPr>
            <w:tcW w:w="1353"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kern w:val="0"/>
                <w:sz w:val="20"/>
                <w:szCs w:val="20"/>
              </w:rPr>
            </w:pPr>
            <w:r>
              <w:rPr>
                <w:kern w:val="0"/>
                <w:sz w:val="20"/>
                <w:szCs w:val="20"/>
              </w:rPr>
              <w:t>2分/次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《中华人民共和国内河交通安全管理条例》第三十六条</w:t>
            </w:r>
          </w:p>
        </w:tc>
      </w:tr>
      <w:tr>
        <w:tblPrEx>
          <w:tblCellMar>
            <w:top w:w="0" w:type="dxa"/>
            <w:left w:w="108" w:type="dxa"/>
            <w:bottom w:w="0" w:type="dxa"/>
            <w:right w:w="108" w:type="dxa"/>
          </w:tblCellMar>
        </w:tblPrEx>
        <w:trPr>
          <w:trHeight w:val="654"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SLYS1-4-43</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发生污染损害事故，不向监督拆船污染的海事管理机构报告，也不采取消除或者控制污染措施的</w:t>
            </w:r>
          </w:p>
        </w:tc>
        <w:tc>
          <w:tcPr>
            <w:tcW w:w="1353"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kern w:val="0"/>
                <w:sz w:val="20"/>
                <w:szCs w:val="20"/>
              </w:rPr>
            </w:pPr>
            <w:r>
              <w:rPr>
                <w:kern w:val="0"/>
                <w:sz w:val="20"/>
                <w:szCs w:val="20"/>
              </w:rPr>
              <w:t>5分/次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《中华人民共和国内河交通安全管理条例》第三十七条</w:t>
            </w:r>
          </w:p>
        </w:tc>
      </w:tr>
      <w:tr>
        <w:tblPrEx>
          <w:tblCellMar>
            <w:top w:w="0" w:type="dxa"/>
            <w:left w:w="108" w:type="dxa"/>
            <w:bottom w:w="0" w:type="dxa"/>
            <w:right w:w="108" w:type="dxa"/>
          </w:tblCellMar>
        </w:tblPrEx>
        <w:trPr>
          <w:trHeight w:val="654"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SLYS1-4-44</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以冲滩方式进行船舶拆解的；擅自设置拆船厂进行拆船的；废油船未经洗舱、排污、清舱和测爆即进行拆解的</w:t>
            </w:r>
          </w:p>
        </w:tc>
        <w:tc>
          <w:tcPr>
            <w:tcW w:w="1353"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kern w:val="0"/>
                <w:sz w:val="20"/>
                <w:szCs w:val="20"/>
              </w:rPr>
            </w:pPr>
            <w:r>
              <w:rPr>
                <w:kern w:val="0"/>
                <w:sz w:val="20"/>
                <w:szCs w:val="20"/>
              </w:rPr>
              <w:t>10分/次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《中华人民共和国内河交通安全管理条例》第三十四条、第三十七条</w:t>
            </w:r>
          </w:p>
        </w:tc>
      </w:tr>
      <w:tr>
        <w:tblPrEx>
          <w:tblCellMar>
            <w:top w:w="0" w:type="dxa"/>
            <w:left w:w="108" w:type="dxa"/>
            <w:bottom w:w="0" w:type="dxa"/>
            <w:right w:w="108" w:type="dxa"/>
          </w:tblCellMar>
        </w:tblPrEx>
        <w:trPr>
          <w:trHeight w:val="461"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SLYS1-4-45</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在内河港口靠泊2小时以上但未按规定使用岸电的</w:t>
            </w:r>
          </w:p>
        </w:tc>
        <w:tc>
          <w:tcPr>
            <w:tcW w:w="1353"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kern w:val="0"/>
                <w:sz w:val="20"/>
                <w:szCs w:val="20"/>
              </w:rPr>
            </w:pPr>
            <w:r>
              <w:rPr>
                <w:kern w:val="0"/>
                <w:sz w:val="20"/>
                <w:szCs w:val="20"/>
              </w:rPr>
              <w:t>2分/次</w:t>
            </w:r>
          </w:p>
        </w:tc>
        <w:tc>
          <w:tcPr>
            <w:tcW w:w="354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《关于进一步推进长江经济带船舶靠港使用岸电的通知》(交水发〔2021〕63号)</w:t>
            </w:r>
          </w:p>
        </w:tc>
      </w:tr>
      <w:tr>
        <w:tblPrEx>
          <w:tblCellMar>
            <w:top w:w="0" w:type="dxa"/>
            <w:left w:w="108" w:type="dxa"/>
            <w:bottom w:w="0" w:type="dxa"/>
            <w:right w:w="108" w:type="dxa"/>
          </w:tblCellMar>
        </w:tblPrEx>
        <w:trPr>
          <w:trHeight w:val="461"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SLYS1-4-46</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水路运输经营者所属船舶未按要求安装受电设施的</w:t>
            </w:r>
          </w:p>
        </w:tc>
        <w:tc>
          <w:tcPr>
            <w:tcW w:w="1353"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kern w:val="0"/>
                <w:sz w:val="20"/>
                <w:szCs w:val="20"/>
              </w:rPr>
            </w:pPr>
            <w:r>
              <w:rPr>
                <w:kern w:val="0"/>
                <w:sz w:val="20"/>
                <w:szCs w:val="20"/>
              </w:rPr>
              <w:t>1分/艘次</w:t>
            </w:r>
          </w:p>
        </w:tc>
        <w:tc>
          <w:tcPr>
            <w:tcW w:w="35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r>
      <w:tr>
        <w:tblPrEx>
          <w:tblCellMar>
            <w:top w:w="0" w:type="dxa"/>
            <w:left w:w="108" w:type="dxa"/>
            <w:bottom w:w="0" w:type="dxa"/>
            <w:right w:w="108" w:type="dxa"/>
          </w:tblCellMar>
        </w:tblPrEx>
        <w:trPr>
          <w:trHeight w:val="461" w:hRule="atLeast"/>
          <w:jc w:val="center"/>
        </w:trPr>
        <w:tc>
          <w:tcPr>
            <w:tcW w:w="20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 w:val="20"/>
                <w:szCs w:val="20"/>
              </w:rPr>
            </w:pPr>
            <w:r>
              <w:rPr>
                <w:rFonts w:eastAsia="黑体"/>
                <w:bCs/>
                <w:kern w:val="0"/>
                <w:sz w:val="20"/>
                <w:szCs w:val="20"/>
              </w:rPr>
              <w:t>评定内容</w:t>
            </w: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行为代码</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黑体"/>
                <w:bCs/>
                <w:kern w:val="0"/>
                <w:sz w:val="20"/>
                <w:szCs w:val="20"/>
              </w:rPr>
            </w:pPr>
            <w:r>
              <w:rPr>
                <w:rFonts w:eastAsia="黑体"/>
                <w:bCs/>
                <w:kern w:val="0"/>
                <w:sz w:val="20"/>
                <w:szCs w:val="20"/>
              </w:rPr>
              <w:t>不良/良好行为</w:t>
            </w:r>
          </w:p>
        </w:tc>
        <w:tc>
          <w:tcPr>
            <w:tcW w:w="1353"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eastAsia="黑体"/>
                <w:bCs/>
                <w:kern w:val="0"/>
                <w:sz w:val="20"/>
                <w:szCs w:val="20"/>
              </w:rPr>
            </w:pPr>
            <w:r>
              <w:rPr>
                <w:rFonts w:eastAsia="黑体"/>
                <w:bCs/>
                <w:kern w:val="0"/>
                <w:sz w:val="20"/>
                <w:szCs w:val="20"/>
              </w:rPr>
              <w:t>行为等级和扣分标准</w:t>
            </w:r>
          </w:p>
        </w:tc>
        <w:tc>
          <w:tcPr>
            <w:tcW w:w="354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 w:val="20"/>
                <w:szCs w:val="20"/>
              </w:rPr>
            </w:pPr>
            <w:r>
              <w:rPr>
                <w:rFonts w:eastAsia="黑体"/>
                <w:bCs/>
                <w:kern w:val="0"/>
                <w:sz w:val="20"/>
                <w:szCs w:val="20"/>
              </w:rPr>
              <w:t>评分依据</w:t>
            </w:r>
          </w:p>
        </w:tc>
      </w:tr>
      <w:tr>
        <w:tblPrEx>
          <w:tblCellMar>
            <w:top w:w="0" w:type="dxa"/>
            <w:left w:w="108" w:type="dxa"/>
            <w:bottom w:w="0" w:type="dxa"/>
            <w:right w:w="108" w:type="dxa"/>
          </w:tblCellMar>
        </w:tblPrEx>
        <w:trPr>
          <w:trHeight w:val="654" w:hRule="atLeast"/>
          <w:jc w:val="center"/>
        </w:trPr>
        <w:tc>
          <w:tcPr>
            <w:tcW w:w="12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kern w:val="0"/>
                <w:sz w:val="20"/>
                <w:szCs w:val="20"/>
              </w:rPr>
            </w:pPr>
            <w:r>
              <w:rPr>
                <w:b/>
                <w:bCs/>
                <w:kern w:val="0"/>
                <w:sz w:val="20"/>
                <w:szCs w:val="20"/>
              </w:rPr>
              <w:t>社会责任(满分10分，扣完为止)</w:t>
            </w:r>
          </w:p>
        </w:tc>
        <w:tc>
          <w:tcPr>
            <w:tcW w:w="773"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b/>
                <w:bCs/>
                <w:kern w:val="0"/>
                <w:sz w:val="20"/>
                <w:szCs w:val="20"/>
              </w:rPr>
            </w:pPr>
            <w:r>
              <w:rPr>
                <w:b/>
                <w:bCs/>
                <w:kern w:val="0"/>
                <w:sz w:val="20"/>
                <w:szCs w:val="20"/>
              </w:rPr>
              <w:t>/</w:t>
            </w: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SLYS1-5-1</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未服从交通运输主管部门对关系国计民生物资紧急运输的统一组织协调，按要求优先、及时运输的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10分/次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《国内水路运输管理规定》第三十四条</w:t>
            </w:r>
          </w:p>
        </w:tc>
      </w:tr>
      <w:tr>
        <w:tblPrEx>
          <w:tblCellMar>
            <w:top w:w="0" w:type="dxa"/>
            <w:left w:w="108" w:type="dxa"/>
            <w:bottom w:w="0" w:type="dxa"/>
            <w:right w:w="108" w:type="dxa"/>
          </w:tblCellMar>
        </w:tblPrEx>
        <w:trPr>
          <w:trHeight w:val="942"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SLYS1-5-2</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未按规定优先运送处置突发事件所需物资、设备、工具、应急救援人员和受到突发事件危害的人员的，或未重点保障紧急、重要的军事运输的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5分/次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《国内水路运输管理规定》第三十四条</w:t>
            </w:r>
          </w:p>
        </w:tc>
      </w:tr>
      <w:tr>
        <w:tblPrEx>
          <w:tblCellMar>
            <w:top w:w="0" w:type="dxa"/>
            <w:left w:w="108" w:type="dxa"/>
            <w:bottom w:w="0" w:type="dxa"/>
            <w:right w:w="108" w:type="dxa"/>
          </w:tblCellMar>
        </w:tblPrEx>
        <w:trPr>
          <w:trHeight w:val="654"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SLYS1-5-3</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未按要求建立运输保障预案及应急运输、军事运输和紧急运输的运力储备的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3分/次</w:t>
            </w:r>
          </w:p>
        </w:tc>
        <w:tc>
          <w:tcPr>
            <w:tcW w:w="3548"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《国内水路运输管理规定》第三十四条</w:t>
            </w:r>
          </w:p>
        </w:tc>
      </w:tr>
      <w:tr>
        <w:tblPrEx>
          <w:tblCellMar>
            <w:top w:w="0" w:type="dxa"/>
            <w:left w:w="108" w:type="dxa"/>
            <w:bottom w:w="0" w:type="dxa"/>
            <w:right w:w="108" w:type="dxa"/>
          </w:tblCellMar>
        </w:tblPrEx>
        <w:trPr>
          <w:trHeight w:val="902" w:hRule="atLeast"/>
          <w:jc w:val="center"/>
        </w:trPr>
        <w:tc>
          <w:tcPr>
            <w:tcW w:w="12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kern w:val="0"/>
                <w:sz w:val="20"/>
                <w:szCs w:val="20"/>
              </w:rPr>
            </w:pPr>
            <w:r>
              <w:rPr>
                <w:b/>
                <w:bCs/>
                <w:kern w:val="0"/>
                <w:sz w:val="20"/>
                <w:szCs w:val="20"/>
              </w:rPr>
              <w:t>加分项（最多加5分）</w:t>
            </w:r>
          </w:p>
        </w:tc>
        <w:tc>
          <w:tcPr>
            <w:tcW w:w="77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b/>
                <w:bCs/>
                <w:kern w:val="0"/>
                <w:sz w:val="20"/>
                <w:szCs w:val="20"/>
              </w:rPr>
            </w:pPr>
            <w:r>
              <w:rPr>
                <w:b/>
                <w:bCs/>
                <w:kern w:val="0"/>
                <w:sz w:val="20"/>
                <w:szCs w:val="20"/>
              </w:rPr>
              <w:t>/</w:t>
            </w: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SLYS1-6-3</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受到省级以上交通运输行政管理部门认定在行业创新、节能减排、安全生产等方面作出突出贡献；或认定积极组织、参加社会公益活动的；认定积极参加救灾抢险的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2分/次</w:t>
            </w:r>
          </w:p>
        </w:tc>
        <w:tc>
          <w:tcPr>
            <w:tcW w:w="354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水路运输市场信用信息管理办法(试行)（交办水〔2017〕128号）附件1</w:t>
            </w:r>
          </w:p>
        </w:tc>
      </w:tr>
      <w:tr>
        <w:tblPrEx>
          <w:tblCellMar>
            <w:top w:w="0" w:type="dxa"/>
            <w:left w:w="108" w:type="dxa"/>
            <w:bottom w:w="0" w:type="dxa"/>
            <w:right w:w="108" w:type="dxa"/>
          </w:tblCellMar>
        </w:tblPrEx>
        <w:trPr>
          <w:trHeight w:val="942"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SLYS1-6-4</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受到市级以上交通运输行政管理部门认定在行业创新、节能减排、安全生产等方面作出突出贡献；或认定积极组织、参加社会公益活动的；认定积极参加救灾抢险的</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1分/次</w:t>
            </w:r>
          </w:p>
        </w:tc>
        <w:tc>
          <w:tcPr>
            <w:tcW w:w="35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r>
      <w:tr>
        <w:tblPrEx>
          <w:tblCellMar>
            <w:top w:w="0" w:type="dxa"/>
            <w:left w:w="108" w:type="dxa"/>
            <w:bottom w:w="0" w:type="dxa"/>
            <w:right w:w="108" w:type="dxa"/>
          </w:tblCellMar>
        </w:tblPrEx>
        <w:trPr>
          <w:trHeight w:val="613"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SLYS1-6-5</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获得省级以上新闻媒体的正面报道</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1分/次</w:t>
            </w:r>
          </w:p>
        </w:tc>
        <w:tc>
          <w:tcPr>
            <w:tcW w:w="35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r>
      <w:tr>
        <w:tblPrEx>
          <w:tblCellMar>
            <w:top w:w="0" w:type="dxa"/>
            <w:left w:w="108" w:type="dxa"/>
            <w:bottom w:w="0" w:type="dxa"/>
            <w:right w:w="108" w:type="dxa"/>
          </w:tblCellMar>
        </w:tblPrEx>
        <w:trPr>
          <w:trHeight w:val="613" w:hRule="atLeast"/>
          <w:jc w:val="center"/>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SLYS1-6-6</w:t>
            </w:r>
          </w:p>
        </w:tc>
        <w:tc>
          <w:tcPr>
            <w:tcW w:w="7049"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获得市级以上新闻媒体的正面报道</w:t>
            </w:r>
          </w:p>
        </w:tc>
        <w:tc>
          <w:tcPr>
            <w:tcW w:w="135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0.5分/次</w:t>
            </w:r>
          </w:p>
        </w:tc>
        <w:tc>
          <w:tcPr>
            <w:tcW w:w="35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r>
    </w:tbl>
    <w:p>
      <w:pPr>
        <w:rPr>
          <w:rFonts w:eastAsia="仿宋_GB2312"/>
          <w:sz w:val="32"/>
        </w:rPr>
      </w:pPr>
    </w:p>
    <w:p>
      <w:pPr>
        <w:widowControl/>
        <w:jc w:val="left"/>
        <w:rPr>
          <w:rFonts w:eastAsia="仿宋_GB2312"/>
          <w:sz w:val="32"/>
        </w:rPr>
      </w:pPr>
      <w:r>
        <w:rPr>
          <w:rFonts w:eastAsia="仿宋_GB2312"/>
          <w:sz w:val="32"/>
        </w:rPr>
        <w:br w:type="page"/>
      </w:r>
    </w:p>
    <w:tbl>
      <w:tblPr>
        <w:tblStyle w:val="7"/>
        <w:tblW w:w="14746" w:type="dxa"/>
        <w:jc w:val="center"/>
        <w:tblLayout w:type="autofit"/>
        <w:tblCellMar>
          <w:top w:w="0" w:type="dxa"/>
          <w:left w:w="108" w:type="dxa"/>
          <w:bottom w:w="0" w:type="dxa"/>
          <w:right w:w="108" w:type="dxa"/>
        </w:tblCellMar>
      </w:tblPr>
      <w:tblGrid>
        <w:gridCol w:w="1393"/>
        <w:gridCol w:w="1134"/>
        <w:gridCol w:w="1400"/>
        <w:gridCol w:w="5744"/>
        <w:gridCol w:w="1476"/>
        <w:gridCol w:w="3599"/>
      </w:tblGrid>
      <w:tr>
        <w:trPr>
          <w:trHeight w:val="432" w:hRule="atLeast"/>
          <w:jc w:val="center"/>
        </w:trPr>
        <w:tc>
          <w:tcPr>
            <w:tcW w:w="14746" w:type="dxa"/>
            <w:gridSpan w:val="6"/>
            <w:tcBorders>
              <w:top w:val="nil"/>
              <w:left w:val="nil"/>
              <w:bottom w:val="nil"/>
              <w:right w:val="nil"/>
            </w:tcBorders>
            <w:shd w:val="clear" w:color="auto" w:fill="auto"/>
            <w:noWrap/>
            <w:vAlign w:val="center"/>
          </w:tcPr>
          <w:p>
            <w:pPr>
              <w:widowControl/>
              <w:spacing w:line="480" w:lineRule="exact"/>
              <w:jc w:val="left"/>
              <w:rPr>
                <w:kern w:val="0"/>
                <w:sz w:val="22"/>
                <w:szCs w:val="22"/>
              </w:rPr>
            </w:pPr>
            <w:r>
              <w:rPr>
                <w:rFonts w:eastAsia="黑体"/>
                <w:bCs/>
                <w:kern w:val="0"/>
                <w:sz w:val="32"/>
                <w:szCs w:val="32"/>
              </w:rPr>
              <w:t>附件2</w:t>
            </w:r>
          </w:p>
        </w:tc>
      </w:tr>
      <w:tr>
        <w:trPr>
          <w:trHeight w:val="524" w:hRule="atLeast"/>
          <w:jc w:val="center"/>
        </w:trPr>
        <w:tc>
          <w:tcPr>
            <w:tcW w:w="14746" w:type="dxa"/>
            <w:gridSpan w:val="6"/>
            <w:tcBorders>
              <w:top w:val="nil"/>
              <w:left w:val="nil"/>
              <w:bottom w:val="single" w:color="auto" w:sz="4" w:space="0"/>
              <w:right w:val="nil"/>
            </w:tcBorders>
            <w:shd w:val="clear" w:color="auto" w:fill="auto"/>
            <w:noWrap/>
            <w:vAlign w:val="center"/>
          </w:tcPr>
          <w:p>
            <w:pPr>
              <w:widowControl/>
              <w:spacing w:line="560" w:lineRule="exact"/>
              <w:jc w:val="center"/>
              <w:rPr>
                <w:rFonts w:eastAsia="方正小标宋简体"/>
                <w:b/>
                <w:bCs/>
                <w:kern w:val="0"/>
                <w:sz w:val="32"/>
                <w:szCs w:val="32"/>
              </w:rPr>
            </w:pPr>
            <w:r>
              <w:rPr>
                <w:rFonts w:eastAsia="方正小标宋简体"/>
                <w:bCs/>
                <w:spacing w:val="2"/>
                <w:kern w:val="0"/>
                <w:sz w:val="44"/>
                <w:szCs w:val="32"/>
              </w:rPr>
              <w:t>湖南省水路港口经营人信用评价标准</w:t>
            </w:r>
          </w:p>
        </w:tc>
      </w:tr>
      <w:tr>
        <w:trPr>
          <w:trHeight w:val="396" w:hRule="atLeast"/>
          <w:jc w:val="center"/>
        </w:trPr>
        <w:tc>
          <w:tcPr>
            <w:tcW w:w="25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黑体"/>
                <w:bCs/>
                <w:kern w:val="0"/>
                <w:sz w:val="20"/>
                <w:szCs w:val="20"/>
              </w:rPr>
            </w:pPr>
            <w:r>
              <w:rPr>
                <w:rFonts w:eastAsia="黑体"/>
                <w:bCs/>
                <w:kern w:val="0"/>
                <w:sz w:val="20"/>
                <w:szCs w:val="20"/>
              </w:rPr>
              <w:t>评定内容</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黑体"/>
                <w:bCs/>
                <w:kern w:val="0"/>
                <w:sz w:val="20"/>
                <w:szCs w:val="20"/>
              </w:rPr>
            </w:pPr>
            <w:r>
              <w:rPr>
                <w:rFonts w:eastAsia="黑体"/>
                <w:bCs/>
                <w:kern w:val="0"/>
                <w:sz w:val="20"/>
                <w:szCs w:val="20"/>
              </w:rPr>
              <w:t>行为代码</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黑体"/>
                <w:bCs/>
                <w:kern w:val="0"/>
                <w:sz w:val="20"/>
                <w:szCs w:val="20"/>
              </w:rPr>
            </w:pPr>
            <w:r>
              <w:rPr>
                <w:rFonts w:eastAsia="黑体"/>
                <w:bCs/>
                <w:kern w:val="0"/>
                <w:sz w:val="20"/>
                <w:szCs w:val="20"/>
              </w:rPr>
              <w:t>不良/良好行为</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eastAsia="黑体"/>
                <w:bCs/>
                <w:kern w:val="0"/>
                <w:sz w:val="20"/>
                <w:szCs w:val="20"/>
              </w:rPr>
            </w:pPr>
            <w:r>
              <w:rPr>
                <w:rFonts w:eastAsia="黑体"/>
                <w:bCs/>
                <w:kern w:val="0"/>
                <w:sz w:val="20"/>
                <w:szCs w:val="20"/>
              </w:rPr>
              <w:t>行为等级和</w:t>
            </w:r>
          </w:p>
          <w:p>
            <w:pPr>
              <w:widowControl/>
              <w:spacing w:line="220" w:lineRule="exact"/>
              <w:jc w:val="center"/>
              <w:rPr>
                <w:rFonts w:eastAsia="黑体"/>
                <w:bCs/>
                <w:kern w:val="0"/>
                <w:sz w:val="20"/>
                <w:szCs w:val="20"/>
              </w:rPr>
            </w:pPr>
            <w:r>
              <w:rPr>
                <w:rFonts w:eastAsia="黑体"/>
                <w:bCs/>
                <w:kern w:val="0"/>
                <w:sz w:val="20"/>
                <w:szCs w:val="20"/>
              </w:rPr>
              <w:t>扣分标准</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黑体"/>
                <w:bCs/>
                <w:kern w:val="0"/>
                <w:sz w:val="20"/>
                <w:szCs w:val="20"/>
              </w:rPr>
            </w:pPr>
            <w:r>
              <w:rPr>
                <w:rFonts w:eastAsia="黑体"/>
                <w:bCs/>
                <w:kern w:val="0"/>
                <w:sz w:val="20"/>
                <w:szCs w:val="20"/>
              </w:rPr>
              <w:t>评价主要依据</w:t>
            </w:r>
          </w:p>
        </w:tc>
      </w:tr>
      <w:tr>
        <w:trPr>
          <w:trHeight w:val="540" w:hRule="atLeast"/>
          <w:jc w:val="center"/>
        </w:trPr>
        <w:tc>
          <w:tcPr>
            <w:tcW w:w="2527" w:type="dxa"/>
            <w:gridSpan w:val="2"/>
            <w:vMerge w:val="restart"/>
            <w:tcBorders>
              <w:top w:val="single" w:color="auto" w:sz="4" w:space="0"/>
              <w:left w:val="single" w:color="auto" w:sz="4" w:space="0"/>
              <w:right w:val="single" w:color="auto" w:sz="4" w:space="0"/>
            </w:tcBorders>
            <w:shd w:val="clear" w:color="auto" w:fill="auto"/>
            <w:vAlign w:val="center"/>
          </w:tcPr>
          <w:p>
            <w:pPr>
              <w:widowControl/>
              <w:spacing w:line="280" w:lineRule="exact"/>
              <w:jc w:val="center"/>
              <w:rPr>
                <w:b/>
                <w:bCs/>
                <w:kern w:val="0"/>
                <w:sz w:val="20"/>
                <w:szCs w:val="20"/>
              </w:rPr>
            </w:pPr>
            <w:r>
              <w:rPr>
                <w:b/>
                <w:bCs/>
                <w:kern w:val="0"/>
                <w:sz w:val="20"/>
                <w:szCs w:val="20"/>
              </w:rPr>
              <w:t>严重失信</w:t>
            </w:r>
          </w:p>
          <w:p>
            <w:pPr>
              <w:widowControl/>
              <w:spacing w:line="280" w:lineRule="exact"/>
              <w:jc w:val="center"/>
              <w:rPr>
                <w:kern w:val="0"/>
                <w:sz w:val="20"/>
                <w:szCs w:val="20"/>
              </w:rPr>
            </w:pPr>
            <w:r>
              <w:rPr>
                <w:b/>
                <w:bCs/>
                <w:kern w:val="0"/>
                <w:sz w:val="20"/>
                <w:szCs w:val="20"/>
              </w:rPr>
              <w:t>行为</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kern w:val="0"/>
                <w:sz w:val="20"/>
                <w:szCs w:val="20"/>
              </w:rPr>
            </w:pPr>
            <w:r>
              <w:rPr>
                <w:kern w:val="0"/>
                <w:sz w:val="20"/>
                <w:szCs w:val="20"/>
              </w:rPr>
              <w:t>SLGK1-1-1</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kern w:val="0"/>
                <w:sz w:val="20"/>
                <w:szCs w:val="20"/>
              </w:rPr>
            </w:pPr>
            <w:r>
              <w:rPr>
                <w:kern w:val="0"/>
                <w:sz w:val="20"/>
                <w:szCs w:val="20"/>
              </w:rPr>
              <w:t>违反相关法律法规，由相关交通运输管理部门撤销相关经营资格或吊销相关许可证件的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kern w:val="0"/>
                <w:sz w:val="20"/>
                <w:szCs w:val="20"/>
              </w:rPr>
            </w:pPr>
            <w:r>
              <w:rPr>
                <w:kern w:val="0"/>
                <w:sz w:val="20"/>
                <w:szCs w:val="20"/>
              </w:rPr>
              <w:t>直接定为D级</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kern w:val="0"/>
                <w:sz w:val="20"/>
                <w:szCs w:val="20"/>
              </w:rPr>
            </w:pPr>
            <w:r>
              <w:rPr>
                <w:kern w:val="0"/>
                <w:sz w:val="20"/>
                <w:szCs w:val="20"/>
              </w:rPr>
              <w:t>《水路运输市场信用信息管理办法(试行)》第十条</w:t>
            </w:r>
          </w:p>
        </w:tc>
      </w:tr>
      <w:tr>
        <w:trPr>
          <w:trHeight w:val="540" w:hRule="atLeast"/>
          <w:jc w:val="center"/>
        </w:trPr>
        <w:tc>
          <w:tcPr>
            <w:tcW w:w="2527" w:type="dxa"/>
            <w:gridSpan w:val="2"/>
            <w:vMerge w:val="continue"/>
            <w:tcBorders>
              <w:left w:val="single" w:color="auto" w:sz="4" w:space="0"/>
              <w:right w:val="single" w:color="auto" w:sz="4" w:space="0"/>
            </w:tcBorders>
            <w:vAlign w:val="center"/>
          </w:tcPr>
          <w:p>
            <w:pPr>
              <w:widowControl/>
              <w:spacing w:line="280" w:lineRule="exact"/>
              <w:jc w:val="center"/>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kern w:val="0"/>
                <w:sz w:val="20"/>
                <w:szCs w:val="20"/>
              </w:rPr>
            </w:pPr>
            <w:r>
              <w:rPr>
                <w:kern w:val="0"/>
                <w:sz w:val="20"/>
                <w:szCs w:val="20"/>
              </w:rPr>
              <w:t>SLGK1-1-2</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kern w:val="0"/>
                <w:sz w:val="20"/>
                <w:szCs w:val="20"/>
              </w:rPr>
            </w:pPr>
            <w:r>
              <w:rPr>
                <w:kern w:val="0"/>
                <w:sz w:val="20"/>
                <w:szCs w:val="20"/>
              </w:rPr>
              <w:t>违反相关法律法规，由相关交通运输管理部门责令停止经营、停产停业整顿的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kern w:val="0"/>
                <w:sz w:val="20"/>
                <w:szCs w:val="20"/>
              </w:rPr>
            </w:pPr>
            <w:r>
              <w:rPr>
                <w:kern w:val="0"/>
                <w:sz w:val="20"/>
                <w:szCs w:val="20"/>
              </w:rPr>
              <w:t>直接定为D级</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kern w:val="0"/>
                <w:sz w:val="20"/>
                <w:szCs w:val="20"/>
              </w:rPr>
            </w:pPr>
            <w:r>
              <w:rPr>
                <w:kern w:val="0"/>
                <w:sz w:val="20"/>
                <w:szCs w:val="20"/>
              </w:rPr>
              <w:t>《水路运输市场信用信息管理办法(试行)》第十条</w:t>
            </w:r>
          </w:p>
        </w:tc>
      </w:tr>
      <w:tr>
        <w:trPr>
          <w:trHeight w:val="372" w:hRule="atLeast"/>
          <w:jc w:val="center"/>
        </w:trPr>
        <w:tc>
          <w:tcPr>
            <w:tcW w:w="2527" w:type="dxa"/>
            <w:gridSpan w:val="2"/>
            <w:vMerge w:val="continue"/>
            <w:tcBorders>
              <w:left w:val="single" w:color="auto" w:sz="4" w:space="0"/>
              <w:right w:val="single" w:color="auto" w:sz="4" w:space="0"/>
            </w:tcBorders>
            <w:vAlign w:val="center"/>
          </w:tcPr>
          <w:p>
            <w:pPr>
              <w:widowControl/>
              <w:spacing w:line="280" w:lineRule="exact"/>
              <w:jc w:val="center"/>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kern w:val="0"/>
                <w:sz w:val="20"/>
                <w:szCs w:val="20"/>
              </w:rPr>
            </w:pPr>
            <w:r>
              <w:rPr>
                <w:kern w:val="0"/>
                <w:sz w:val="20"/>
                <w:szCs w:val="20"/>
              </w:rPr>
              <w:t>SLGK1-1-3</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kern w:val="0"/>
                <w:sz w:val="20"/>
                <w:szCs w:val="20"/>
              </w:rPr>
            </w:pPr>
            <w:r>
              <w:rPr>
                <w:kern w:val="0"/>
                <w:sz w:val="20"/>
                <w:szCs w:val="20"/>
              </w:rPr>
              <w:t>被纳入交通运输安全生产"黑名单"的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kern w:val="0"/>
                <w:sz w:val="20"/>
                <w:szCs w:val="20"/>
              </w:rPr>
            </w:pPr>
            <w:r>
              <w:rPr>
                <w:kern w:val="0"/>
                <w:sz w:val="20"/>
                <w:szCs w:val="20"/>
              </w:rPr>
              <w:t>直接定为D级</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kern w:val="0"/>
                <w:sz w:val="20"/>
                <w:szCs w:val="20"/>
              </w:rPr>
            </w:pPr>
            <w:r>
              <w:rPr>
                <w:kern w:val="0"/>
                <w:sz w:val="20"/>
                <w:szCs w:val="20"/>
              </w:rPr>
              <w:t>《水路运输市场信用信息管理办法(试行)》第十条</w:t>
            </w:r>
          </w:p>
        </w:tc>
      </w:tr>
      <w:tr>
        <w:trPr>
          <w:trHeight w:val="540" w:hRule="atLeast"/>
          <w:jc w:val="center"/>
        </w:trPr>
        <w:tc>
          <w:tcPr>
            <w:tcW w:w="2527" w:type="dxa"/>
            <w:gridSpan w:val="2"/>
            <w:vMerge w:val="continue"/>
            <w:tcBorders>
              <w:left w:val="single" w:color="auto" w:sz="4" w:space="0"/>
              <w:right w:val="single" w:color="auto" w:sz="4" w:space="0"/>
            </w:tcBorders>
            <w:vAlign w:val="center"/>
          </w:tcPr>
          <w:p>
            <w:pPr>
              <w:widowControl/>
              <w:spacing w:line="280" w:lineRule="exac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kern w:val="0"/>
                <w:sz w:val="20"/>
                <w:szCs w:val="20"/>
              </w:rPr>
            </w:pPr>
            <w:r>
              <w:rPr>
                <w:kern w:val="0"/>
                <w:sz w:val="20"/>
                <w:szCs w:val="20"/>
              </w:rPr>
              <w:t>SLGK1-1-4</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kern w:val="0"/>
                <w:sz w:val="20"/>
                <w:szCs w:val="20"/>
              </w:rPr>
            </w:pPr>
            <w:r>
              <w:rPr>
                <w:kern w:val="0"/>
                <w:sz w:val="20"/>
                <w:szCs w:val="20"/>
              </w:rPr>
              <w:t>在申请行政许可、财政补贴等过程中提供虚假材料、谎报瞒报重要事项的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kern w:val="0"/>
                <w:sz w:val="20"/>
                <w:szCs w:val="20"/>
              </w:rPr>
            </w:pPr>
            <w:r>
              <w:rPr>
                <w:kern w:val="0"/>
                <w:sz w:val="20"/>
                <w:szCs w:val="20"/>
              </w:rPr>
              <w:t>直接定为D级</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kern w:val="0"/>
                <w:sz w:val="20"/>
                <w:szCs w:val="20"/>
              </w:rPr>
            </w:pPr>
            <w:r>
              <w:rPr>
                <w:kern w:val="0"/>
                <w:sz w:val="20"/>
                <w:szCs w:val="20"/>
              </w:rPr>
              <w:t>《水路运输市场信用信息管理办法(试行)》第十条</w:t>
            </w:r>
          </w:p>
        </w:tc>
      </w:tr>
      <w:tr>
        <w:trPr>
          <w:trHeight w:val="532" w:hRule="atLeast"/>
          <w:jc w:val="center"/>
        </w:trPr>
        <w:tc>
          <w:tcPr>
            <w:tcW w:w="2527" w:type="dxa"/>
            <w:gridSpan w:val="2"/>
            <w:vMerge w:val="continue"/>
            <w:tcBorders>
              <w:left w:val="single" w:color="auto" w:sz="4" w:space="0"/>
              <w:bottom w:val="single" w:color="auto" w:sz="4" w:space="0"/>
              <w:right w:val="single" w:color="auto" w:sz="4" w:space="0"/>
            </w:tcBorders>
            <w:vAlign w:val="center"/>
          </w:tcPr>
          <w:p>
            <w:pPr>
              <w:widowControl/>
              <w:spacing w:line="280" w:lineRule="exact"/>
              <w:jc w:val="center"/>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kern w:val="0"/>
                <w:sz w:val="20"/>
                <w:szCs w:val="20"/>
              </w:rPr>
            </w:pPr>
            <w:r>
              <w:rPr>
                <w:kern w:val="0"/>
                <w:sz w:val="20"/>
                <w:szCs w:val="20"/>
              </w:rPr>
              <w:t>SLGK1-1-5</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w w:val="94"/>
                <w:kern w:val="0"/>
                <w:sz w:val="20"/>
                <w:szCs w:val="20"/>
              </w:rPr>
            </w:pPr>
            <w:r>
              <w:rPr>
                <w:w w:val="94"/>
                <w:kern w:val="0"/>
                <w:sz w:val="20"/>
                <w:szCs w:val="20"/>
              </w:rPr>
              <w:t>出现严重扰乱社会秩序、造成恶劣社会影响的事件，对纠纷处理不力，导致矛盾激化、引发较大规模群体性事件，影响社会稳定的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kern w:val="0"/>
                <w:sz w:val="20"/>
                <w:szCs w:val="20"/>
              </w:rPr>
            </w:pPr>
            <w:r>
              <w:rPr>
                <w:kern w:val="0"/>
                <w:sz w:val="20"/>
                <w:szCs w:val="20"/>
              </w:rPr>
              <w:t>直接定为D级</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kern w:val="0"/>
                <w:sz w:val="20"/>
                <w:szCs w:val="20"/>
              </w:rPr>
            </w:pPr>
            <w:r>
              <w:rPr>
                <w:kern w:val="0"/>
                <w:sz w:val="20"/>
                <w:szCs w:val="20"/>
              </w:rPr>
              <w:t>《水路运输市场信用信息管理办法(试行)》第十条</w:t>
            </w:r>
          </w:p>
        </w:tc>
      </w:tr>
      <w:tr>
        <w:trPr>
          <w:trHeight w:val="540" w:hRule="atLeast"/>
          <w:jc w:val="center"/>
        </w:trPr>
        <w:tc>
          <w:tcPr>
            <w:tcW w:w="13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b/>
                <w:bCs/>
                <w:kern w:val="0"/>
                <w:sz w:val="20"/>
                <w:szCs w:val="20"/>
              </w:rPr>
            </w:pPr>
            <w:r>
              <w:rPr>
                <w:b/>
                <w:bCs/>
                <w:kern w:val="0"/>
                <w:sz w:val="20"/>
                <w:szCs w:val="20"/>
              </w:rPr>
              <w:t>经营资质</w:t>
            </w:r>
            <w:r>
              <w:rPr>
                <w:b/>
                <w:bCs/>
                <w:kern w:val="0"/>
                <w:sz w:val="20"/>
                <w:szCs w:val="20"/>
              </w:rPr>
              <w:br w:type="textWrapping"/>
            </w:r>
            <w:r>
              <w:rPr>
                <w:b/>
                <w:bCs/>
                <w:kern w:val="0"/>
                <w:sz w:val="20"/>
                <w:szCs w:val="20"/>
              </w:rPr>
              <w:t>（满分20分，扣完为止）</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kern w:val="0"/>
                <w:sz w:val="20"/>
                <w:szCs w:val="20"/>
              </w:rPr>
            </w:pPr>
            <w:r>
              <w:rPr>
                <w:kern w:val="0"/>
                <w:sz w:val="20"/>
                <w:szCs w:val="20"/>
              </w:rPr>
              <w:t>企业资质</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kern w:val="0"/>
                <w:sz w:val="20"/>
                <w:szCs w:val="20"/>
              </w:rPr>
            </w:pPr>
            <w:r>
              <w:rPr>
                <w:kern w:val="0"/>
                <w:sz w:val="20"/>
                <w:szCs w:val="20"/>
              </w:rPr>
              <w:t>SLGK2-1-1</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kern w:val="0"/>
                <w:sz w:val="20"/>
                <w:szCs w:val="20"/>
              </w:rPr>
            </w:pPr>
            <w:r>
              <w:rPr>
                <w:kern w:val="0"/>
                <w:sz w:val="20"/>
                <w:szCs w:val="20"/>
              </w:rPr>
              <w:t>未依法取得港口经营许可证从事港口经营，或者港口理货业务经营人兼营货物装卸经营业务、仓储经营业务的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kern w:val="0"/>
                <w:sz w:val="20"/>
                <w:szCs w:val="20"/>
              </w:rPr>
            </w:pPr>
            <w:r>
              <w:rPr>
                <w:kern w:val="0"/>
                <w:sz w:val="20"/>
                <w:szCs w:val="20"/>
              </w:rPr>
              <w:t>20分/次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kern w:val="0"/>
                <w:sz w:val="20"/>
                <w:szCs w:val="20"/>
              </w:rPr>
            </w:pPr>
            <w:r>
              <w:rPr>
                <w:kern w:val="0"/>
                <w:sz w:val="20"/>
                <w:szCs w:val="20"/>
              </w:rPr>
              <w:t>《中华人民共和国港口法》第四十九条</w:t>
            </w:r>
          </w:p>
        </w:tc>
      </w:tr>
      <w:tr>
        <w:trPr>
          <w:trHeight w:val="220"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kern w:val="0"/>
                <w:sz w:val="20"/>
                <w:szCs w:val="20"/>
              </w:rPr>
            </w:pPr>
            <w:r>
              <w:rPr>
                <w:kern w:val="0"/>
                <w:sz w:val="20"/>
                <w:szCs w:val="20"/>
              </w:rPr>
              <w:t>SLGK2-1-2</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kern w:val="0"/>
                <w:sz w:val="20"/>
                <w:szCs w:val="20"/>
              </w:rPr>
            </w:pPr>
            <w:r>
              <w:rPr>
                <w:kern w:val="0"/>
                <w:sz w:val="20"/>
                <w:szCs w:val="20"/>
              </w:rPr>
              <w:t>在《港口经营许可证》有效期届满后仍在继续经营的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kern w:val="0"/>
                <w:sz w:val="20"/>
                <w:szCs w:val="20"/>
              </w:rPr>
            </w:pPr>
            <w:r>
              <w:rPr>
                <w:kern w:val="0"/>
                <w:sz w:val="20"/>
                <w:szCs w:val="20"/>
              </w:rPr>
              <w:t>10分/次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kern w:val="0"/>
                <w:sz w:val="20"/>
                <w:szCs w:val="20"/>
              </w:rPr>
            </w:pPr>
            <w:r>
              <w:rPr>
                <w:kern w:val="0"/>
                <w:sz w:val="20"/>
                <w:szCs w:val="20"/>
              </w:rPr>
              <w:t>《港口经营管理规定》第十一条</w:t>
            </w:r>
          </w:p>
        </w:tc>
      </w:tr>
      <w:tr>
        <w:trPr>
          <w:trHeight w:val="367"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kern w:val="0"/>
                <w:sz w:val="20"/>
                <w:szCs w:val="20"/>
              </w:rPr>
            </w:pPr>
            <w:r>
              <w:rPr>
                <w:kern w:val="0"/>
                <w:sz w:val="20"/>
                <w:szCs w:val="20"/>
              </w:rPr>
              <w:t>SLGK2-1-3</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kern w:val="0"/>
                <w:sz w:val="20"/>
                <w:szCs w:val="20"/>
              </w:rPr>
            </w:pPr>
            <w:r>
              <w:rPr>
                <w:kern w:val="0"/>
                <w:sz w:val="20"/>
                <w:szCs w:val="20"/>
              </w:rPr>
              <w:t>未按照港口行政主管部门许可的经营范围从事港口经营活动</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kern w:val="0"/>
                <w:sz w:val="20"/>
                <w:szCs w:val="20"/>
              </w:rPr>
            </w:pPr>
            <w:r>
              <w:rPr>
                <w:kern w:val="0"/>
                <w:sz w:val="20"/>
                <w:szCs w:val="20"/>
              </w:rPr>
              <w:t>10分/次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kern w:val="0"/>
                <w:sz w:val="20"/>
                <w:szCs w:val="20"/>
              </w:rPr>
            </w:pPr>
            <w:r>
              <w:rPr>
                <w:kern w:val="0"/>
                <w:sz w:val="20"/>
                <w:szCs w:val="20"/>
              </w:rPr>
              <w:t>《港口经营管理规定》第十三条</w:t>
            </w:r>
          </w:p>
        </w:tc>
      </w:tr>
      <w:tr>
        <w:trPr>
          <w:trHeight w:val="676"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kern w:val="0"/>
                <w:sz w:val="20"/>
                <w:szCs w:val="20"/>
              </w:rPr>
            </w:pPr>
            <w:r>
              <w:rPr>
                <w:kern w:val="0"/>
                <w:sz w:val="20"/>
                <w:szCs w:val="20"/>
              </w:rPr>
              <w:t>SLGK2-1-4</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kern w:val="0"/>
                <w:sz w:val="20"/>
                <w:szCs w:val="20"/>
              </w:rPr>
            </w:pPr>
            <w:r>
              <w:rPr>
                <w:kern w:val="0"/>
                <w:sz w:val="20"/>
                <w:szCs w:val="20"/>
              </w:rPr>
              <w:t>变更企业法定代表人或者负责人、公司地址、经营范围不向原许可机关办理变更登记手续的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kern w:val="0"/>
                <w:sz w:val="20"/>
                <w:szCs w:val="20"/>
              </w:rPr>
            </w:pPr>
            <w:r>
              <w:rPr>
                <w:kern w:val="0"/>
                <w:sz w:val="20"/>
                <w:szCs w:val="20"/>
              </w:rPr>
              <w:t>1分/次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spacing w:val="-4"/>
                <w:w w:val="90"/>
                <w:kern w:val="0"/>
                <w:sz w:val="20"/>
                <w:szCs w:val="20"/>
              </w:rPr>
            </w:pPr>
            <w:r>
              <w:rPr>
                <w:spacing w:val="-4"/>
                <w:w w:val="90"/>
                <w:kern w:val="0"/>
                <w:sz w:val="20"/>
                <w:szCs w:val="20"/>
              </w:rPr>
              <w:t>《港口经营管理规定》第十四条；湖南省实施《中华人民共和国港口法》办法第三十六条</w:t>
            </w:r>
          </w:p>
        </w:tc>
      </w:tr>
      <w:tr>
        <w:trPr>
          <w:trHeight w:val="908"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kern w:val="0"/>
                <w:sz w:val="20"/>
                <w:szCs w:val="20"/>
              </w:rPr>
            </w:pPr>
            <w:r>
              <w:rPr>
                <w:kern w:val="0"/>
                <w:sz w:val="20"/>
                <w:szCs w:val="20"/>
              </w:rPr>
              <w:t>SLGK2-1-5</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kern w:val="0"/>
                <w:sz w:val="20"/>
                <w:szCs w:val="20"/>
              </w:rPr>
            </w:pPr>
            <w:r>
              <w:rPr>
                <w:kern w:val="0"/>
                <w:sz w:val="20"/>
                <w:szCs w:val="20"/>
              </w:rPr>
              <w:t>未在《港口经营许可证》有效期届满之日30日前向发证机关申请办理延续手续的；或停业或者歇业，未提前 30 个工作日告知原许可机关并交回其《港口经营许可证》的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kern w:val="0"/>
                <w:sz w:val="20"/>
                <w:szCs w:val="20"/>
              </w:rPr>
            </w:pPr>
            <w:r>
              <w:rPr>
                <w:kern w:val="0"/>
                <w:sz w:val="20"/>
                <w:szCs w:val="20"/>
              </w:rPr>
              <w:t>5分/次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kern w:val="0"/>
                <w:sz w:val="20"/>
                <w:szCs w:val="20"/>
              </w:rPr>
            </w:pPr>
            <w:r>
              <w:rPr>
                <w:kern w:val="0"/>
                <w:sz w:val="20"/>
                <w:szCs w:val="20"/>
              </w:rPr>
              <w:t>《港口经营管理规定》第十四条、第十五条</w:t>
            </w:r>
          </w:p>
        </w:tc>
      </w:tr>
      <w:tr>
        <w:trPr>
          <w:trHeight w:val="280"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kern w:val="0"/>
                <w:sz w:val="20"/>
                <w:szCs w:val="20"/>
              </w:rPr>
            </w:pPr>
            <w:r>
              <w:rPr>
                <w:kern w:val="0"/>
                <w:sz w:val="20"/>
                <w:szCs w:val="20"/>
              </w:rPr>
              <w:t>SLGK2-1-6</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kern w:val="0"/>
                <w:sz w:val="20"/>
                <w:szCs w:val="20"/>
              </w:rPr>
            </w:pPr>
            <w:r>
              <w:rPr>
                <w:kern w:val="0"/>
                <w:sz w:val="20"/>
                <w:szCs w:val="20"/>
              </w:rPr>
              <w:t>未经许可使用港口岸线或者擅自变更港口岸线的使用权人、用途或者范围的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kern w:val="0"/>
                <w:sz w:val="20"/>
                <w:szCs w:val="20"/>
              </w:rPr>
            </w:pPr>
            <w:r>
              <w:rPr>
                <w:kern w:val="0"/>
                <w:sz w:val="20"/>
                <w:szCs w:val="20"/>
              </w:rPr>
              <w:t>5分/次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kern w:val="0"/>
                <w:sz w:val="20"/>
                <w:szCs w:val="20"/>
              </w:rPr>
            </w:pPr>
            <w:r>
              <w:rPr>
                <w:kern w:val="0"/>
                <w:sz w:val="20"/>
                <w:szCs w:val="20"/>
              </w:rPr>
              <w:t>湖南省实施《中华人民共和国港口法》办法第三十六条</w:t>
            </w:r>
          </w:p>
        </w:tc>
      </w:tr>
      <w:tr>
        <w:trPr>
          <w:trHeight w:val="138"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kern w:val="0"/>
                <w:sz w:val="20"/>
                <w:szCs w:val="20"/>
              </w:rPr>
            </w:pPr>
            <w:r>
              <w:rPr>
                <w:kern w:val="0"/>
                <w:sz w:val="20"/>
                <w:szCs w:val="20"/>
              </w:rPr>
              <w:t>SLGK2-1-7</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kern w:val="0"/>
                <w:sz w:val="20"/>
                <w:szCs w:val="20"/>
              </w:rPr>
            </w:pPr>
            <w:r>
              <w:rPr>
                <w:kern w:val="0"/>
                <w:sz w:val="20"/>
                <w:szCs w:val="20"/>
              </w:rPr>
              <w:t>取得港口经营许可证的经营人不再具备法定许可条件继续经营的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kern w:val="0"/>
                <w:sz w:val="20"/>
                <w:szCs w:val="20"/>
              </w:rPr>
            </w:pPr>
            <w:r>
              <w:rPr>
                <w:kern w:val="0"/>
                <w:sz w:val="20"/>
                <w:szCs w:val="20"/>
              </w:rPr>
              <w:t>10分/次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kern w:val="0"/>
                <w:sz w:val="20"/>
                <w:szCs w:val="20"/>
              </w:rPr>
            </w:pPr>
            <w:r>
              <w:rPr>
                <w:kern w:val="0"/>
                <w:sz w:val="20"/>
                <w:szCs w:val="20"/>
              </w:rPr>
              <w:t>湖南省实施《中华人民共和国港口法》办法第三十七条</w:t>
            </w:r>
          </w:p>
        </w:tc>
      </w:tr>
      <w:tr>
        <w:trPr>
          <w:trHeight w:val="138" w:hRule="atLeast"/>
          <w:jc w:val="center"/>
        </w:trPr>
        <w:tc>
          <w:tcPr>
            <w:tcW w:w="252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 w:val="20"/>
                <w:szCs w:val="20"/>
              </w:rPr>
            </w:pPr>
            <w:r>
              <w:rPr>
                <w:rFonts w:eastAsia="黑体"/>
                <w:bCs/>
                <w:kern w:val="0"/>
                <w:sz w:val="20"/>
                <w:szCs w:val="20"/>
              </w:rPr>
              <w:t>评定内容</w:t>
            </w:r>
          </w:p>
        </w:tc>
        <w:tc>
          <w:tcPr>
            <w:tcW w:w="140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 w:val="20"/>
                <w:szCs w:val="20"/>
              </w:rPr>
            </w:pPr>
            <w:r>
              <w:rPr>
                <w:rFonts w:eastAsia="黑体"/>
                <w:bCs/>
                <w:kern w:val="0"/>
                <w:sz w:val="20"/>
                <w:szCs w:val="20"/>
              </w:rPr>
              <w:t>行为代码</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黑体"/>
                <w:bCs/>
                <w:kern w:val="0"/>
                <w:sz w:val="20"/>
                <w:szCs w:val="20"/>
              </w:rPr>
            </w:pPr>
            <w:r>
              <w:rPr>
                <w:rFonts w:eastAsia="黑体"/>
                <w:bCs/>
                <w:kern w:val="0"/>
                <w:sz w:val="20"/>
                <w:szCs w:val="20"/>
              </w:rPr>
              <w:t>不良/良好行为</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eastAsia="黑体"/>
                <w:bCs/>
                <w:kern w:val="0"/>
                <w:sz w:val="20"/>
                <w:szCs w:val="20"/>
              </w:rPr>
            </w:pPr>
            <w:r>
              <w:rPr>
                <w:rFonts w:eastAsia="黑体"/>
                <w:bCs/>
                <w:kern w:val="0"/>
                <w:sz w:val="20"/>
                <w:szCs w:val="20"/>
              </w:rPr>
              <w:t>行为等级和</w:t>
            </w:r>
          </w:p>
          <w:p>
            <w:pPr>
              <w:widowControl/>
              <w:spacing w:line="220" w:lineRule="exact"/>
              <w:jc w:val="center"/>
              <w:rPr>
                <w:rFonts w:eastAsia="黑体"/>
                <w:bCs/>
                <w:kern w:val="0"/>
                <w:sz w:val="20"/>
                <w:szCs w:val="20"/>
              </w:rPr>
            </w:pPr>
            <w:r>
              <w:rPr>
                <w:rFonts w:eastAsia="黑体"/>
                <w:bCs/>
                <w:kern w:val="0"/>
                <w:sz w:val="20"/>
                <w:szCs w:val="20"/>
              </w:rPr>
              <w:t>扣分标准</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黑体"/>
                <w:bCs/>
                <w:kern w:val="0"/>
                <w:sz w:val="20"/>
                <w:szCs w:val="20"/>
              </w:rPr>
            </w:pPr>
            <w:r>
              <w:rPr>
                <w:rFonts w:eastAsia="黑体"/>
                <w:bCs/>
                <w:kern w:val="0"/>
                <w:sz w:val="20"/>
                <w:szCs w:val="20"/>
              </w:rPr>
              <w:t>评价主要依据</w:t>
            </w:r>
          </w:p>
        </w:tc>
      </w:tr>
      <w:tr>
        <w:trPr>
          <w:trHeight w:val="741" w:hRule="atLeast"/>
          <w:jc w:val="center"/>
        </w:trPr>
        <w:tc>
          <w:tcPr>
            <w:tcW w:w="13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 w:val="20"/>
                <w:szCs w:val="20"/>
              </w:rPr>
            </w:pPr>
            <w:r>
              <w:rPr>
                <w:b/>
                <w:bCs/>
                <w:kern w:val="0"/>
                <w:sz w:val="20"/>
                <w:szCs w:val="20"/>
              </w:rPr>
              <w:t>经营资质</w:t>
            </w:r>
            <w:r>
              <w:rPr>
                <w:b/>
                <w:bCs/>
                <w:kern w:val="0"/>
                <w:sz w:val="20"/>
                <w:szCs w:val="20"/>
              </w:rPr>
              <w:br w:type="textWrapping"/>
            </w:r>
            <w:r>
              <w:rPr>
                <w:b/>
                <w:bCs/>
                <w:kern w:val="0"/>
                <w:sz w:val="20"/>
                <w:szCs w:val="20"/>
              </w:rPr>
              <w:t>（满分20分，扣完为止）</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人员资质</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SLGK2-1-9</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未按照国家有关规定设置相应设施设备或者配备安全生产管理人员的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1分/人次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《港口经营管理规定》第四十二条、《港口危险货物安全管理规定》第七十三条</w:t>
            </w:r>
          </w:p>
        </w:tc>
      </w:tr>
      <w:tr>
        <w:trPr>
          <w:trHeight w:val="699"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SLGK2-1-10</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装卸管理人员、申报员、检查员未取得从业资格上岗作业的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1分/人次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《危险货物水路运输从业人员考核和从业资格管理规定》第二十七条</w:t>
            </w:r>
          </w:p>
        </w:tc>
      </w:tr>
      <w:tr>
        <w:trPr>
          <w:trHeight w:val="660"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SLGK2-1-11</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未按要求报送聘用装卸管理人员信息的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1分/人次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《危险货物水路运输从业人员考核和从业资格管理规定》第二十八条</w:t>
            </w:r>
          </w:p>
        </w:tc>
      </w:tr>
      <w:tr>
        <w:trPr>
          <w:trHeight w:val="528"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SLGK2-1-12</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装卸管理人员、申报员和检查员将《资格证书》转借他人使用或涂改《资格证书》的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5分/人次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《危险货物水路运输从业人员考核和从业资格管理规定》第二十九条</w:t>
            </w:r>
          </w:p>
        </w:tc>
      </w:tr>
      <w:tr>
        <w:trPr>
          <w:trHeight w:val="579"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SLGK2-1-13</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未依法对从业人员进行安全生产教育、培训，或者未如实记录安全生产教育、培训情况的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0.5分/人次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《港口危险货物安全管理规定》第七十三条</w:t>
            </w:r>
          </w:p>
        </w:tc>
      </w:tr>
      <w:tr>
        <w:trPr>
          <w:trHeight w:val="432" w:hRule="atLeast"/>
          <w:jc w:val="center"/>
        </w:trPr>
        <w:tc>
          <w:tcPr>
            <w:tcW w:w="13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 w:val="20"/>
                <w:szCs w:val="20"/>
              </w:rPr>
            </w:pPr>
            <w:r>
              <w:rPr>
                <w:b/>
                <w:bCs/>
                <w:kern w:val="0"/>
                <w:sz w:val="20"/>
                <w:szCs w:val="20"/>
              </w:rPr>
              <w:t>经营服务质量（满分30分，扣完为止）</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日常管理</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SLGK3-1-1</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在经营活动中实施垄断行为或者不正当竞争行为的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10分/次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《中华人民共和国港口法》第五十一条</w:t>
            </w:r>
          </w:p>
        </w:tc>
      </w:tr>
      <w:tr>
        <w:trPr>
          <w:trHeight w:val="540"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SLGK3-1-2</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客运港口未按要求落实军人、军属优先等便利服务政策措施的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5分/次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w:t>
            </w:r>
          </w:p>
        </w:tc>
      </w:tr>
      <w:tr>
        <w:trPr>
          <w:trHeight w:val="432"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SLGK3-1-3</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经营服务的收费项目和收费标准与实际收费不一致的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2分/次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w:t>
            </w:r>
          </w:p>
        </w:tc>
      </w:tr>
      <w:tr>
        <w:trPr>
          <w:trHeight w:val="694"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SLGK3-1-5</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未采取保证旅客安全的有效措施，向旅客提供快捷、便利的服务，保持良好的候船环境的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2分/次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《中华人民共和国港口法》第二十六条</w:t>
            </w:r>
          </w:p>
        </w:tc>
      </w:tr>
      <w:tr>
        <w:trPr>
          <w:trHeight w:val="519"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SLGK3-1-4</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未如实向港口行政管理部门提供的统计资料的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2分/次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《中华人民共和国港口法》第三十条</w:t>
            </w:r>
          </w:p>
        </w:tc>
      </w:tr>
      <w:tr>
        <w:trPr>
          <w:trHeight w:val="519"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SLGK3-1-5</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港口经营人未按照规定及时足额交纳港口行政性收费</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2分/次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《港口经营管理规定》第三十条</w:t>
            </w:r>
          </w:p>
        </w:tc>
      </w:tr>
      <w:tr>
        <w:trPr>
          <w:trHeight w:val="660"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SLGK3-1-6</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不按规定配合和保障被引船舶靠离泊，不按规定向引航机构提供相关资料</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2分/次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《船舶引航管理规定》第四十五条</w:t>
            </w:r>
          </w:p>
        </w:tc>
      </w:tr>
      <w:tr>
        <w:trPr>
          <w:trHeight w:val="660"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SLGK3-1-7</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未公布经营服务的收费项目和收费标准的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1分/次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《中华人民共和国港口法》第二十八条、《港口经营管理规定》第三十一条</w:t>
            </w:r>
          </w:p>
        </w:tc>
      </w:tr>
      <w:tr>
        <w:trPr>
          <w:trHeight w:val="422" w:hRule="atLeast"/>
          <w:jc w:val="center"/>
        </w:trPr>
        <w:tc>
          <w:tcPr>
            <w:tcW w:w="2527" w:type="dxa"/>
            <w:gridSpan w:val="2"/>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eastAsia="黑体"/>
                <w:bCs/>
                <w:kern w:val="0"/>
                <w:sz w:val="20"/>
                <w:szCs w:val="20"/>
              </w:rPr>
            </w:pPr>
            <w:r>
              <w:rPr>
                <w:rFonts w:eastAsia="黑体"/>
                <w:bCs/>
                <w:kern w:val="0"/>
                <w:sz w:val="20"/>
                <w:szCs w:val="20"/>
              </w:rPr>
              <w:t>评定内容</w:t>
            </w:r>
          </w:p>
        </w:tc>
        <w:tc>
          <w:tcPr>
            <w:tcW w:w="1400"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eastAsia="黑体"/>
                <w:bCs/>
                <w:kern w:val="0"/>
                <w:sz w:val="20"/>
                <w:szCs w:val="20"/>
              </w:rPr>
            </w:pPr>
            <w:r>
              <w:rPr>
                <w:rFonts w:eastAsia="黑体"/>
                <w:bCs/>
                <w:kern w:val="0"/>
                <w:sz w:val="20"/>
                <w:szCs w:val="20"/>
              </w:rPr>
              <w:t>行为代码</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eastAsia="黑体"/>
                <w:bCs/>
                <w:kern w:val="0"/>
                <w:sz w:val="20"/>
                <w:szCs w:val="20"/>
              </w:rPr>
            </w:pPr>
            <w:r>
              <w:rPr>
                <w:rFonts w:eastAsia="黑体"/>
                <w:bCs/>
                <w:kern w:val="0"/>
                <w:sz w:val="20"/>
                <w:szCs w:val="20"/>
              </w:rPr>
              <w:t>不良/良好行为</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eastAsia="黑体"/>
                <w:bCs/>
                <w:kern w:val="0"/>
                <w:sz w:val="20"/>
                <w:szCs w:val="20"/>
              </w:rPr>
            </w:pPr>
            <w:r>
              <w:rPr>
                <w:rFonts w:eastAsia="黑体"/>
                <w:bCs/>
                <w:kern w:val="0"/>
                <w:sz w:val="20"/>
                <w:szCs w:val="20"/>
              </w:rPr>
              <w:t>行为等级和</w:t>
            </w:r>
          </w:p>
          <w:p>
            <w:pPr>
              <w:widowControl/>
              <w:spacing w:line="220" w:lineRule="exact"/>
              <w:jc w:val="center"/>
              <w:rPr>
                <w:rFonts w:eastAsia="黑体"/>
                <w:bCs/>
                <w:kern w:val="0"/>
                <w:sz w:val="20"/>
                <w:szCs w:val="20"/>
              </w:rPr>
            </w:pPr>
            <w:r>
              <w:rPr>
                <w:rFonts w:eastAsia="黑体"/>
                <w:bCs/>
                <w:kern w:val="0"/>
                <w:sz w:val="20"/>
                <w:szCs w:val="20"/>
              </w:rPr>
              <w:t>扣分标准</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eastAsia="黑体"/>
                <w:bCs/>
                <w:kern w:val="0"/>
                <w:sz w:val="20"/>
                <w:szCs w:val="20"/>
              </w:rPr>
            </w:pPr>
            <w:r>
              <w:rPr>
                <w:rFonts w:eastAsia="黑体"/>
                <w:bCs/>
                <w:kern w:val="0"/>
                <w:sz w:val="20"/>
                <w:szCs w:val="20"/>
              </w:rPr>
              <w:t>评价主要依据</w:t>
            </w:r>
          </w:p>
        </w:tc>
      </w:tr>
      <w:tr>
        <w:trPr>
          <w:trHeight w:val="243" w:hRule="atLeast"/>
          <w:jc w:val="center"/>
        </w:trPr>
        <w:tc>
          <w:tcPr>
            <w:tcW w:w="13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 w:val="20"/>
                <w:szCs w:val="20"/>
              </w:rPr>
            </w:pPr>
            <w:r>
              <w:rPr>
                <w:b/>
                <w:bCs/>
                <w:kern w:val="0"/>
                <w:sz w:val="20"/>
                <w:szCs w:val="20"/>
              </w:rPr>
              <w:t>经营服务质量（满分30分，扣完为止）</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日常管理</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SLGK3-1-8</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未按照规定执行政府指导价或者政府定价的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1分/次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《中华人民共和国港口法》第二十八条</w:t>
            </w:r>
          </w:p>
        </w:tc>
      </w:tr>
      <w:tr>
        <w:trPr>
          <w:trHeight w:val="549"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SLGK3-1-9</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港口经营人指定水路运输辅助业务经营者，提供船舶、水路货物运输代理等服务的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5分/次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《国内水路运输辅助业管理规定》第三十八条</w:t>
            </w:r>
          </w:p>
        </w:tc>
      </w:tr>
      <w:tr>
        <w:trPr>
          <w:trHeight w:val="315"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SLGK3-1-10</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未按照国家有关规定落实港口大型机械防阵风防台风措施的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5分/次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《港口经营管理规定》第四十二条</w:t>
            </w:r>
          </w:p>
        </w:tc>
      </w:tr>
      <w:tr>
        <w:trPr>
          <w:trHeight w:val="660"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SLGK3-1-11</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未按照码头泊位性质和功能接靠船舶或者超过码头靠泊等级接靠船舶的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5分/次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w:t>
            </w:r>
          </w:p>
        </w:tc>
      </w:tr>
      <w:tr>
        <w:trPr>
          <w:trHeight w:val="426"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SLGK3-1-12</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未对登船旅客及其携带或者托运的行李、物品以及滚装车辆进行安全检查的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2分/次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w:t>
            </w:r>
          </w:p>
        </w:tc>
      </w:tr>
      <w:tr>
        <w:trPr>
          <w:trHeight w:val="506"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SLGK3-1-13</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装载超出最大营运总质量的集装箱或者超出船舶载货定额装载货物的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2分/次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w:t>
            </w:r>
          </w:p>
        </w:tc>
      </w:tr>
      <w:tr>
        <w:trPr>
          <w:trHeight w:val="762"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SLGK3-1-14</w:t>
            </w:r>
          </w:p>
        </w:tc>
        <w:tc>
          <w:tcPr>
            <w:tcW w:w="5744" w:type="dxa"/>
            <w:tcBorders>
              <w:top w:val="single" w:color="auto" w:sz="4" w:space="0"/>
              <w:left w:val="nil"/>
              <w:bottom w:val="single" w:color="auto" w:sz="4" w:space="0"/>
              <w:right w:val="nil"/>
            </w:tcBorders>
            <w:shd w:val="clear" w:color="auto" w:fill="auto"/>
            <w:vAlign w:val="center"/>
          </w:tcPr>
          <w:p>
            <w:pPr>
              <w:widowControl/>
              <w:jc w:val="left"/>
              <w:rPr>
                <w:spacing w:val="-4"/>
                <w:w w:val="98"/>
                <w:kern w:val="0"/>
                <w:sz w:val="20"/>
                <w:szCs w:val="20"/>
              </w:rPr>
            </w:pPr>
            <w:r>
              <w:rPr>
                <w:spacing w:val="-4"/>
                <w:w w:val="98"/>
                <w:kern w:val="0"/>
                <w:sz w:val="20"/>
                <w:szCs w:val="20"/>
              </w:rPr>
              <w:t>未遵守国家有关港口经营价格和收费规定的，或未在其经营场所公布经营服务收费项目和收费标准的，或未使用国家规定的港口经营票据的</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2分/次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《港口经营管理规定》第三十一条、第四十五条</w:t>
            </w:r>
          </w:p>
        </w:tc>
      </w:tr>
      <w:tr>
        <w:trPr>
          <w:trHeight w:val="662"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SLGK3-1-15</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rPr>
                <w:spacing w:val="-4"/>
                <w:kern w:val="0"/>
                <w:sz w:val="20"/>
                <w:szCs w:val="20"/>
              </w:rPr>
            </w:pPr>
            <w:r>
              <w:rPr>
                <w:spacing w:val="-4"/>
                <w:kern w:val="0"/>
                <w:sz w:val="20"/>
                <w:szCs w:val="20"/>
              </w:rPr>
              <w:t>采取不正当手段，排挤竞争对手，限制或者妨碍公平竞争的；对具有同等条件的服务对象实行歧视的；强迫他人接受其提供的港口服务的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5分/次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《港口经营管理规定》第三十二条、第四十五条</w:t>
            </w:r>
          </w:p>
        </w:tc>
      </w:tr>
      <w:tr>
        <w:trPr>
          <w:trHeight w:val="515"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SLGK3-1-16</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岸电设施发生故障未及时修复的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5分/次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《港口和船舶岸电管理办法》第五条 、第二十三条</w:t>
            </w:r>
          </w:p>
        </w:tc>
      </w:tr>
      <w:tr>
        <w:trPr>
          <w:trHeight w:val="500"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SLGK3-1-17</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未按规定建立健全码头岸电设施管理、使用、维护保养制度和操作规程的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5分/次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《港口和船舶岸电管理办法》第十七条</w:t>
            </w:r>
          </w:p>
        </w:tc>
      </w:tr>
      <w:tr>
        <w:trPr>
          <w:trHeight w:val="408"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SLGK3-1-18</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未按规定将码头岸电设施主要技术参数、检测情况等信息通过网站等渠道向社会公开、及时更新的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2分/次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《港口和船舶岸电管理办法》第十三条</w:t>
            </w:r>
          </w:p>
        </w:tc>
      </w:tr>
      <w:tr>
        <w:trPr>
          <w:trHeight w:val="332"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SLGK3-1-19</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无正当理由拒绝提供岸电供应服务的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2分/次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《港口和船舶岸电管理办法》第十八条</w:t>
            </w:r>
          </w:p>
        </w:tc>
      </w:tr>
      <w:tr>
        <w:trPr>
          <w:trHeight w:val="280"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SLGK3-1-20</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spacing w:val="-4"/>
                <w:w w:val="94"/>
                <w:kern w:val="0"/>
                <w:sz w:val="20"/>
                <w:szCs w:val="20"/>
              </w:rPr>
            </w:pPr>
            <w:r>
              <w:rPr>
                <w:spacing w:val="-4"/>
                <w:w w:val="94"/>
                <w:kern w:val="0"/>
                <w:sz w:val="20"/>
                <w:szCs w:val="20"/>
              </w:rPr>
              <w:t>提供岸电供应服务的港口经营人未如实记录岸电设施设备使用情况的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1分/次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《港口和船舶岸电管理办法》第十八条</w:t>
            </w:r>
          </w:p>
        </w:tc>
      </w:tr>
      <w:tr>
        <w:trPr>
          <w:trHeight w:val="422" w:hRule="atLeast"/>
          <w:jc w:val="center"/>
        </w:trPr>
        <w:tc>
          <w:tcPr>
            <w:tcW w:w="2527" w:type="dxa"/>
            <w:gridSpan w:val="2"/>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eastAsia="黑体"/>
                <w:bCs/>
                <w:kern w:val="0"/>
                <w:sz w:val="20"/>
                <w:szCs w:val="20"/>
              </w:rPr>
            </w:pPr>
            <w:r>
              <w:rPr>
                <w:rFonts w:eastAsia="黑体"/>
                <w:bCs/>
                <w:kern w:val="0"/>
                <w:sz w:val="20"/>
                <w:szCs w:val="20"/>
              </w:rPr>
              <w:t>评定内容</w:t>
            </w:r>
          </w:p>
        </w:tc>
        <w:tc>
          <w:tcPr>
            <w:tcW w:w="1400"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eastAsia="黑体"/>
                <w:bCs/>
                <w:kern w:val="0"/>
                <w:sz w:val="20"/>
                <w:szCs w:val="20"/>
              </w:rPr>
            </w:pPr>
            <w:r>
              <w:rPr>
                <w:rFonts w:eastAsia="黑体"/>
                <w:bCs/>
                <w:kern w:val="0"/>
                <w:sz w:val="20"/>
                <w:szCs w:val="20"/>
              </w:rPr>
              <w:t>行为代码</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eastAsia="黑体"/>
                <w:bCs/>
                <w:kern w:val="0"/>
                <w:sz w:val="20"/>
                <w:szCs w:val="20"/>
              </w:rPr>
            </w:pPr>
            <w:r>
              <w:rPr>
                <w:rFonts w:eastAsia="黑体"/>
                <w:bCs/>
                <w:kern w:val="0"/>
                <w:sz w:val="20"/>
                <w:szCs w:val="20"/>
              </w:rPr>
              <w:t>不良/良好行为</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eastAsia="黑体"/>
                <w:bCs/>
                <w:kern w:val="0"/>
                <w:sz w:val="20"/>
                <w:szCs w:val="20"/>
              </w:rPr>
            </w:pPr>
            <w:r>
              <w:rPr>
                <w:rFonts w:eastAsia="黑体"/>
                <w:bCs/>
                <w:kern w:val="0"/>
                <w:sz w:val="20"/>
                <w:szCs w:val="20"/>
              </w:rPr>
              <w:t>行为等级和</w:t>
            </w:r>
          </w:p>
          <w:p>
            <w:pPr>
              <w:widowControl/>
              <w:spacing w:line="220" w:lineRule="exact"/>
              <w:jc w:val="center"/>
              <w:rPr>
                <w:rFonts w:eastAsia="黑体"/>
                <w:bCs/>
                <w:kern w:val="0"/>
                <w:sz w:val="20"/>
                <w:szCs w:val="20"/>
              </w:rPr>
            </w:pPr>
            <w:r>
              <w:rPr>
                <w:rFonts w:eastAsia="黑体"/>
                <w:bCs/>
                <w:kern w:val="0"/>
                <w:sz w:val="20"/>
                <w:szCs w:val="20"/>
              </w:rPr>
              <w:t>扣分标准</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eastAsia="黑体"/>
                <w:bCs/>
                <w:kern w:val="0"/>
                <w:sz w:val="20"/>
                <w:szCs w:val="20"/>
              </w:rPr>
            </w:pPr>
            <w:r>
              <w:rPr>
                <w:rFonts w:eastAsia="黑体"/>
                <w:bCs/>
                <w:kern w:val="0"/>
                <w:sz w:val="20"/>
                <w:szCs w:val="20"/>
              </w:rPr>
              <w:t>评价主要依据</w:t>
            </w:r>
          </w:p>
        </w:tc>
      </w:tr>
      <w:tr>
        <w:trPr>
          <w:trHeight w:val="681" w:hRule="atLeast"/>
          <w:jc w:val="center"/>
        </w:trPr>
        <w:tc>
          <w:tcPr>
            <w:tcW w:w="13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 w:val="20"/>
                <w:szCs w:val="20"/>
              </w:rPr>
            </w:pPr>
            <w:r>
              <w:rPr>
                <w:b/>
                <w:bCs/>
                <w:kern w:val="0"/>
                <w:sz w:val="20"/>
                <w:szCs w:val="20"/>
              </w:rPr>
              <w:t>港口建设（满分10分，扣完为止）</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基建程序</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SLGK4-1-1</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违反港口规划建设港口、码头或者其他港口设施的，或未经依法批准，建设港口设施使用港口岸线的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10分/起</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《中华人民共和国港口法》第四十六条</w:t>
            </w:r>
          </w:p>
        </w:tc>
      </w:tr>
      <w:tr>
        <w:trPr>
          <w:trHeight w:val="579"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SLGK4-1-2</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rPr>
                <w:spacing w:val="-6"/>
                <w:w w:val="99"/>
                <w:kern w:val="0"/>
                <w:sz w:val="20"/>
                <w:szCs w:val="20"/>
              </w:rPr>
            </w:pPr>
            <w:r>
              <w:rPr>
                <w:spacing w:val="-6"/>
                <w:w w:val="99"/>
                <w:kern w:val="0"/>
                <w:sz w:val="20"/>
                <w:szCs w:val="20"/>
              </w:rPr>
              <w:t>在港口建设的危险货物作业场所、实施卫生除害处理的专用场所与人口密集区或者港口客运设施的距离不符合国务院有关部门的规定的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5分/起</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《中华人民共和国港口法》第四十七条</w:t>
            </w:r>
          </w:p>
        </w:tc>
      </w:tr>
      <w:tr>
        <w:trPr>
          <w:trHeight w:val="921"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SLGK4-1-3</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用于危险化学品运输作业的内河码头、泊位不符合国家有关安全规范，或者未与饮用水取水口保持国家规定的安全距离，或者未经交通运输主管部门验收合格投入使用的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5分/起</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spacing w:val="-4"/>
                <w:kern w:val="0"/>
                <w:sz w:val="20"/>
                <w:szCs w:val="20"/>
              </w:rPr>
            </w:pPr>
            <w:r>
              <w:rPr>
                <w:spacing w:val="-4"/>
                <w:kern w:val="0"/>
                <w:sz w:val="20"/>
                <w:szCs w:val="20"/>
              </w:rPr>
              <w:t>《危险化学品安全管理条例》第八十六条</w:t>
            </w:r>
          </w:p>
        </w:tc>
      </w:tr>
      <w:tr>
        <w:trPr>
          <w:trHeight w:val="662"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SLGK4-1-4</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rPr>
                <w:kern w:val="0"/>
                <w:sz w:val="20"/>
                <w:szCs w:val="20"/>
              </w:rPr>
            </w:pPr>
            <w:r>
              <w:rPr>
                <w:spacing w:val="-6"/>
                <w:w w:val="99"/>
                <w:kern w:val="0"/>
                <w:sz w:val="20"/>
                <w:szCs w:val="20"/>
              </w:rPr>
              <w:t>码头或者港口装卸设施、客运设施未经验收合格，擅自投入使用的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10分/起</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spacing w:val="-2"/>
                <w:kern w:val="0"/>
                <w:sz w:val="20"/>
                <w:szCs w:val="20"/>
              </w:rPr>
            </w:pPr>
            <w:r>
              <w:rPr>
                <w:spacing w:val="-2"/>
                <w:kern w:val="0"/>
                <w:sz w:val="20"/>
                <w:szCs w:val="20"/>
              </w:rPr>
              <w:t>《中华人民共和国港口法》第四十八条、《港口危险货物安全管理规定》第七条</w:t>
            </w:r>
          </w:p>
        </w:tc>
      </w:tr>
      <w:tr>
        <w:trPr>
          <w:trHeight w:val="499"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SLGK4-1-5</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未经安全条件审查，新建、改建、扩建危险货物港口建设项目的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3分/起</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spacing w:val="-6"/>
                <w:w w:val="97"/>
                <w:kern w:val="0"/>
                <w:sz w:val="20"/>
                <w:szCs w:val="20"/>
              </w:rPr>
            </w:pPr>
            <w:r>
              <w:rPr>
                <w:spacing w:val="-6"/>
                <w:w w:val="97"/>
                <w:kern w:val="0"/>
                <w:sz w:val="20"/>
                <w:szCs w:val="20"/>
              </w:rPr>
              <w:t>《港口危险货物安全管理规定》第六十九条</w:t>
            </w:r>
          </w:p>
        </w:tc>
      </w:tr>
      <w:tr>
        <w:trPr>
          <w:trHeight w:val="592"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SLGK4-1-6</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未按照规定进行安全评价的；未开展安全设施设计或者安全设施设计未按照规定报经交通主管部门审查同意的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3分/起</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spacing w:val="-4"/>
                <w:kern w:val="0"/>
                <w:sz w:val="20"/>
                <w:szCs w:val="20"/>
              </w:rPr>
            </w:pPr>
            <w:r>
              <w:rPr>
                <w:spacing w:val="-4"/>
                <w:kern w:val="0"/>
                <w:sz w:val="20"/>
                <w:szCs w:val="20"/>
              </w:rPr>
              <w:t>《港口危险货物安全管理规定》第七十条</w:t>
            </w:r>
          </w:p>
        </w:tc>
      </w:tr>
      <w:tr>
        <w:trPr>
          <w:trHeight w:val="621"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SLGK4-1-7</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变更或改造码头等固定经营设施，未依照有关法律、法规和规章的规定履行相应手续的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10分/起</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《港口经营管理规定》第二十条</w:t>
            </w:r>
          </w:p>
        </w:tc>
      </w:tr>
      <w:tr>
        <w:trPr>
          <w:trHeight w:val="660"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SLGK4-1-8</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在规划港区内建设影响港口规划实施的永久性建筑物、构筑物的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5分/起</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湖南省实施《中华人民共和国港口法》办法第三十六条</w:t>
            </w:r>
          </w:p>
        </w:tc>
      </w:tr>
      <w:tr>
        <w:trPr>
          <w:trHeight w:val="489"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SLGK4-1-9</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港口经营人未按岸电设施建设和改造计划实施建设和改造的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5分/起</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spacing w:val="-4"/>
                <w:kern w:val="0"/>
                <w:sz w:val="20"/>
                <w:szCs w:val="20"/>
              </w:rPr>
            </w:pPr>
            <w:r>
              <w:rPr>
                <w:spacing w:val="-4"/>
                <w:kern w:val="0"/>
                <w:sz w:val="20"/>
                <w:szCs w:val="20"/>
              </w:rPr>
              <w:t>《港口和船舶岸电管理办法》第二十三条</w:t>
            </w:r>
          </w:p>
        </w:tc>
      </w:tr>
      <w:tr>
        <w:trPr>
          <w:trHeight w:val="384" w:hRule="atLeast"/>
          <w:jc w:val="center"/>
        </w:trPr>
        <w:tc>
          <w:tcPr>
            <w:tcW w:w="13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 w:val="20"/>
                <w:szCs w:val="20"/>
              </w:rPr>
            </w:pPr>
            <w:r>
              <w:rPr>
                <w:b/>
                <w:bCs/>
                <w:kern w:val="0"/>
                <w:sz w:val="20"/>
                <w:szCs w:val="20"/>
              </w:rPr>
              <w:t>安全环保（满分30分，扣完为止）</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主体责任</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SLGK5-1-1</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谎报、瞒报、迟报、漏报生产安全事故的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10分/次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w:t>
            </w:r>
          </w:p>
        </w:tc>
      </w:tr>
      <w:tr>
        <w:trPr>
          <w:trHeight w:val="419"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SLGK5-1-2</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未按规定制定或报备应急预案的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5分/次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《中华人民共和国港口法》第三十二条</w:t>
            </w:r>
          </w:p>
        </w:tc>
      </w:tr>
      <w:tr>
        <w:trPr>
          <w:trHeight w:val="410"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SLGK5-1-3</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rPr>
                <w:spacing w:val="-4"/>
                <w:kern w:val="0"/>
                <w:sz w:val="20"/>
                <w:szCs w:val="20"/>
              </w:rPr>
            </w:pPr>
            <w:r>
              <w:rPr>
                <w:spacing w:val="-6"/>
                <w:w w:val="99"/>
                <w:kern w:val="0"/>
                <w:sz w:val="20"/>
                <w:szCs w:val="20"/>
              </w:rPr>
              <w:t>未按照国家有关规定落实配备应急物资、定期开展应急培训和演练的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2分/次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w:t>
            </w:r>
          </w:p>
        </w:tc>
      </w:tr>
      <w:tr>
        <w:trPr>
          <w:trHeight w:val="346"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SLGK5-1-4</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未依法提取和使用安全生产经费的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5分/次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w:t>
            </w:r>
          </w:p>
        </w:tc>
      </w:tr>
      <w:tr>
        <w:trPr>
          <w:trHeight w:val="422"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SLGK5-1-5</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在港口内进行危险货物的装卸、过驳作业前未依法申报的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2分/次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《中华人民共和国港口法》第三十五条</w:t>
            </w:r>
          </w:p>
        </w:tc>
      </w:tr>
      <w:tr>
        <w:trPr>
          <w:trHeight w:val="422" w:hRule="atLeast"/>
          <w:jc w:val="center"/>
        </w:trPr>
        <w:tc>
          <w:tcPr>
            <w:tcW w:w="2527" w:type="dxa"/>
            <w:gridSpan w:val="2"/>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eastAsia="黑体"/>
                <w:bCs/>
                <w:kern w:val="0"/>
                <w:sz w:val="20"/>
                <w:szCs w:val="20"/>
              </w:rPr>
            </w:pPr>
            <w:r>
              <w:rPr>
                <w:rFonts w:eastAsia="黑体"/>
                <w:bCs/>
                <w:kern w:val="0"/>
                <w:sz w:val="20"/>
                <w:szCs w:val="20"/>
              </w:rPr>
              <w:t>评定内容</w:t>
            </w:r>
          </w:p>
        </w:tc>
        <w:tc>
          <w:tcPr>
            <w:tcW w:w="1400"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eastAsia="黑体"/>
                <w:bCs/>
                <w:kern w:val="0"/>
                <w:sz w:val="20"/>
                <w:szCs w:val="20"/>
              </w:rPr>
            </w:pPr>
            <w:r>
              <w:rPr>
                <w:rFonts w:eastAsia="黑体"/>
                <w:bCs/>
                <w:kern w:val="0"/>
                <w:sz w:val="20"/>
                <w:szCs w:val="20"/>
              </w:rPr>
              <w:t>行为代码</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eastAsia="黑体"/>
                <w:bCs/>
                <w:kern w:val="0"/>
                <w:sz w:val="20"/>
                <w:szCs w:val="20"/>
              </w:rPr>
            </w:pPr>
            <w:r>
              <w:rPr>
                <w:rFonts w:eastAsia="黑体"/>
                <w:bCs/>
                <w:kern w:val="0"/>
                <w:sz w:val="20"/>
                <w:szCs w:val="20"/>
              </w:rPr>
              <w:t>不良/良好行为</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eastAsia="黑体"/>
                <w:bCs/>
                <w:kern w:val="0"/>
                <w:sz w:val="20"/>
                <w:szCs w:val="20"/>
              </w:rPr>
            </w:pPr>
            <w:r>
              <w:rPr>
                <w:rFonts w:eastAsia="黑体"/>
                <w:bCs/>
                <w:kern w:val="0"/>
                <w:sz w:val="20"/>
                <w:szCs w:val="20"/>
              </w:rPr>
              <w:t>行为等级和</w:t>
            </w:r>
          </w:p>
          <w:p>
            <w:pPr>
              <w:widowControl/>
              <w:spacing w:line="220" w:lineRule="exact"/>
              <w:jc w:val="center"/>
              <w:rPr>
                <w:rFonts w:eastAsia="黑体"/>
                <w:bCs/>
                <w:kern w:val="0"/>
                <w:sz w:val="20"/>
                <w:szCs w:val="20"/>
              </w:rPr>
            </w:pPr>
            <w:r>
              <w:rPr>
                <w:rFonts w:eastAsia="黑体"/>
                <w:bCs/>
                <w:kern w:val="0"/>
                <w:sz w:val="20"/>
                <w:szCs w:val="20"/>
              </w:rPr>
              <w:t>扣分标准</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eastAsia="黑体"/>
                <w:bCs/>
                <w:kern w:val="0"/>
                <w:sz w:val="20"/>
                <w:szCs w:val="20"/>
              </w:rPr>
            </w:pPr>
            <w:r>
              <w:rPr>
                <w:rFonts w:eastAsia="黑体"/>
                <w:bCs/>
                <w:kern w:val="0"/>
                <w:sz w:val="20"/>
                <w:szCs w:val="20"/>
              </w:rPr>
              <w:t>评价主要依据</w:t>
            </w:r>
          </w:p>
        </w:tc>
      </w:tr>
      <w:tr>
        <w:trPr>
          <w:trHeight w:val="427" w:hRule="atLeast"/>
          <w:jc w:val="center"/>
        </w:trPr>
        <w:tc>
          <w:tcPr>
            <w:tcW w:w="13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 w:val="20"/>
                <w:szCs w:val="20"/>
              </w:rPr>
            </w:pPr>
            <w:r>
              <w:rPr>
                <w:b/>
                <w:bCs/>
                <w:kern w:val="0"/>
                <w:sz w:val="20"/>
                <w:szCs w:val="20"/>
              </w:rPr>
              <w:t>安全环保（满分30分，扣完为止）</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主体责任</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SLGK5-1-6</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在安全监督检查中发现重大隐患，未按督办要求整改的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5分/次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《中华人民共和国港口法》第三十六条</w:t>
            </w:r>
          </w:p>
        </w:tc>
      </w:tr>
      <w:tr>
        <w:trPr>
          <w:trHeight w:val="405"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SLGK5-1-7</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在安全监督检查中发现存在一般安全隐患未按要求完成整改的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2分/次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w:t>
            </w:r>
          </w:p>
        </w:tc>
      </w:tr>
      <w:tr>
        <w:trPr>
          <w:trHeight w:val="411"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SLGK5-1-8</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未将事故隐患排查治理情况如实记录或者未向从业人员通报的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2分/次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w:t>
            </w:r>
          </w:p>
        </w:tc>
      </w:tr>
      <w:tr>
        <w:trPr>
          <w:trHeight w:val="579"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SLGK5-1-9</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危险货物港口作业未建立专门安全管理制度、未采取可靠的安全措施的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2分/次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《港口危险货物安全管理规定》第七十四条</w:t>
            </w:r>
          </w:p>
        </w:tc>
      </w:tr>
      <w:tr>
        <w:trPr>
          <w:trHeight w:val="355"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SLGK5-1-10</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未按照规定设立安全管理机构、配备安全管理人员的</w:t>
            </w:r>
          </w:p>
        </w:tc>
        <w:tc>
          <w:tcPr>
            <w:tcW w:w="14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 w:val="20"/>
                <w:szCs w:val="20"/>
              </w:rPr>
            </w:pPr>
            <w:r>
              <w:rPr>
                <w:kern w:val="0"/>
                <w:sz w:val="20"/>
                <w:szCs w:val="20"/>
              </w:rPr>
              <w:t>5分/项</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《湖南省水上交通安全条例》第九条</w:t>
            </w:r>
          </w:p>
        </w:tc>
      </w:tr>
      <w:tr>
        <w:trPr>
          <w:trHeight w:val="416"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SLGK5-1-11</w:t>
            </w:r>
          </w:p>
        </w:tc>
        <w:tc>
          <w:tcPr>
            <w:tcW w:w="5744" w:type="dxa"/>
            <w:tcBorders>
              <w:top w:val="single" w:color="auto" w:sz="4" w:space="0"/>
              <w:left w:val="nil"/>
              <w:bottom w:val="single" w:color="auto" w:sz="4" w:space="0"/>
              <w:right w:val="single" w:color="auto" w:sz="4" w:space="0"/>
            </w:tcBorders>
            <w:shd w:val="clear" w:color="000000" w:fill="FFFFFF"/>
            <w:vAlign w:val="center"/>
          </w:tcPr>
          <w:p>
            <w:pPr>
              <w:widowControl/>
              <w:jc w:val="left"/>
              <w:rPr>
                <w:kern w:val="0"/>
                <w:sz w:val="20"/>
                <w:szCs w:val="20"/>
              </w:rPr>
            </w:pPr>
            <w:r>
              <w:rPr>
                <w:kern w:val="0"/>
                <w:sz w:val="20"/>
                <w:szCs w:val="20"/>
              </w:rPr>
              <w:t>未依法参加工伤保险的，或未依法投保安全生产责任险的</w:t>
            </w:r>
          </w:p>
        </w:tc>
        <w:tc>
          <w:tcPr>
            <w:tcW w:w="147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kern w:val="0"/>
                <w:sz w:val="20"/>
                <w:szCs w:val="20"/>
              </w:rPr>
            </w:pPr>
            <w:r>
              <w:rPr>
                <w:kern w:val="0"/>
                <w:sz w:val="20"/>
                <w:szCs w:val="20"/>
              </w:rPr>
              <w:t>3分/起</w:t>
            </w:r>
          </w:p>
        </w:tc>
        <w:tc>
          <w:tcPr>
            <w:tcW w:w="3599" w:type="dxa"/>
            <w:tcBorders>
              <w:top w:val="single" w:color="auto" w:sz="4" w:space="0"/>
              <w:left w:val="nil"/>
              <w:bottom w:val="single" w:color="auto" w:sz="4" w:space="0"/>
              <w:right w:val="single" w:color="auto" w:sz="4" w:space="0"/>
            </w:tcBorders>
            <w:shd w:val="clear" w:color="000000" w:fill="FFFFFF"/>
            <w:vAlign w:val="center"/>
          </w:tcPr>
          <w:p>
            <w:pPr>
              <w:widowControl/>
              <w:jc w:val="left"/>
              <w:rPr>
                <w:spacing w:val="-4"/>
                <w:kern w:val="0"/>
                <w:sz w:val="20"/>
                <w:szCs w:val="20"/>
              </w:rPr>
            </w:pPr>
            <w:r>
              <w:rPr>
                <w:spacing w:val="-4"/>
                <w:kern w:val="0"/>
                <w:sz w:val="20"/>
                <w:szCs w:val="20"/>
              </w:rPr>
              <w:t>《中华人民共和国安全生产法》五十一条</w:t>
            </w:r>
          </w:p>
        </w:tc>
      </w:tr>
      <w:tr>
        <w:trPr>
          <w:trHeight w:val="427"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SLGK5-1-12</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未如实记录安全生产教育和培训情况的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3分/次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spacing w:val="-4"/>
                <w:kern w:val="0"/>
                <w:sz w:val="20"/>
                <w:szCs w:val="20"/>
              </w:rPr>
            </w:pPr>
            <w:r>
              <w:rPr>
                <w:spacing w:val="-4"/>
                <w:kern w:val="0"/>
                <w:sz w:val="20"/>
                <w:szCs w:val="20"/>
              </w:rPr>
              <w:t>《中华人民共和国安全生产法》九十七条</w:t>
            </w:r>
          </w:p>
        </w:tc>
      </w:tr>
      <w:tr>
        <w:trPr>
          <w:trHeight w:val="404"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SLGK5-1-13</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未将事故隐患排查治理情况如实记录或者未向从业人员通报的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1分/起</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spacing w:val="-4"/>
                <w:kern w:val="0"/>
                <w:sz w:val="20"/>
                <w:szCs w:val="20"/>
              </w:rPr>
            </w:pPr>
            <w:r>
              <w:rPr>
                <w:spacing w:val="-4"/>
                <w:kern w:val="0"/>
                <w:sz w:val="20"/>
                <w:szCs w:val="20"/>
              </w:rPr>
              <w:t>《中华人民共和国安全生产法》九十七条</w:t>
            </w:r>
          </w:p>
        </w:tc>
      </w:tr>
      <w:tr>
        <w:trPr>
          <w:trHeight w:val="520"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SLGK5-1-14</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关闭、破坏直接关系生产安全的设备设施，或者篡改、隐瞒、销毁其相关数据信息的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5分/起</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spacing w:val="-4"/>
                <w:kern w:val="0"/>
                <w:sz w:val="20"/>
                <w:szCs w:val="20"/>
              </w:rPr>
            </w:pPr>
            <w:r>
              <w:rPr>
                <w:spacing w:val="-4"/>
                <w:kern w:val="0"/>
                <w:sz w:val="20"/>
                <w:szCs w:val="20"/>
              </w:rPr>
              <w:t>《中华人民共和国安全生产法》九十九条</w:t>
            </w:r>
          </w:p>
        </w:tc>
      </w:tr>
      <w:tr>
        <w:trPr>
          <w:trHeight w:val="706"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SLGK5-1-15</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生产经营、运输储存、使用危险物品或者处置废弃危险物品，未建立专门安全管理制度、未采取可靠的安全措施的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3分/起</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spacing w:val="-6"/>
                <w:w w:val="98"/>
                <w:kern w:val="0"/>
                <w:sz w:val="20"/>
                <w:szCs w:val="20"/>
              </w:rPr>
            </w:pPr>
            <w:r>
              <w:rPr>
                <w:spacing w:val="-6"/>
                <w:w w:val="98"/>
                <w:kern w:val="0"/>
                <w:sz w:val="20"/>
                <w:szCs w:val="20"/>
              </w:rPr>
              <w:t>《中华人民共和国安全生产法》一百条零一条</w:t>
            </w:r>
          </w:p>
        </w:tc>
      </w:tr>
      <w:tr>
        <w:trPr>
          <w:trHeight w:val="688"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SLGK5-1-16</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对重大危险源未登记建档，未进行定期检测、评估、监控，未制定应急预案；或者未告知应急措施的；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5分/起</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spacing w:val="-6"/>
                <w:w w:val="98"/>
                <w:kern w:val="0"/>
                <w:sz w:val="20"/>
                <w:szCs w:val="20"/>
              </w:rPr>
            </w:pPr>
            <w:r>
              <w:rPr>
                <w:spacing w:val="-6"/>
                <w:w w:val="98"/>
                <w:kern w:val="0"/>
                <w:sz w:val="20"/>
                <w:szCs w:val="20"/>
              </w:rPr>
              <w:t>《中华人民共和国安全生产法》一百条零一条</w:t>
            </w:r>
          </w:p>
        </w:tc>
      </w:tr>
      <w:tr>
        <w:trPr>
          <w:trHeight w:val="564"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SLGK5-1-17</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未建立事故隐患排查治理制度，重大事故隐患排查治理情况未按照规定报告的；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3分/起</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spacing w:val="-6"/>
                <w:w w:val="98"/>
                <w:kern w:val="0"/>
                <w:sz w:val="20"/>
                <w:szCs w:val="20"/>
              </w:rPr>
            </w:pPr>
            <w:r>
              <w:rPr>
                <w:spacing w:val="-6"/>
                <w:w w:val="98"/>
                <w:kern w:val="0"/>
                <w:sz w:val="20"/>
                <w:szCs w:val="20"/>
              </w:rPr>
              <w:t>《中华人民共和国安全生产法》一百条零一条</w:t>
            </w:r>
          </w:p>
        </w:tc>
      </w:tr>
      <w:tr>
        <w:trPr>
          <w:trHeight w:val="592"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SLGK5-1-18</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未建立安全风险分级管控制度或者未按照安全风险分级采取相应管控措施的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3分/起</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spacing w:val="-6"/>
                <w:w w:val="98"/>
                <w:kern w:val="0"/>
                <w:sz w:val="20"/>
                <w:szCs w:val="20"/>
              </w:rPr>
            </w:pPr>
            <w:r>
              <w:rPr>
                <w:spacing w:val="-6"/>
                <w:w w:val="98"/>
                <w:kern w:val="0"/>
                <w:sz w:val="20"/>
                <w:szCs w:val="20"/>
              </w:rPr>
              <w:t>《中华人民共和国安全生产法》一百条零一条</w:t>
            </w:r>
          </w:p>
        </w:tc>
      </w:tr>
      <w:tr>
        <w:trPr>
          <w:trHeight w:val="388"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SLGK5-1-19</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发生一般生产安全事故的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20分/次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kern w:val="0"/>
                <w:sz w:val="20"/>
                <w:szCs w:val="20"/>
              </w:rPr>
            </w:pPr>
            <w:r>
              <w:rPr>
                <w:spacing w:val="-6"/>
                <w:w w:val="98"/>
                <w:kern w:val="0"/>
                <w:sz w:val="20"/>
                <w:szCs w:val="20"/>
              </w:rPr>
              <w:t>《中华人民共和国安全生产法》一百一十四条</w:t>
            </w:r>
          </w:p>
        </w:tc>
      </w:tr>
      <w:tr>
        <w:trPr>
          <w:trHeight w:val="422"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SLGK5-1-20</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发生较大生产安全事故的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30分/次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kern w:val="0"/>
                <w:sz w:val="20"/>
                <w:szCs w:val="20"/>
              </w:rPr>
            </w:pPr>
            <w:r>
              <w:rPr>
                <w:spacing w:val="-6"/>
                <w:w w:val="98"/>
                <w:kern w:val="0"/>
                <w:sz w:val="20"/>
                <w:szCs w:val="20"/>
              </w:rPr>
              <w:t>《中华人民共和国安全生产法》一百一十四条</w:t>
            </w:r>
          </w:p>
        </w:tc>
      </w:tr>
      <w:tr>
        <w:trPr>
          <w:trHeight w:val="422" w:hRule="atLeast"/>
          <w:jc w:val="center"/>
        </w:trPr>
        <w:tc>
          <w:tcPr>
            <w:tcW w:w="2527" w:type="dxa"/>
            <w:gridSpan w:val="2"/>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eastAsia="黑体"/>
                <w:bCs/>
                <w:kern w:val="0"/>
                <w:sz w:val="20"/>
                <w:szCs w:val="20"/>
              </w:rPr>
            </w:pPr>
            <w:r>
              <w:rPr>
                <w:rFonts w:eastAsia="黑体"/>
                <w:bCs/>
                <w:kern w:val="0"/>
                <w:sz w:val="20"/>
                <w:szCs w:val="20"/>
              </w:rPr>
              <w:t>评定内容</w:t>
            </w:r>
          </w:p>
        </w:tc>
        <w:tc>
          <w:tcPr>
            <w:tcW w:w="1400"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eastAsia="黑体"/>
                <w:bCs/>
                <w:kern w:val="0"/>
                <w:sz w:val="20"/>
                <w:szCs w:val="20"/>
              </w:rPr>
            </w:pPr>
            <w:r>
              <w:rPr>
                <w:rFonts w:eastAsia="黑体"/>
                <w:bCs/>
                <w:kern w:val="0"/>
                <w:sz w:val="20"/>
                <w:szCs w:val="20"/>
              </w:rPr>
              <w:t>行为代码</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eastAsia="黑体"/>
                <w:bCs/>
                <w:kern w:val="0"/>
                <w:sz w:val="20"/>
                <w:szCs w:val="20"/>
              </w:rPr>
            </w:pPr>
            <w:r>
              <w:rPr>
                <w:rFonts w:eastAsia="黑体"/>
                <w:bCs/>
                <w:kern w:val="0"/>
                <w:sz w:val="20"/>
                <w:szCs w:val="20"/>
              </w:rPr>
              <w:t>不良/良好行为</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eastAsia="黑体"/>
                <w:bCs/>
                <w:kern w:val="0"/>
                <w:sz w:val="20"/>
                <w:szCs w:val="20"/>
              </w:rPr>
            </w:pPr>
            <w:r>
              <w:rPr>
                <w:rFonts w:eastAsia="黑体"/>
                <w:bCs/>
                <w:kern w:val="0"/>
                <w:sz w:val="20"/>
                <w:szCs w:val="20"/>
              </w:rPr>
              <w:t>行为等级和</w:t>
            </w:r>
          </w:p>
          <w:p>
            <w:pPr>
              <w:widowControl/>
              <w:spacing w:line="220" w:lineRule="exact"/>
              <w:jc w:val="center"/>
              <w:rPr>
                <w:rFonts w:eastAsia="黑体"/>
                <w:bCs/>
                <w:kern w:val="0"/>
                <w:sz w:val="20"/>
                <w:szCs w:val="20"/>
              </w:rPr>
            </w:pPr>
            <w:r>
              <w:rPr>
                <w:rFonts w:eastAsia="黑体"/>
                <w:bCs/>
                <w:kern w:val="0"/>
                <w:sz w:val="20"/>
                <w:szCs w:val="20"/>
              </w:rPr>
              <w:t>扣分标准</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eastAsia="黑体"/>
                <w:bCs/>
                <w:kern w:val="0"/>
                <w:sz w:val="20"/>
                <w:szCs w:val="20"/>
              </w:rPr>
            </w:pPr>
            <w:r>
              <w:rPr>
                <w:rFonts w:eastAsia="黑体"/>
                <w:bCs/>
                <w:kern w:val="0"/>
                <w:sz w:val="20"/>
                <w:szCs w:val="20"/>
              </w:rPr>
              <w:t>评价主要依据</w:t>
            </w:r>
          </w:p>
        </w:tc>
      </w:tr>
      <w:tr>
        <w:trPr>
          <w:trHeight w:val="427" w:hRule="atLeast"/>
          <w:jc w:val="center"/>
        </w:trPr>
        <w:tc>
          <w:tcPr>
            <w:tcW w:w="13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 w:val="20"/>
                <w:szCs w:val="20"/>
              </w:rPr>
            </w:pPr>
            <w:r>
              <w:rPr>
                <w:b/>
                <w:bCs/>
                <w:kern w:val="0"/>
                <w:sz w:val="20"/>
                <w:szCs w:val="20"/>
              </w:rPr>
              <w:t>安全环保（满分30分，扣完为止）</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设施设备</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SLGK5-1-21</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spacing w:val="-4"/>
                <w:kern w:val="0"/>
                <w:sz w:val="20"/>
                <w:szCs w:val="20"/>
              </w:rPr>
            </w:pPr>
            <w:r>
              <w:rPr>
                <w:spacing w:val="-4"/>
                <w:kern w:val="0"/>
                <w:sz w:val="20"/>
                <w:szCs w:val="20"/>
              </w:rPr>
              <w:t>未在生产作业场所和安全设施、设备上设置明显的安全警示标志的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spacing w:val="-4"/>
                <w:kern w:val="0"/>
                <w:sz w:val="20"/>
                <w:szCs w:val="20"/>
              </w:rPr>
            </w:pPr>
            <w:r>
              <w:rPr>
                <w:spacing w:val="-4"/>
                <w:kern w:val="0"/>
                <w:sz w:val="20"/>
                <w:szCs w:val="20"/>
              </w:rPr>
              <w:t>1分/次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spacing w:val="-6"/>
                <w:w w:val="97"/>
                <w:kern w:val="0"/>
                <w:sz w:val="20"/>
                <w:szCs w:val="20"/>
              </w:rPr>
            </w:pPr>
            <w:r>
              <w:rPr>
                <w:spacing w:val="-6"/>
                <w:w w:val="97"/>
                <w:kern w:val="0"/>
                <w:sz w:val="20"/>
                <w:szCs w:val="20"/>
              </w:rPr>
              <w:t>《港口危险货物安全管理规定》第七十五条</w:t>
            </w:r>
          </w:p>
        </w:tc>
      </w:tr>
      <w:tr>
        <w:trPr>
          <w:trHeight w:val="639"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SLGK5-1-22</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客运码头（含客滚、重载汽车滚装码头）未按规定配备危险品查验设施的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2分/次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w:t>
            </w:r>
          </w:p>
        </w:tc>
      </w:tr>
      <w:tr>
        <w:trPr>
          <w:trHeight w:val="471"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SLGK5-1-23</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spacing w:val="-4"/>
                <w:kern w:val="0"/>
                <w:sz w:val="20"/>
                <w:szCs w:val="20"/>
              </w:rPr>
              <w:t>未经依法批准，擅自经营、储存危险物品或者处置废弃危险物品的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30分/次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《中华人民共和国安全生产法》一百条</w:t>
            </w:r>
          </w:p>
        </w:tc>
      </w:tr>
      <w:tr>
        <w:trPr>
          <w:trHeight w:val="669"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SLGK5-1-24</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未按照国家标准、行业标准或者国家有关规定安装、使用安全设施、设备并进行经常性维护、保养和定期检测的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5分/次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w:t>
            </w:r>
          </w:p>
        </w:tc>
      </w:tr>
      <w:tr>
        <w:trPr>
          <w:trHeight w:val="855"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生产作业</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SLGK5-1-25</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客运码头（含客滚、重载汽车滚装码头）对登船旅客及其携带或者托运的行李、物品以及滚装车辆未进行安全检查的，或落实上船旅客、车辆危险品查验不到位的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5分/次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w:t>
            </w:r>
          </w:p>
        </w:tc>
      </w:tr>
      <w:tr>
        <w:trPr>
          <w:trHeight w:val="660"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SLGK5-1-26</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港口作业委托人涉嫌在普通货物中夹带危险货物或者将危险货物匿报、谎报为普通货物，港口企业未对相关货物进行检查的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5分/次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《港口危险货物安全管理规定》三十六条</w:t>
            </w:r>
          </w:p>
        </w:tc>
      </w:tr>
      <w:tr>
        <w:trPr>
          <w:trHeight w:val="710"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SLGK5-1-27</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发现存在上述情形或者港口作业委托人不接受检查，港口企业未按照规定及时将核实情况向交通主管部门及有关部门报告的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5分/次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w:t>
            </w:r>
          </w:p>
        </w:tc>
      </w:tr>
      <w:tr>
        <w:trPr>
          <w:trHeight w:val="379"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SLGK5-1-28</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未按照国家有关规定落实港口大型机械防阵风防台风措施的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2分/次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《港口经营管理规定》第四十二条</w:t>
            </w:r>
          </w:p>
        </w:tc>
      </w:tr>
      <w:tr>
        <w:trPr>
          <w:trHeight w:val="501"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SLGK5-1-29</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未按照码头泊位性质和功能接靠船舶或者超过码头靠泊等级接靠船舶的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2分/次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《港口经营管理规定》第四十二条</w:t>
            </w:r>
          </w:p>
        </w:tc>
      </w:tr>
      <w:tr>
        <w:trPr>
          <w:trHeight w:val="600"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SLGK5-1-30</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装载超出最大营运总质量的集装箱或者超出船舶、车辆载货定额装载货物的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2分/次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《港口经营管理规定》第四十二条</w:t>
            </w:r>
          </w:p>
        </w:tc>
      </w:tr>
      <w:tr>
        <w:trPr>
          <w:trHeight w:val="408"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SLGK5-1-31</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spacing w:val="-4"/>
                <w:kern w:val="0"/>
                <w:sz w:val="20"/>
                <w:szCs w:val="20"/>
              </w:rPr>
              <w:t>未按照国家有关规定设置相应设施设备或者配备安全检查人员的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1分/人次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《港口经营管理规定》第四十二条</w:t>
            </w:r>
          </w:p>
        </w:tc>
      </w:tr>
      <w:tr>
        <w:trPr>
          <w:trHeight w:val="422"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SLGK5-1-32</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未按要求注册水路“一会三卡”系统管理账号的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2分/起</w:t>
            </w:r>
          </w:p>
        </w:tc>
        <w:tc>
          <w:tcPr>
            <w:tcW w:w="35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《湖南省交通运输厅关于推行水运安全生产“一会三卡”可视化监管有关事项的通知》</w:t>
            </w:r>
          </w:p>
        </w:tc>
      </w:tr>
      <w:tr>
        <w:trPr>
          <w:trHeight w:val="415"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SLGK5-1-33</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工作生产日未按要求召开班前会议的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1分/次</w:t>
            </w:r>
          </w:p>
        </w:tc>
        <w:tc>
          <w:tcPr>
            <w:tcW w:w="35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r>
      <w:tr>
        <w:trPr>
          <w:trHeight w:val="388"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SLGK5-1-34</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未按要求在系统中开展“三卡”学习的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0.5分/人次</w:t>
            </w:r>
          </w:p>
        </w:tc>
        <w:tc>
          <w:tcPr>
            <w:tcW w:w="35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r>
      <w:tr>
        <w:trPr>
          <w:trHeight w:val="388" w:hRule="atLeast"/>
          <w:jc w:val="center"/>
        </w:trPr>
        <w:tc>
          <w:tcPr>
            <w:tcW w:w="2527" w:type="dxa"/>
            <w:gridSpan w:val="2"/>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eastAsia="黑体"/>
                <w:bCs/>
                <w:kern w:val="0"/>
                <w:sz w:val="20"/>
                <w:szCs w:val="20"/>
              </w:rPr>
            </w:pPr>
            <w:r>
              <w:rPr>
                <w:rFonts w:eastAsia="黑体"/>
                <w:bCs/>
                <w:kern w:val="0"/>
                <w:sz w:val="20"/>
                <w:szCs w:val="20"/>
              </w:rPr>
              <w:t>评定内容</w:t>
            </w:r>
          </w:p>
        </w:tc>
        <w:tc>
          <w:tcPr>
            <w:tcW w:w="1400"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eastAsia="黑体"/>
                <w:bCs/>
                <w:kern w:val="0"/>
                <w:sz w:val="20"/>
                <w:szCs w:val="20"/>
              </w:rPr>
            </w:pPr>
            <w:r>
              <w:rPr>
                <w:rFonts w:eastAsia="黑体"/>
                <w:bCs/>
                <w:kern w:val="0"/>
                <w:sz w:val="20"/>
                <w:szCs w:val="20"/>
              </w:rPr>
              <w:t>行为代码</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eastAsia="黑体"/>
                <w:bCs/>
                <w:kern w:val="0"/>
                <w:sz w:val="20"/>
                <w:szCs w:val="20"/>
              </w:rPr>
            </w:pPr>
            <w:r>
              <w:rPr>
                <w:rFonts w:eastAsia="黑体"/>
                <w:bCs/>
                <w:kern w:val="0"/>
                <w:sz w:val="20"/>
                <w:szCs w:val="20"/>
              </w:rPr>
              <w:t>不良/良好行为</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eastAsia="黑体"/>
                <w:bCs/>
                <w:kern w:val="0"/>
                <w:sz w:val="20"/>
                <w:szCs w:val="20"/>
              </w:rPr>
            </w:pPr>
            <w:r>
              <w:rPr>
                <w:rFonts w:eastAsia="黑体"/>
                <w:bCs/>
                <w:kern w:val="0"/>
                <w:sz w:val="20"/>
                <w:szCs w:val="20"/>
              </w:rPr>
              <w:t>行为等级和</w:t>
            </w:r>
          </w:p>
          <w:p>
            <w:pPr>
              <w:widowControl/>
              <w:spacing w:line="220" w:lineRule="exact"/>
              <w:jc w:val="center"/>
              <w:rPr>
                <w:rFonts w:eastAsia="黑体"/>
                <w:bCs/>
                <w:kern w:val="0"/>
                <w:sz w:val="20"/>
                <w:szCs w:val="20"/>
              </w:rPr>
            </w:pPr>
            <w:r>
              <w:rPr>
                <w:rFonts w:eastAsia="黑体"/>
                <w:bCs/>
                <w:kern w:val="0"/>
                <w:sz w:val="20"/>
                <w:szCs w:val="20"/>
              </w:rPr>
              <w:t>扣分标准</w:t>
            </w:r>
          </w:p>
        </w:tc>
        <w:tc>
          <w:tcPr>
            <w:tcW w:w="3599"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eastAsia="黑体"/>
                <w:bCs/>
                <w:kern w:val="0"/>
                <w:sz w:val="20"/>
                <w:szCs w:val="20"/>
              </w:rPr>
            </w:pPr>
            <w:r>
              <w:rPr>
                <w:rFonts w:eastAsia="黑体"/>
                <w:bCs/>
                <w:kern w:val="0"/>
                <w:sz w:val="20"/>
                <w:szCs w:val="20"/>
              </w:rPr>
              <w:t>评价主要依据</w:t>
            </w:r>
          </w:p>
        </w:tc>
      </w:tr>
      <w:tr>
        <w:trPr>
          <w:trHeight w:val="739" w:hRule="atLeast"/>
          <w:jc w:val="center"/>
        </w:trPr>
        <w:tc>
          <w:tcPr>
            <w:tcW w:w="13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 w:val="20"/>
                <w:szCs w:val="20"/>
              </w:rPr>
            </w:pPr>
            <w:r>
              <w:rPr>
                <w:b/>
                <w:bCs/>
                <w:kern w:val="0"/>
                <w:sz w:val="20"/>
                <w:szCs w:val="20"/>
              </w:rPr>
              <w:t>安全环保（满分30分，扣完为止）</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环境保护</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SLGK5-1-35</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违反有关环境保护的法律、法规规定或排放标准向水体排放垃圾、生活污水的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2分/次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w:t>
            </w:r>
          </w:p>
        </w:tc>
      </w:tr>
      <w:tr>
        <w:trPr>
          <w:trHeight w:val="540"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SLGK5-1-36</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在港口水域内从事养殖、种植活动的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2分/次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《中华人民共和国港口法》第五十五条</w:t>
            </w:r>
          </w:p>
        </w:tc>
      </w:tr>
      <w:tr>
        <w:trPr>
          <w:trHeight w:val="600"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SLGK5-1-37</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未按规定落实船舶污染物接收设施配置责任的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5分/次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《港口经营管理规定》第十九条 </w:t>
            </w:r>
          </w:p>
        </w:tc>
      </w:tr>
      <w:tr>
        <w:trPr>
          <w:trHeight w:val="540"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SLGK5-1-38</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未按规定落实船舶污染物接收设施配置责任，港口接收设施与城市公共转运、处置设施衔接不畅的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5分/次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w:t>
            </w:r>
          </w:p>
        </w:tc>
      </w:tr>
      <w:tr>
        <w:trPr>
          <w:trHeight w:val="540"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SLGK5-1-39</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无正当理由拒绝接收船舶交送的垃圾、生活污水、含油污水的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2分/次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w:t>
            </w:r>
          </w:p>
        </w:tc>
      </w:tr>
      <w:tr>
        <w:trPr>
          <w:trHeight w:val="880"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SLGK5-1-40</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作业危险货物的港口未制定有关水污染事故的应急方案，做好应急准备，并定期进行演练，未按规定制定有关应急方案的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2分/次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《水污染防治法》第七十七条</w:t>
            </w:r>
          </w:p>
        </w:tc>
      </w:tr>
      <w:tr>
        <w:trPr>
          <w:trHeight w:val="836"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SLGK5-1-41</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装卸煤炭等易产生扬尘物料的码头，未按规定采取物料密闭、堆放围挡、有效覆盖或者喷淋等有效措施防止扬尘污染的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5分/次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《大气污染防治法》第一百一十七条</w:t>
            </w:r>
          </w:p>
        </w:tc>
      </w:tr>
      <w:tr>
        <w:trPr>
          <w:trHeight w:val="1132"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SLGK5-1-42</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未落实船舶污染物船岸交接和联合检查制度的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2分/次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交通运输部等国家4部委《关于建立健全长江经济带船舶和港口污染防治长效机制的意见》</w:t>
            </w:r>
          </w:p>
        </w:tc>
      </w:tr>
      <w:tr>
        <w:trPr>
          <w:trHeight w:val="639"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SLGK5-1-43</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未落实港口船舶污染物接收转运处置全过程电子联单闭环管理的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2分/次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w:t>
            </w:r>
          </w:p>
        </w:tc>
      </w:tr>
      <w:tr>
        <w:trPr>
          <w:trHeight w:val="436"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SLGK5-1-44</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未按要求配备岸电设施的</w:t>
            </w:r>
          </w:p>
        </w:tc>
        <w:tc>
          <w:tcPr>
            <w:tcW w:w="14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 w:val="20"/>
                <w:szCs w:val="20"/>
              </w:rPr>
            </w:pPr>
            <w:r>
              <w:rPr>
                <w:kern w:val="0"/>
                <w:sz w:val="20"/>
                <w:szCs w:val="20"/>
              </w:rPr>
              <w:t>5分/次</w:t>
            </w:r>
          </w:p>
        </w:tc>
        <w:tc>
          <w:tcPr>
            <w:tcW w:w="35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《关于进一步推进长江经济带船舶靠港使用岸电的通知》(交水发〔2021〕63号)</w:t>
            </w:r>
          </w:p>
        </w:tc>
      </w:tr>
      <w:tr>
        <w:trPr>
          <w:trHeight w:val="762"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SLGK5-1-45</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岸电使用、管理不规范的</w:t>
            </w:r>
          </w:p>
        </w:tc>
        <w:tc>
          <w:tcPr>
            <w:tcW w:w="14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 w:val="20"/>
                <w:szCs w:val="20"/>
              </w:rPr>
            </w:pPr>
            <w:r>
              <w:rPr>
                <w:kern w:val="0"/>
                <w:sz w:val="20"/>
                <w:szCs w:val="20"/>
              </w:rPr>
              <w:t>2分/次</w:t>
            </w:r>
          </w:p>
        </w:tc>
        <w:tc>
          <w:tcPr>
            <w:tcW w:w="35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r>
      <w:tr>
        <w:trPr>
          <w:trHeight w:val="422" w:hRule="atLeast"/>
          <w:jc w:val="center"/>
        </w:trPr>
        <w:tc>
          <w:tcPr>
            <w:tcW w:w="2527" w:type="dxa"/>
            <w:gridSpan w:val="2"/>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eastAsia="黑体"/>
                <w:bCs/>
                <w:kern w:val="0"/>
                <w:sz w:val="20"/>
                <w:szCs w:val="20"/>
              </w:rPr>
            </w:pPr>
            <w:r>
              <w:rPr>
                <w:rFonts w:eastAsia="黑体"/>
                <w:bCs/>
                <w:kern w:val="0"/>
                <w:sz w:val="20"/>
                <w:szCs w:val="20"/>
              </w:rPr>
              <w:t>评定内容</w:t>
            </w:r>
          </w:p>
        </w:tc>
        <w:tc>
          <w:tcPr>
            <w:tcW w:w="1400"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eastAsia="黑体"/>
                <w:bCs/>
                <w:kern w:val="0"/>
                <w:sz w:val="20"/>
                <w:szCs w:val="20"/>
              </w:rPr>
            </w:pPr>
            <w:r>
              <w:rPr>
                <w:rFonts w:eastAsia="黑体"/>
                <w:bCs/>
                <w:kern w:val="0"/>
                <w:sz w:val="20"/>
                <w:szCs w:val="20"/>
              </w:rPr>
              <w:t>行为代码</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eastAsia="黑体"/>
                <w:bCs/>
                <w:kern w:val="0"/>
                <w:sz w:val="20"/>
                <w:szCs w:val="20"/>
              </w:rPr>
            </w:pPr>
            <w:r>
              <w:rPr>
                <w:rFonts w:eastAsia="黑体"/>
                <w:bCs/>
                <w:kern w:val="0"/>
                <w:sz w:val="20"/>
                <w:szCs w:val="20"/>
              </w:rPr>
              <w:t>不良/良好行为</w:t>
            </w:r>
          </w:p>
        </w:tc>
        <w:tc>
          <w:tcPr>
            <w:tcW w:w="1476" w:type="dxa"/>
            <w:tcBorders>
              <w:top w:val="single" w:color="auto" w:sz="4" w:space="0"/>
              <w:left w:val="nil"/>
              <w:bottom w:val="single" w:color="auto" w:sz="4" w:space="0"/>
              <w:right w:val="single" w:color="auto" w:sz="4" w:space="0"/>
            </w:tcBorders>
            <w:shd w:val="clear" w:color="auto" w:fill="auto"/>
            <w:noWrap/>
            <w:vAlign w:val="center"/>
          </w:tcPr>
          <w:p>
            <w:pPr>
              <w:widowControl/>
              <w:spacing w:line="220" w:lineRule="exact"/>
              <w:jc w:val="center"/>
              <w:rPr>
                <w:rFonts w:eastAsia="黑体"/>
                <w:bCs/>
                <w:kern w:val="0"/>
                <w:sz w:val="20"/>
                <w:szCs w:val="20"/>
              </w:rPr>
            </w:pPr>
            <w:r>
              <w:rPr>
                <w:rFonts w:eastAsia="黑体"/>
                <w:bCs/>
                <w:kern w:val="0"/>
                <w:sz w:val="20"/>
                <w:szCs w:val="20"/>
              </w:rPr>
              <w:t>行为等级和</w:t>
            </w:r>
          </w:p>
          <w:p>
            <w:pPr>
              <w:widowControl/>
              <w:spacing w:line="220" w:lineRule="exact"/>
              <w:jc w:val="center"/>
              <w:rPr>
                <w:rFonts w:eastAsia="黑体"/>
                <w:bCs/>
                <w:kern w:val="0"/>
                <w:sz w:val="20"/>
                <w:szCs w:val="20"/>
              </w:rPr>
            </w:pPr>
            <w:r>
              <w:rPr>
                <w:rFonts w:eastAsia="黑体"/>
                <w:bCs/>
                <w:kern w:val="0"/>
                <w:sz w:val="20"/>
                <w:szCs w:val="20"/>
              </w:rPr>
              <w:t>扣分标准</w:t>
            </w:r>
          </w:p>
        </w:tc>
        <w:tc>
          <w:tcPr>
            <w:tcW w:w="3599"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eastAsia="黑体"/>
                <w:bCs/>
                <w:kern w:val="0"/>
                <w:sz w:val="20"/>
                <w:szCs w:val="20"/>
              </w:rPr>
            </w:pPr>
            <w:r>
              <w:rPr>
                <w:rFonts w:eastAsia="黑体"/>
                <w:bCs/>
                <w:kern w:val="0"/>
                <w:sz w:val="20"/>
                <w:szCs w:val="20"/>
              </w:rPr>
              <w:t>评价主要依据</w:t>
            </w:r>
          </w:p>
        </w:tc>
      </w:tr>
      <w:tr>
        <w:trPr>
          <w:trHeight w:val="720" w:hRule="atLeast"/>
          <w:jc w:val="center"/>
        </w:trPr>
        <w:tc>
          <w:tcPr>
            <w:tcW w:w="13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 w:val="20"/>
                <w:szCs w:val="20"/>
              </w:rPr>
            </w:pPr>
            <w:r>
              <w:rPr>
                <w:b/>
                <w:bCs/>
                <w:kern w:val="0"/>
                <w:sz w:val="20"/>
                <w:szCs w:val="20"/>
              </w:rPr>
              <w:t>社会责任(满分10分，扣完为止)</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b/>
                <w:bCs/>
                <w:kern w:val="0"/>
                <w:sz w:val="20"/>
                <w:szCs w:val="20"/>
              </w:rPr>
            </w:pPr>
            <w:r>
              <w:rPr>
                <w:b/>
                <w:bCs/>
                <w:kern w:val="0"/>
                <w:sz w:val="20"/>
                <w:szCs w:val="20"/>
              </w:rPr>
              <w:t>/</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SLGK6-1-1</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未服从交通运输主管部门对关系国计民生物资紧急运输的统一组织协调，按要求优先、及时运输的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10分/次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《国内水路运输管理规定》第三十四条</w:t>
            </w:r>
          </w:p>
        </w:tc>
      </w:tr>
      <w:tr>
        <w:trPr>
          <w:trHeight w:val="879"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SLGK6-1-2</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未按规定优先运送处置突发事件所需物资、设备、工具、应急救援人员和受到突发事件危害的人员的，或未重点保障紧急、重要的军事运输的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5分/次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《国内水路运输管理规定》第三十四条</w:t>
            </w:r>
          </w:p>
        </w:tc>
      </w:tr>
      <w:tr>
        <w:trPr>
          <w:trHeight w:val="540"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SLGK6-1-3</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不优先安排抢险物资、救灾物资、国防建设急需物资的作业的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3分/次</w:t>
            </w:r>
          </w:p>
        </w:tc>
        <w:tc>
          <w:tcPr>
            <w:tcW w:w="3599"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《中华人民共和国港口法》第五十条</w:t>
            </w:r>
          </w:p>
        </w:tc>
      </w:tr>
      <w:tr>
        <w:trPr>
          <w:trHeight w:val="861" w:hRule="atLeast"/>
          <w:jc w:val="center"/>
        </w:trPr>
        <w:tc>
          <w:tcPr>
            <w:tcW w:w="13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 w:val="20"/>
                <w:szCs w:val="20"/>
              </w:rPr>
            </w:pPr>
            <w:r>
              <w:rPr>
                <w:b/>
                <w:bCs/>
                <w:kern w:val="0"/>
                <w:sz w:val="20"/>
                <w:szCs w:val="20"/>
              </w:rPr>
              <w:t>加分项（最多加5分）</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bCs/>
                <w:kern w:val="0"/>
                <w:sz w:val="20"/>
                <w:szCs w:val="20"/>
              </w:rPr>
            </w:pPr>
            <w:r>
              <w:rPr>
                <w:b/>
                <w:bCs/>
                <w:kern w:val="0"/>
                <w:sz w:val="20"/>
                <w:szCs w:val="20"/>
              </w:rPr>
              <w:t>/</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SLGK7-1-1</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受到省级以上交通运输行政管理部门认定在行业创新、节能减排、安全生产等方面作出突出贡献的；或认定积极组织、参加社会公益活动的；认定积极参加救灾抢险的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2分/次</w:t>
            </w:r>
          </w:p>
        </w:tc>
        <w:tc>
          <w:tcPr>
            <w:tcW w:w="35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水路运输市场信用信息管理办法(试行)（交办水〔2017〕128号）附件1</w:t>
            </w:r>
          </w:p>
        </w:tc>
      </w:tr>
      <w:tr>
        <w:trPr>
          <w:trHeight w:val="861"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SLGK7-1-2</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受到市级以上交通运输行政管理部门认定在行业创新、节能减排、安全生产等方面作出突出贡献的；或认定积极组织、参加社会公益活动的；认定积极参加救灾抢险的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1分/次</w:t>
            </w:r>
          </w:p>
        </w:tc>
        <w:tc>
          <w:tcPr>
            <w:tcW w:w="35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r>
      <w:tr>
        <w:trPr>
          <w:trHeight w:val="561"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SLGK7-1-3</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获得省级以上新闻媒体的正面报道的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1分/次</w:t>
            </w:r>
          </w:p>
        </w:tc>
        <w:tc>
          <w:tcPr>
            <w:tcW w:w="35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r>
      <w:tr>
        <w:trPr>
          <w:trHeight w:val="561" w:hRule="atLeast"/>
          <w:jc w:val="center"/>
        </w:trPr>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kern w:val="0"/>
                <w:sz w:val="20"/>
                <w:szCs w:val="20"/>
              </w:rPr>
            </w:pP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SLGK7-1-4</w:t>
            </w:r>
          </w:p>
        </w:tc>
        <w:tc>
          <w:tcPr>
            <w:tcW w:w="5744" w:type="dxa"/>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0"/>
                <w:szCs w:val="20"/>
              </w:rPr>
            </w:pPr>
            <w:r>
              <w:rPr>
                <w:kern w:val="0"/>
                <w:sz w:val="20"/>
                <w:szCs w:val="20"/>
              </w:rPr>
              <w:t>获得市级以上新闻媒体的正面报道的</w:t>
            </w:r>
          </w:p>
        </w:tc>
        <w:tc>
          <w:tcPr>
            <w:tcW w:w="1476" w:type="dxa"/>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0"/>
                <w:szCs w:val="20"/>
              </w:rPr>
            </w:pPr>
            <w:r>
              <w:rPr>
                <w:kern w:val="0"/>
                <w:sz w:val="20"/>
                <w:szCs w:val="20"/>
              </w:rPr>
              <w:t>0.5分/次</w:t>
            </w:r>
          </w:p>
        </w:tc>
        <w:tc>
          <w:tcPr>
            <w:tcW w:w="35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r>
    </w:tbl>
    <w:p>
      <w:pPr>
        <w:rPr>
          <w:rFonts w:eastAsia="仿宋_GB2312"/>
          <w:sz w:val="32"/>
        </w:rPr>
      </w:pPr>
    </w:p>
    <w:p>
      <w:pPr>
        <w:widowControl/>
        <w:jc w:val="left"/>
        <w:rPr>
          <w:rFonts w:eastAsia="仿宋_GB2312"/>
          <w:sz w:val="32"/>
        </w:rPr>
      </w:pPr>
      <w:r>
        <w:rPr>
          <w:rFonts w:eastAsia="仿宋_GB2312"/>
          <w:sz w:val="32"/>
        </w:rPr>
        <w:br w:type="page"/>
      </w:r>
    </w:p>
    <w:p>
      <w:pPr>
        <w:widowControl/>
        <w:spacing w:line="480" w:lineRule="exact"/>
        <w:ind w:left="-850" w:leftChars="-405"/>
        <w:jc w:val="left"/>
        <w:rPr>
          <w:rFonts w:eastAsia="黑体"/>
          <w:bCs/>
          <w:kern w:val="0"/>
          <w:sz w:val="32"/>
          <w:szCs w:val="32"/>
        </w:rPr>
      </w:pPr>
      <w:r>
        <w:rPr>
          <w:rFonts w:eastAsia="黑体"/>
          <w:bCs/>
          <w:kern w:val="0"/>
          <w:sz w:val="32"/>
          <w:szCs w:val="32"/>
        </w:rPr>
        <w:t>附件3</w:t>
      </w:r>
    </w:p>
    <w:p>
      <w:pPr>
        <w:spacing w:line="560" w:lineRule="exact"/>
        <w:jc w:val="center"/>
        <w:rPr>
          <w:rFonts w:eastAsia="方正小标宋简体"/>
          <w:sz w:val="44"/>
          <w:szCs w:val="44"/>
        </w:rPr>
      </w:pPr>
      <w:r>
        <w:rPr>
          <w:rFonts w:eastAsia="方正小标宋简体"/>
          <w:bCs/>
          <w:sz w:val="44"/>
          <w:szCs w:val="44"/>
        </w:rPr>
        <w:t>湖南省水路运输经营人信用评价结果应用措施</w:t>
      </w:r>
    </w:p>
    <w:tbl>
      <w:tblPr>
        <w:tblStyle w:val="7"/>
        <w:tblW w:w="14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1701"/>
        <w:gridCol w:w="7655"/>
        <w:gridCol w:w="3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144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方正黑体_GBK"/>
                <w:sz w:val="20"/>
              </w:rPr>
            </w:pPr>
            <w:r>
              <w:rPr>
                <w:rFonts w:eastAsia="方正黑体_GBK"/>
                <w:sz w:val="20"/>
                <w:szCs w:val="20"/>
              </w:rPr>
              <w:t>信用等级</w:t>
            </w:r>
          </w:p>
        </w:tc>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方正黑体_GBK"/>
                <w:sz w:val="20"/>
              </w:rPr>
            </w:pPr>
            <w:r>
              <w:rPr>
                <w:rFonts w:eastAsia="方正黑体_GBK"/>
                <w:sz w:val="20"/>
                <w:szCs w:val="20"/>
              </w:rPr>
              <w:t>分值范围</w:t>
            </w:r>
          </w:p>
        </w:tc>
        <w:tc>
          <w:tcPr>
            <w:tcW w:w="765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方正黑体_GBK"/>
                <w:sz w:val="20"/>
              </w:rPr>
            </w:pPr>
            <w:r>
              <w:rPr>
                <w:rFonts w:eastAsia="方正黑体_GBK"/>
                <w:sz w:val="20"/>
                <w:szCs w:val="20"/>
              </w:rPr>
              <w:t>应用措施</w:t>
            </w:r>
          </w:p>
        </w:tc>
        <w:tc>
          <w:tcPr>
            <w:tcW w:w="376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方正黑体_GBK"/>
                <w:sz w:val="20"/>
              </w:rPr>
            </w:pPr>
            <w:r>
              <w:rPr>
                <w:rFonts w:eastAsia="方正黑体_GBK"/>
                <w:sz w:val="20"/>
                <w:szCs w:val="20"/>
              </w:rPr>
              <w:t>应用依据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4" w:hRule="atLeast"/>
          <w:jc w:val="center"/>
        </w:trPr>
        <w:tc>
          <w:tcPr>
            <w:tcW w:w="144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0"/>
                <w:szCs w:val="20"/>
              </w:rPr>
            </w:pPr>
            <w:r>
              <w:rPr>
                <w:b/>
                <w:bCs/>
                <w:kern w:val="0"/>
                <w:sz w:val="20"/>
                <w:szCs w:val="20"/>
              </w:rPr>
              <w:t>AA</w:t>
            </w:r>
          </w:p>
          <w:p>
            <w:pPr>
              <w:widowControl/>
              <w:jc w:val="center"/>
              <w:rPr>
                <w:b/>
                <w:bCs/>
                <w:kern w:val="0"/>
                <w:sz w:val="20"/>
                <w:szCs w:val="20"/>
              </w:rPr>
            </w:pPr>
            <w:r>
              <w:rPr>
                <w:b/>
                <w:bCs/>
                <w:kern w:val="0"/>
                <w:sz w:val="20"/>
                <w:szCs w:val="20"/>
              </w:rPr>
              <w:t>（信用好）</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0"/>
                <w:szCs w:val="20"/>
              </w:rPr>
            </w:pPr>
            <w:r>
              <w:rPr>
                <w:b/>
                <w:bCs/>
                <w:kern w:val="0"/>
                <w:sz w:val="20"/>
                <w:szCs w:val="20"/>
              </w:rPr>
              <w:t>95分≤X≤100分</w:t>
            </w:r>
          </w:p>
          <w:p>
            <w:pPr>
              <w:widowControl/>
              <w:jc w:val="center"/>
              <w:rPr>
                <w:b/>
                <w:bCs/>
                <w:kern w:val="0"/>
                <w:sz w:val="20"/>
                <w:szCs w:val="20"/>
              </w:rPr>
            </w:pPr>
          </w:p>
        </w:tc>
        <w:tc>
          <w:tcPr>
            <w:tcW w:w="7655"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r>
              <w:rPr>
                <w:kern w:val="0"/>
                <w:sz w:val="20"/>
                <w:szCs w:val="20"/>
              </w:rPr>
              <w:t>1.原则上一年检查1次；</w:t>
            </w:r>
          </w:p>
          <w:p>
            <w:pPr>
              <w:widowControl/>
              <w:jc w:val="left"/>
              <w:rPr>
                <w:kern w:val="0"/>
                <w:sz w:val="20"/>
                <w:szCs w:val="20"/>
              </w:rPr>
            </w:pPr>
            <w:r>
              <w:rPr>
                <w:kern w:val="0"/>
                <w:sz w:val="20"/>
                <w:szCs w:val="20"/>
              </w:rPr>
              <w:t>2.在办理水路运输行政管理事务中进入“诚信通道”，一律视为即办件，可容缺受理；</w:t>
            </w:r>
          </w:p>
          <w:p>
            <w:pPr>
              <w:widowControl/>
              <w:jc w:val="left"/>
              <w:rPr>
                <w:kern w:val="0"/>
                <w:sz w:val="20"/>
                <w:szCs w:val="20"/>
              </w:rPr>
            </w:pPr>
            <w:r>
              <w:rPr>
                <w:kern w:val="0"/>
                <w:sz w:val="20"/>
                <w:szCs w:val="20"/>
              </w:rPr>
              <w:t>3.同等条件下，在运力新增、经营范围变更、经营权延续等方面予以优先；</w:t>
            </w:r>
          </w:p>
          <w:p>
            <w:pPr>
              <w:widowControl/>
              <w:jc w:val="left"/>
              <w:rPr>
                <w:kern w:val="0"/>
                <w:sz w:val="20"/>
                <w:szCs w:val="20"/>
              </w:rPr>
            </w:pPr>
            <w:r>
              <w:rPr>
                <w:kern w:val="0"/>
                <w:sz w:val="20"/>
                <w:szCs w:val="20"/>
              </w:rPr>
              <w:t>4.在交通主管部门制定和实施支持或奖励政策（包括财政补贴）、示范项目或示范企业推荐、荣誉评选及表彰中，同等条件下予以优先；</w:t>
            </w:r>
          </w:p>
          <w:p>
            <w:pPr>
              <w:widowControl/>
              <w:jc w:val="left"/>
              <w:rPr>
                <w:kern w:val="0"/>
                <w:sz w:val="20"/>
                <w:szCs w:val="20"/>
              </w:rPr>
            </w:pPr>
            <w:r>
              <w:rPr>
                <w:kern w:val="0"/>
                <w:sz w:val="20"/>
                <w:szCs w:val="20"/>
              </w:rPr>
              <w:t>5.向本省港口企业推荐，实行“信易行”，经营船舶在停泊、过闸等方面提供便利；</w:t>
            </w:r>
          </w:p>
          <w:p>
            <w:pPr>
              <w:widowControl/>
              <w:jc w:val="left"/>
              <w:rPr>
                <w:kern w:val="0"/>
                <w:sz w:val="20"/>
                <w:szCs w:val="20"/>
              </w:rPr>
            </w:pPr>
            <w:r>
              <w:rPr>
                <w:kern w:val="0"/>
                <w:sz w:val="20"/>
                <w:szCs w:val="20"/>
              </w:rPr>
              <w:t>6.向主要货主单位或主要旅行社推介，并向社会宣传等；</w:t>
            </w:r>
          </w:p>
          <w:p>
            <w:pPr>
              <w:widowControl/>
              <w:jc w:val="left"/>
              <w:rPr>
                <w:kern w:val="0"/>
                <w:sz w:val="20"/>
                <w:szCs w:val="20"/>
              </w:rPr>
            </w:pPr>
            <w:r>
              <w:rPr>
                <w:kern w:val="0"/>
                <w:sz w:val="20"/>
                <w:szCs w:val="20"/>
              </w:rPr>
              <w:t>7.法律、法规、规章及相关政策可以采取的其他激励性措施。</w:t>
            </w:r>
          </w:p>
          <w:p>
            <w:pPr>
              <w:widowControl/>
              <w:jc w:val="left"/>
              <w:rPr>
                <w:kern w:val="0"/>
                <w:sz w:val="20"/>
                <w:szCs w:val="20"/>
              </w:rPr>
            </w:pPr>
            <w:r>
              <w:rPr>
                <w:kern w:val="0"/>
                <w:sz w:val="20"/>
                <w:szCs w:val="20"/>
              </w:rPr>
              <w:t>8.连续两年及以上信用等级为AA级的水路运输企业，在上述激励性措施中，同等条件下优先考虑。</w:t>
            </w:r>
          </w:p>
        </w:tc>
        <w:tc>
          <w:tcPr>
            <w:tcW w:w="3764"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r>
              <w:rPr>
                <w:kern w:val="0"/>
                <w:sz w:val="20"/>
                <w:szCs w:val="20"/>
              </w:rPr>
              <w:t>1.《国内水路运输管理规定》：</w:t>
            </w:r>
          </w:p>
          <w:p>
            <w:pPr>
              <w:widowControl/>
              <w:jc w:val="left"/>
              <w:rPr>
                <w:kern w:val="0"/>
                <w:sz w:val="20"/>
                <w:szCs w:val="20"/>
              </w:rPr>
            </w:pPr>
            <w:r>
              <w:rPr>
                <w:kern w:val="0"/>
                <w:sz w:val="20"/>
                <w:szCs w:val="20"/>
              </w:rPr>
              <w:t>第十四条 第四十一条 交通运输部和水路运输管理部门依照有关法律、法规和本规定对水路运输市场实施监督检查。</w:t>
            </w:r>
          </w:p>
          <w:p>
            <w:pPr>
              <w:widowControl/>
              <w:jc w:val="left"/>
              <w:rPr>
                <w:kern w:val="0"/>
                <w:sz w:val="20"/>
                <w:szCs w:val="20"/>
              </w:rPr>
            </w:pPr>
            <w:r>
              <w:rPr>
                <w:kern w:val="0"/>
                <w:sz w:val="20"/>
                <w:szCs w:val="20"/>
              </w:rPr>
              <w:t>2.国务院办公厅关于加快推进社会信用体系建设构建以信用为基础的新型监管机制的指导意见（国办发〔2019〕35号）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144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0"/>
                <w:szCs w:val="20"/>
              </w:rPr>
            </w:pPr>
            <w:r>
              <w:rPr>
                <w:b/>
                <w:bCs/>
                <w:kern w:val="0"/>
                <w:sz w:val="20"/>
                <w:szCs w:val="20"/>
              </w:rPr>
              <w:t>A</w:t>
            </w:r>
          </w:p>
          <w:p>
            <w:pPr>
              <w:widowControl/>
              <w:jc w:val="center"/>
              <w:rPr>
                <w:b/>
                <w:bCs/>
                <w:kern w:val="0"/>
                <w:sz w:val="20"/>
                <w:szCs w:val="20"/>
              </w:rPr>
            </w:pPr>
            <w:r>
              <w:rPr>
                <w:b/>
                <w:bCs/>
                <w:kern w:val="0"/>
                <w:sz w:val="20"/>
                <w:szCs w:val="20"/>
              </w:rPr>
              <w:t>（信用较好）</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0"/>
                <w:szCs w:val="20"/>
              </w:rPr>
            </w:pPr>
            <w:r>
              <w:rPr>
                <w:b/>
                <w:bCs/>
                <w:kern w:val="0"/>
                <w:sz w:val="20"/>
                <w:szCs w:val="20"/>
              </w:rPr>
              <w:t>85分≤X＜95分</w:t>
            </w:r>
          </w:p>
        </w:tc>
        <w:tc>
          <w:tcPr>
            <w:tcW w:w="7655"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r>
              <w:rPr>
                <w:kern w:val="0"/>
                <w:sz w:val="20"/>
                <w:szCs w:val="20"/>
              </w:rPr>
              <w:t>1.原则上每年检查1次；</w:t>
            </w:r>
          </w:p>
          <w:p>
            <w:pPr>
              <w:widowControl/>
              <w:jc w:val="left"/>
              <w:rPr>
                <w:kern w:val="0"/>
                <w:sz w:val="20"/>
                <w:szCs w:val="20"/>
              </w:rPr>
            </w:pPr>
            <w:r>
              <w:rPr>
                <w:kern w:val="0"/>
                <w:sz w:val="20"/>
                <w:szCs w:val="20"/>
              </w:rPr>
              <w:t>2.在办理水路运输行政管理事务中进入“诚信通道”，一律视为即办件受理。</w:t>
            </w:r>
          </w:p>
          <w:p>
            <w:pPr>
              <w:widowControl/>
              <w:jc w:val="left"/>
              <w:rPr>
                <w:kern w:val="0"/>
                <w:sz w:val="20"/>
                <w:szCs w:val="20"/>
              </w:rPr>
            </w:pPr>
            <w:r>
              <w:rPr>
                <w:kern w:val="0"/>
                <w:sz w:val="20"/>
                <w:szCs w:val="20"/>
              </w:rPr>
              <w:t>3.同等条件下，在运力新增、经营范围变更、经营权延续等方面予以适当优先；</w:t>
            </w:r>
          </w:p>
          <w:p>
            <w:pPr>
              <w:widowControl/>
              <w:jc w:val="left"/>
              <w:rPr>
                <w:kern w:val="0"/>
                <w:sz w:val="20"/>
                <w:szCs w:val="20"/>
              </w:rPr>
            </w:pPr>
            <w:r>
              <w:rPr>
                <w:kern w:val="0"/>
                <w:sz w:val="20"/>
                <w:szCs w:val="20"/>
              </w:rPr>
              <w:t>4.在交通主管部门制定和实施支持或奖励政策（包括财政补贴）、示范项目或示范企业推荐、荣誉评选及表彰中，同等条件下予以适当优先；</w:t>
            </w:r>
          </w:p>
          <w:p>
            <w:pPr>
              <w:widowControl/>
              <w:jc w:val="left"/>
              <w:rPr>
                <w:kern w:val="0"/>
                <w:sz w:val="20"/>
                <w:szCs w:val="20"/>
              </w:rPr>
            </w:pPr>
            <w:r>
              <w:rPr>
                <w:kern w:val="0"/>
                <w:sz w:val="20"/>
                <w:szCs w:val="20"/>
              </w:rPr>
              <w:t>5.向本省港口企业推荐，经营船舶实行适当优先靠泊、优先作业；</w:t>
            </w:r>
          </w:p>
          <w:p>
            <w:pPr>
              <w:widowControl/>
              <w:jc w:val="left"/>
              <w:rPr>
                <w:kern w:val="0"/>
                <w:sz w:val="20"/>
                <w:szCs w:val="20"/>
              </w:rPr>
            </w:pPr>
            <w:r>
              <w:rPr>
                <w:kern w:val="0"/>
                <w:sz w:val="20"/>
                <w:szCs w:val="20"/>
              </w:rPr>
              <w:t>6.法律、法规、规章及相关政策可以采取的其他激励性措施。</w:t>
            </w:r>
          </w:p>
        </w:tc>
        <w:tc>
          <w:tcPr>
            <w:tcW w:w="3764"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r>
              <w:rPr>
                <w:kern w:val="0"/>
                <w:sz w:val="20"/>
                <w:szCs w:val="20"/>
              </w:rPr>
              <w:t>1.《国内水路运输管理规定》：</w:t>
            </w:r>
          </w:p>
          <w:p>
            <w:pPr>
              <w:widowControl/>
              <w:jc w:val="left"/>
              <w:rPr>
                <w:kern w:val="0"/>
                <w:sz w:val="20"/>
                <w:szCs w:val="20"/>
              </w:rPr>
            </w:pPr>
            <w:r>
              <w:rPr>
                <w:kern w:val="0"/>
                <w:sz w:val="20"/>
                <w:szCs w:val="20"/>
              </w:rPr>
              <w:t>第十四条、第四十一条</w:t>
            </w:r>
          </w:p>
          <w:p>
            <w:pPr>
              <w:widowControl/>
              <w:jc w:val="left"/>
              <w:rPr>
                <w:kern w:val="0"/>
                <w:sz w:val="20"/>
                <w:szCs w:val="20"/>
              </w:rPr>
            </w:pPr>
            <w:r>
              <w:rPr>
                <w:kern w:val="0"/>
                <w:sz w:val="20"/>
                <w:szCs w:val="20"/>
              </w:rPr>
              <w:t>2.国务院办公厅关于加快推进社会信用体系建设构建以信用为基础的新型监管机制的指导意见（国办发〔2019〕35号）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6" w:hRule="atLeast"/>
          <w:jc w:val="center"/>
        </w:trPr>
        <w:tc>
          <w:tcPr>
            <w:tcW w:w="144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0"/>
                <w:szCs w:val="20"/>
              </w:rPr>
            </w:pPr>
            <w:r>
              <w:rPr>
                <w:b/>
                <w:bCs/>
                <w:kern w:val="0"/>
                <w:sz w:val="20"/>
                <w:szCs w:val="20"/>
              </w:rPr>
              <w:t>B</w:t>
            </w:r>
          </w:p>
          <w:p>
            <w:pPr>
              <w:widowControl/>
              <w:jc w:val="center"/>
              <w:rPr>
                <w:b/>
                <w:bCs/>
                <w:kern w:val="0"/>
                <w:sz w:val="20"/>
                <w:szCs w:val="20"/>
              </w:rPr>
            </w:pPr>
            <w:r>
              <w:rPr>
                <w:b/>
                <w:bCs/>
                <w:kern w:val="0"/>
                <w:sz w:val="20"/>
                <w:szCs w:val="20"/>
              </w:rPr>
              <w:t>（信用一般）</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0"/>
                <w:szCs w:val="20"/>
              </w:rPr>
            </w:pPr>
            <w:r>
              <w:rPr>
                <w:b/>
                <w:bCs/>
                <w:kern w:val="0"/>
                <w:sz w:val="20"/>
                <w:szCs w:val="20"/>
              </w:rPr>
              <w:t>75分≤X＜85分</w:t>
            </w:r>
          </w:p>
        </w:tc>
        <w:tc>
          <w:tcPr>
            <w:tcW w:w="7655"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r>
              <w:rPr>
                <w:kern w:val="0"/>
                <w:sz w:val="20"/>
                <w:szCs w:val="20"/>
              </w:rPr>
              <w:t>1.所在市、县（区）交通运输主管部门依照有关法律法规和政策规定加强日常动态监管，每年检查不少于1次。</w:t>
            </w:r>
          </w:p>
          <w:p>
            <w:pPr>
              <w:widowControl/>
              <w:jc w:val="left"/>
              <w:rPr>
                <w:kern w:val="0"/>
                <w:sz w:val="20"/>
                <w:szCs w:val="20"/>
              </w:rPr>
            </w:pPr>
            <w:r>
              <w:rPr>
                <w:kern w:val="0"/>
                <w:sz w:val="20"/>
                <w:szCs w:val="20"/>
              </w:rPr>
              <w:t>2.法律、法规、规章及相关政策可以采取的其他激励性措施。</w:t>
            </w:r>
          </w:p>
        </w:tc>
        <w:tc>
          <w:tcPr>
            <w:tcW w:w="3764"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r>
              <w:rPr>
                <w:kern w:val="0"/>
                <w:sz w:val="20"/>
                <w:szCs w:val="20"/>
              </w:rPr>
              <w:t>1.《国内水路运输管理规定》：</w:t>
            </w:r>
          </w:p>
          <w:p>
            <w:pPr>
              <w:widowControl/>
              <w:jc w:val="left"/>
              <w:rPr>
                <w:kern w:val="0"/>
                <w:sz w:val="20"/>
                <w:szCs w:val="20"/>
              </w:rPr>
            </w:pPr>
            <w:r>
              <w:rPr>
                <w:kern w:val="0"/>
                <w:sz w:val="20"/>
                <w:szCs w:val="20"/>
              </w:rPr>
              <w:t>第十四条、 第四十一条</w:t>
            </w:r>
          </w:p>
          <w:p>
            <w:pPr>
              <w:widowControl/>
              <w:jc w:val="left"/>
              <w:rPr>
                <w:kern w:val="0"/>
                <w:sz w:val="20"/>
                <w:szCs w:val="20"/>
              </w:rPr>
            </w:pPr>
            <w:r>
              <w:rPr>
                <w:kern w:val="0"/>
                <w:sz w:val="20"/>
                <w:szCs w:val="20"/>
              </w:rPr>
              <w:t>2.国务院办公厅关于加快推进社会信用体系建设构建以信用为基础的新型监管机制的指导意见（国办发〔2019〕35号）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0" w:hRule="atLeast"/>
          <w:jc w:val="center"/>
        </w:trPr>
        <w:tc>
          <w:tcPr>
            <w:tcW w:w="144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0"/>
                <w:szCs w:val="20"/>
              </w:rPr>
            </w:pPr>
            <w:r>
              <w:rPr>
                <w:b/>
                <w:bCs/>
                <w:kern w:val="0"/>
                <w:sz w:val="20"/>
                <w:szCs w:val="20"/>
              </w:rPr>
              <w:t>C</w:t>
            </w:r>
          </w:p>
          <w:p>
            <w:pPr>
              <w:widowControl/>
              <w:jc w:val="center"/>
              <w:rPr>
                <w:b/>
                <w:bCs/>
                <w:kern w:val="0"/>
                <w:sz w:val="20"/>
                <w:szCs w:val="20"/>
              </w:rPr>
            </w:pPr>
            <w:r>
              <w:rPr>
                <w:b/>
                <w:bCs/>
                <w:kern w:val="0"/>
                <w:sz w:val="20"/>
                <w:szCs w:val="20"/>
              </w:rPr>
              <w:t>（信用较差）</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0"/>
                <w:szCs w:val="20"/>
              </w:rPr>
            </w:pPr>
            <w:r>
              <w:rPr>
                <w:b/>
                <w:bCs/>
                <w:kern w:val="0"/>
                <w:sz w:val="20"/>
                <w:szCs w:val="20"/>
              </w:rPr>
              <w:t>60分≤X＜75分</w:t>
            </w:r>
          </w:p>
        </w:tc>
        <w:tc>
          <w:tcPr>
            <w:tcW w:w="7655"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r>
              <w:rPr>
                <w:kern w:val="0"/>
                <w:sz w:val="20"/>
                <w:szCs w:val="20"/>
              </w:rPr>
              <w:t>1.在日常监管中列为重点关注对象，加强现场核查，每年现场检查不少于2次；</w:t>
            </w:r>
          </w:p>
          <w:p>
            <w:pPr>
              <w:widowControl/>
              <w:jc w:val="left"/>
              <w:rPr>
                <w:kern w:val="0"/>
                <w:sz w:val="20"/>
                <w:szCs w:val="20"/>
              </w:rPr>
            </w:pPr>
            <w:r>
              <w:rPr>
                <w:kern w:val="0"/>
                <w:sz w:val="20"/>
                <w:szCs w:val="20"/>
              </w:rPr>
              <w:t>2.依法限制享受交通主管部门各类优惠政策，不予推荐各级交通主管部门组织的表彰奖励活动；</w:t>
            </w:r>
          </w:p>
          <w:p>
            <w:pPr>
              <w:widowControl/>
              <w:jc w:val="left"/>
              <w:rPr>
                <w:kern w:val="0"/>
                <w:sz w:val="20"/>
                <w:szCs w:val="20"/>
              </w:rPr>
            </w:pPr>
            <w:r>
              <w:rPr>
                <w:kern w:val="0"/>
                <w:sz w:val="20"/>
                <w:szCs w:val="20"/>
              </w:rPr>
              <w:t>3.在审查运力新增、经营范围变更、经营权延续等方面，在信用修复前列为重点审查对象，不适用告知承诺制等便利服务措施；</w:t>
            </w:r>
          </w:p>
          <w:p>
            <w:pPr>
              <w:widowControl/>
              <w:jc w:val="left"/>
              <w:rPr>
                <w:kern w:val="0"/>
                <w:sz w:val="20"/>
                <w:szCs w:val="20"/>
              </w:rPr>
            </w:pPr>
            <w:r>
              <w:rPr>
                <w:kern w:val="0"/>
                <w:sz w:val="20"/>
                <w:szCs w:val="20"/>
              </w:rPr>
              <w:t>4.在交通主管部门制定和实施支持或奖励政策（包括财政补贴）、示范项目或示范企业推荐、荣誉评选及表彰中不予推荐；</w:t>
            </w:r>
          </w:p>
          <w:p>
            <w:pPr>
              <w:widowControl/>
              <w:jc w:val="left"/>
              <w:rPr>
                <w:kern w:val="0"/>
                <w:sz w:val="20"/>
                <w:szCs w:val="20"/>
              </w:rPr>
            </w:pPr>
            <w:r>
              <w:rPr>
                <w:kern w:val="0"/>
                <w:sz w:val="20"/>
                <w:szCs w:val="20"/>
              </w:rPr>
              <w:t>5.按经营范围将企业信用情况通报长江航务管理局、长江三峡通航管理局、长江海事局等；</w:t>
            </w:r>
          </w:p>
          <w:p>
            <w:pPr>
              <w:widowControl/>
              <w:jc w:val="left"/>
              <w:rPr>
                <w:kern w:val="0"/>
                <w:sz w:val="20"/>
                <w:szCs w:val="20"/>
              </w:rPr>
            </w:pPr>
            <w:r>
              <w:rPr>
                <w:kern w:val="0"/>
                <w:sz w:val="20"/>
                <w:szCs w:val="20"/>
              </w:rPr>
              <w:t>6.按经营范围将企业信用情况通报企业注册地街道（或经济开发区）和属地市场局、经信委或文旅委等相关部门。</w:t>
            </w:r>
          </w:p>
          <w:p>
            <w:pPr>
              <w:widowControl/>
              <w:jc w:val="left"/>
              <w:rPr>
                <w:spacing w:val="-2"/>
                <w:kern w:val="0"/>
                <w:sz w:val="20"/>
                <w:szCs w:val="20"/>
              </w:rPr>
            </w:pPr>
            <w:r>
              <w:rPr>
                <w:spacing w:val="-2"/>
                <w:kern w:val="0"/>
                <w:sz w:val="20"/>
                <w:szCs w:val="20"/>
              </w:rPr>
              <w:t>7.连续两年信用等级为C级的水路运输企业，市州交通运输主管部门应对其出具书面警戒告知书，责令其限期整改；限期未完成整改的，依法依规采取限制性、惩戒性措施。</w:t>
            </w:r>
          </w:p>
        </w:tc>
        <w:tc>
          <w:tcPr>
            <w:tcW w:w="3764"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r>
              <w:rPr>
                <w:kern w:val="0"/>
                <w:sz w:val="20"/>
                <w:szCs w:val="20"/>
              </w:rPr>
              <w:t xml:space="preserve">1.《国内水路运输管理规定》：第十四条 、第四十一条 </w:t>
            </w:r>
          </w:p>
          <w:p>
            <w:pPr>
              <w:widowControl/>
              <w:jc w:val="left"/>
              <w:rPr>
                <w:kern w:val="0"/>
                <w:sz w:val="20"/>
                <w:szCs w:val="20"/>
              </w:rPr>
            </w:pPr>
            <w:r>
              <w:rPr>
                <w:kern w:val="0"/>
                <w:sz w:val="20"/>
                <w:szCs w:val="20"/>
              </w:rPr>
              <w:t>2.国务院办公厅关于加快推进社会信用体系建设构建以信用为基础的新型监管机制的指导意见（国办发〔2019〕35号）</w:t>
            </w:r>
          </w:p>
          <w:p>
            <w:pPr>
              <w:widowControl/>
              <w:jc w:val="left"/>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9" w:hRule="atLeast"/>
          <w:jc w:val="center"/>
        </w:trPr>
        <w:tc>
          <w:tcPr>
            <w:tcW w:w="1443"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0"/>
                <w:szCs w:val="20"/>
              </w:rPr>
            </w:pPr>
            <w:r>
              <w:rPr>
                <w:b/>
                <w:bCs/>
                <w:kern w:val="0"/>
                <w:sz w:val="20"/>
                <w:szCs w:val="20"/>
              </w:rPr>
              <w:t>D</w:t>
            </w:r>
          </w:p>
          <w:p>
            <w:pPr>
              <w:widowControl/>
              <w:jc w:val="center"/>
              <w:rPr>
                <w:b/>
                <w:bCs/>
                <w:kern w:val="0"/>
                <w:sz w:val="20"/>
                <w:szCs w:val="20"/>
              </w:rPr>
            </w:pPr>
            <w:r>
              <w:rPr>
                <w:b/>
                <w:bCs/>
                <w:kern w:val="0"/>
                <w:sz w:val="20"/>
                <w:szCs w:val="20"/>
              </w:rPr>
              <w:t>（信用差）</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0"/>
                <w:szCs w:val="20"/>
              </w:rPr>
            </w:pPr>
            <w:r>
              <w:rPr>
                <w:b/>
                <w:bCs/>
                <w:kern w:val="0"/>
                <w:sz w:val="20"/>
                <w:szCs w:val="20"/>
              </w:rPr>
              <w:t>X＜60分</w:t>
            </w:r>
          </w:p>
        </w:tc>
        <w:tc>
          <w:tcPr>
            <w:tcW w:w="7655"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r>
              <w:rPr>
                <w:kern w:val="0"/>
                <w:sz w:val="20"/>
                <w:szCs w:val="20"/>
              </w:rPr>
              <w:t>1.在日常监管中列为重点监管对象，加强现场核查，每年现场检查不少于3次；</w:t>
            </w:r>
          </w:p>
          <w:p>
            <w:pPr>
              <w:widowControl/>
              <w:jc w:val="left"/>
              <w:rPr>
                <w:kern w:val="0"/>
                <w:sz w:val="20"/>
                <w:szCs w:val="20"/>
              </w:rPr>
            </w:pPr>
            <w:r>
              <w:rPr>
                <w:kern w:val="0"/>
                <w:sz w:val="20"/>
                <w:szCs w:val="20"/>
              </w:rPr>
              <w:t>2.依法限制享受交通主管部门各类优惠政策，不予参评各级交通主管部门组织的表彰奖励活动；</w:t>
            </w:r>
          </w:p>
          <w:p>
            <w:pPr>
              <w:widowControl/>
              <w:jc w:val="left"/>
              <w:rPr>
                <w:kern w:val="0"/>
                <w:sz w:val="20"/>
                <w:szCs w:val="20"/>
              </w:rPr>
            </w:pPr>
            <w:r>
              <w:rPr>
                <w:kern w:val="0"/>
                <w:sz w:val="20"/>
                <w:szCs w:val="20"/>
              </w:rPr>
              <w:t>3.在审查运力新增、经营范围变更、经营权延续等方面，在信用修复前予以限制；</w:t>
            </w:r>
          </w:p>
          <w:p>
            <w:pPr>
              <w:widowControl/>
              <w:jc w:val="left"/>
              <w:rPr>
                <w:kern w:val="0"/>
                <w:sz w:val="20"/>
                <w:szCs w:val="20"/>
              </w:rPr>
            </w:pPr>
            <w:r>
              <w:rPr>
                <w:kern w:val="0"/>
                <w:sz w:val="20"/>
                <w:szCs w:val="20"/>
              </w:rPr>
              <w:t>4.在交通主管部门制定和实施支持或奖励政策（包括财政补贴）、示范项目或示范企业推荐、荣誉评选及表彰中不予参评；</w:t>
            </w:r>
          </w:p>
          <w:p>
            <w:pPr>
              <w:widowControl/>
              <w:jc w:val="left"/>
              <w:rPr>
                <w:kern w:val="0"/>
                <w:sz w:val="20"/>
                <w:szCs w:val="20"/>
              </w:rPr>
            </w:pPr>
            <w:r>
              <w:rPr>
                <w:kern w:val="0"/>
                <w:sz w:val="20"/>
                <w:szCs w:val="20"/>
              </w:rPr>
              <w:t>5.按经营范围将企业信用情况通报长江航务管理局、长江三峡通航管理局、长江海事局等；</w:t>
            </w:r>
          </w:p>
          <w:p>
            <w:pPr>
              <w:widowControl/>
              <w:jc w:val="left"/>
              <w:rPr>
                <w:kern w:val="0"/>
                <w:sz w:val="20"/>
                <w:szCs w:val="20"/>
              </w:rPr>
            </w:pPr>
            <w:r>
              <w:rPr>
                <w:kern w:val="0"/>
                <w:sz w:val="20"/>
                <w:szCs w:val="20"/>
              </w:rPr>
              <w:t>6.按经营范围将企业信用情况通报企业注册地街道（或经济开发区）和属地相关部门。</w:t>
            </w:r>
          </w:p>
          <w:p>
            <w:pPr>
              <w:widowControl/>
              <w:jc w:val="left"/>
              <w:rPr>
                <w:kern w:val="0"/>
                <w:sz w:val="20"/>
                <w:szCs w:val="20"/>
              </w:rPr>
            </w:pPr>
            <w:r>
              <w:rPr>
                <w:kern w:val="0"/>
                <w:sz w:val="20"/>
                <w:szCs w:val="20"/>
              </w:rPr>
              <w:t>7.</w:t>
            </w:r>
            <w:r>
              <w:rPr>
                <w:spacing w:val="-2"/>
                <w:kern w:val="0"/>
                <w:sz w:val="20"/>
                <w:szCs w:val="20"/>
              </w:rPr>
              <w:t>连续两年信用等级为D级的水路运输企业，市州交通运输主管部门应对其出具书面警戒告知书，责令其限期整改；限期未完成整改的，依法依规采取限制性、惩戒性措施。</w:t>
            </w:r>
          </w:p>
        </w:tc>
        <w:tc>
          <w:tcPr>
            <w:tcW w:w="3764"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r>
              <w:rPr>
                <w:kern w:val="0"/>
                <w:sz w:val="20"/>
                <w:szCs w:val="20"/>
              </w:rPr>
              <w:t xml:space="preserve">1.《国内水路运输管理规定》：第十四条 、第四十一条 </w:t>
            </w:r>
          </w:p>
          <w:p>
            <w:pPr>
              <w:widowControl/>
              <w:jc w:val="left"/>
              <w:rPr>
                <w:kern w:val="0"/>
                <w:sz w:val="20"/>
                <w:szCs w:val="20"/>
              </w:rPr>
            </w:pPr>
            <w:r>
              <w:rPr>
                <w:kern w:val="0"/>
                <w:sz w:val="20"/>
                <w:szCs w:val="20"/>
              </w:rPr>
              <w:t>2.国务院办公厅关于加快推进社会信用体系建设构建以信用为基础的新型监管机制的指导意见（国办发〔2019〕35号）</w:t>
            </w:r>
          </w:p>
        </w:tc>
      </w:tr>
    </w:tbl>
    <w:p>
      <w:pPr>
        <w:widowControl/>
        <w:spacing w:line="480" w:lineRule="exact"/>
        <w:ind w:left="-850" w:leftChars="-405"/>
        <w:jc w:val="left"/>
        <w:rPr>
          <w:rFonts w:eastAsia="黑体"/>
          <w:bCs/>
          <w:kern w:val="0"/>
          <w:sz w:val="32"/>
          <w:szCs w:val="32"/>
        </w:rPr>
      </w:pPr>
      <w:r>
        <w:rPr>
          <w:rFonts w:eastAsia="黑体"/>
          <w:bCs/>
          <w:kern w:val="0"/>
          <w:sz w:val="32"/>
          <w:szCs w:val="32"/>
        </w:rPr>
        <w:t>附件4</w:t>
      </w:r>
    </w:p>
    <w:p>
      <w:pPr>
        <w:spacing w:line="560" w:lineRule="exact"/>
        <w:jc w:val="center"/>
        <w:rPr>
          <w:rFonts w:eastAsia="方正小标宋简体"/>
          <w:bCs/>
          <w:sz w:val="44"/>
          <w:szCs w:val="44"/>
        </w:rPr>
      </w:pPr>
      <w:r>
        <w:rPr>
          <w:rFonts w:eastAsia="方正小标宋简体"/>
          <w:bCs/>
          <w:sz w:val="44"/>
          <w:szCs w:val="44"/>
        </w:rPr>
        <w:t>湖南省水路港口经营人信用评价结果应用措施</w:t>
      </w:r>
    </w:p>
    <w:tbl>
      <w:tblPr>
        <w:tblStyle w:val="7"/>
        <w:tblW w:w="14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1767"/>
        <w:gridCol w:w="7809"/>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blHeader/>
          <w:jc w:val="center"/>
        </w:trPr>
        <w:tc>
          <w:tcPr>
            <w:tcW w:w="137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黑体"/>
                <w:sz w:val="20"/>
                <w:szCs w:val="20"/>
              </w:rPr>
            </w:pPr>
            <w:r>
              <w:rPr>
                <w:rFonts w:eastAsia="黑体"/>
                <w:sz w:val="20"/>
                <w:szCs w:val="20"/>
              </w:rPr>
              <w:t>信用等级</w:t>
            </w:r>
          </w:p>
        </w:tc>
        <w:tc>
          <w:tcPr>
            <w:tcW w:w="176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黑体"/>
                <w:sz w:val="20"/>
                <w:szCs w:val="20"/>
              </w:rPr>
            </w:pPr>
            <w:r>
              <w:rPr>
                <w:rFonts w:eastAsia="黑体"/>
                <w:sz w:val="20"/>
                <w:szCs w:val="20"/>
              </w:rPr>
              <w:t>分值范围</w:t>
            </w:r>
          </w:p>
        </w:tc>
        <w:tc>
          <w:tcPr>
            <w:tcW w:w="780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黑体"/>
                <w:sz w:val="20"/>
                <w:szCs w:val="20"/>
              </w:rPr>
            </w:pPr>
            <w:r>
              <w:rPr>
                <w:rFonts w:eastAsia="黑体"/>
                <w:sz w:val="20"/>
                <w:szCs w:val="20"/>
              </w:rPr>
              <w:t>应用措施</w:t>
            </w:r>
          </w:p>
        </w:tc>
        <w:tc>
          <w:tcPr>
            <w:tcW w:w="368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黑体"/>
                <w:sz w:val="20"/>
                <w:szCs w:val="20"/>
              </w:rPr>
            </w:pPr>
            <w:r>
              <w:rPr>
                <w:rFonts w:eastAsia="黑体"/>
                <w:sz w:val="20"/>
                <w:szCs w:val="20"/>
              </w:rPr>
              <w:t>应用依据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37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0"/>
                <w:szCs w:val="20"/>
              </w:rPr>
            </w:pPr>
            <w:r>
              <w:rPr>
                <w:b/>
                <w:bCs/>
                <w:kern w:val="0"/>
                <w:sz w:val="20"/>
                <w:szCs w:val="20"/>
              </w:rPr>
              <w:t>AA</w:t>
            </w:r>
          </w:p>
          <w:p>
            <w:pPr>
              <w:widowControl/>
              <w:jc w:val="center"/>
              <w:rPr>
                <w:b/>
                <w:bCs/>
                <w:kern w:val="0"/>
                <w:sz w:val="20"/>
                <w:szCs w:val="20"/>
              </w:rPr>
            </w:pPr>
            <w:r>
              <w:rPr>
                <w:b/>
                <w:bCs/>
                <w:kern w:val="0"/>
                <w:sz w:val="20"/>
                <w:szCs w:val="20"/>
              </w:rPr>
              <w:t>（信用好）</w:t>
            </w:r>
          </w:p>
        </w:tc>
        <w:tc>
          <w:tcPr>
            <w:tcW w:w="1767"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0"/>
                <w:szCs w:val="20"/>
              </w:rPr>
            </w:pPr>
            <w:r>
              <w:rPr>
                <w:b/>
                <w:bCs/>
                <w:kern w:val="0"/>
                <w:sz w:val="20"/>
                <w:szCs w:val="20"/>
              </w:rPr>
              <w:t>95分≤X≤100分</w:t>
            </w:r>
          </w:p>
          <w:p>
            <w:pPr>
              <w:widowControl/>
              <w:jc w:val="center"/>
              <w:rPr>
                <w:b/>
                <w:bCs/>
                <w:kern w:val="0"/>
                <w:sz w:val="20"/>
                <w:szCs w:val="20"/>
              </w:rPr>
            </w:pPr>
          </w:p>
        </w:tc>
        <w:tc>
          <w:tcPr>
            <w:tcW w:w="7809"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r>
              <w:rPr>
                <w:kern w:val="0"/>
                <w:sz w:val="20"/>
                <w:szCs w:val="20"/>
              </w:rPr>
              <w:t>1.简化许可审批程序，企业申请港口经营许可延续业务只需提供书面材料，经审查符合条件的，可简化现场查验程序；</w:t>
            </w:r>
          </w:p>
          <w:p>
            <w:pPr>
              <w:widowControl/>
              <w:jc w:val="left"/>
              <w:rPr>
                <w:kern w:val="0"/>
                <w:sz w:val="20"/>
                <w:szCs w:val="20"/>
              </w:rPr>
            </w:pPr>
            <w:r>
              <w:rPr>
                <w:kern w:val="0"/>
                <w:sz w:val="20"/>
                <w:szCs w:val="20"/>
              </w:rPr>
              <w:t>2.在日常监督管理和专项检查中，优化检查频次，原则上一年检查1次；</w:t>
            </w:r>
          </w:p>
          <w:p>
            <w:pPr>
              <w:widowControl/>
              <w:jc w:val="left"/>
              <w:rPr>
                <w:kern w:val="0"/>
                <w:sz w:val="20"/>
                <w:szCs w:val="20"/>
              </w:rPr>
            </w:pPr>
            <w:r>
              <w:rPr>
                <w:kern w:val="0"/>
                <w:sz w:val="20"/>
                <w:szCs w:val="20"/>
              </w:rPr>
              <w:t>3.交通运输部门组织开展企业荣誉表彰及评先评优中，同等条件下优先考虑；</w:t>
            </w:r>
          </w:p>
          <w:p>
            <w:pPr>
              <w:widowControl/>
              <w:jc w:val="left"/>
              <w:rPr>
                <w:kern w:val="0"/>
                <w:sz w:val="20"/>
                <w:szCs w:val="20"/>
              </w:rPr>
            </w:pPr>
            <w:r>
              <w:rPr>
                <w:kern w:val="0"/>
                <w:sz w:val="20"/>
                <w:szCs w:val="20"/>
              </w:rPr>
              <w:t>4.认定为行业年度诚信典型，通过部门网站等向社会公示；</w:t>
            </w:r>
          </w:p>
          <w:p>
            <w:pPr>
              <w:widowControl/>
              <w:jc w:val="left"/>
              <w:rPr>
                <w:kern w:val="0"/>
                <w:sz w:val="20"/>
                <w:szCs w:val="20"/>
              </w:rPr>
            </w:pPr>
            <w:r>
              <w:rPr>
                <w:kern w:val="0"/>
                <w:sz w:val="20"/>
                <w:szCs w:val="20"/>
              </w:rPr>
              <w:t>5.同等条件下，在财政补贴、试点示范项目、评优评先、荣誉奖励等优惠政策方面予以优先考虑。</w:t>
            </w:r>
          </w:p>
          <w:p>
            <w:pPr>
              <w:widowControl/>
              <w:jc w:val="left"/>
              <w:rPr>
                <w:kern w:val="0"/>
                <w:sz w:val="20"/>
                <w:szCs w:val="20"/>
              </w:rPr>
            </w:pPr>
            <w:r>
              <w:rPr>
                <w:kern w:val="0"/>
                <w:sz w:val="20"/>
                <w:szCs w:val="20"/>
              </w:rPr>
              <w:t>6.法律、法规、规章规定可以采取的其他激励性措施。</w:t>
            </w:r>
          </w:p>
          <w:p>
            <w:pPr>
              <w:widowControl/>
              <w:jc w:val="left"/>
              <w:rPr>
                <w:kern w:val="0"/>
                <w:sz w:val="20"/>
                <w:szCs w:val="20"/>
              </w:rPr>
            </w:pPr>
            <w:r>
              <w:rPr>
                <w:kern w:val="0"/>
                <w:sz w:val="20"/>
                <w:szCs w:val="20"/>
              </w:rPr>
              <w:t>7.</w:t>
            </w:r>
            <w:r>
              <w:rPr>
                <w:spacing w:val="-4"/>
                <w:kern w:val="0"/>
                <w:sz w:val="20"/>
                <w:szCs w:val="20"/>
              </w:rPr>
              <w:t>连续2年及以上被评为AA级的港口经营人，在上述激励性措施中，同等条件下优先考虑。</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r>
              <w:rPr>
                <w:kern w:val="0"/>
                <w:sz w:val="20"/>
                <w:szCs w:val="20"/>
              </w:rPr>
              <w:t xml:space="preserve">1.参照《交通运输守信联合激励和失信联合惩戒对象名单管理办法（试行）》第十七条  </w:t>
            </w:r>
          </w:p>
          <w:p>
            <w:pPr>
              <w:widowControl/>
              <w:jc w:val="left"/>
              <w:rPr>
                <w:kern w:val="0"/>
                <w:sz w:val="20"/>
                <w:szCs w:val="20"/>
              </w:rPr>
            </w:pPr>
            <w:r>
              <w:rPr>
                <w:kern w:val="0"/>
                <w:sz w:val="20"/>
                <w:szCs w:val="20"/>
              </w:rPr>
              <w:t>2.参照交通运输部《关于加强交通运输行业信用体系建设的若干意见》中守信奖励和激励。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0"/>
                <w:szCs w:val="20"/>
              </w:rPr>
            </w:pPr>
            <w:r>
              <w:rPr>
                <w:b/>
                <w:bCs/>
                <w:kern w:val="0"/>
                <w:sz w:val="20"/>
                <w:szCs w:val="20"/>
              </w:rPr>
              <w:t>A</w:t>
            </w:r>
          </w:p>
          <w:p>
            <w:pPr>
              <w:widowControl/>
              <w:jc w:val="center"/>
              <w:rPr>
                <w:b/>
                <w:bCs/>
                <w:kern w:val="0"/>
                <w:sz w:val="20"/>
                <w:szCs w:val="20"/>
              </w:rPr>
            </w:pPr>
            <w:r>
              <w:rPr>
                <w:b/>
                <w:bCs/>
                <w:kern w:val="0"/>
                <w:sz w:val="20"/>
                <w:szCs w:val="20"/>
              </w:rPr>
              <w:t>（信用较好）</w:t>
            </w:r>
          </w:p>
        </w:tc>
        <w:tc>
          <w:tcPr>
            <w:tcW w:w="1767"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0"/>
                <w:szCs w:val="20"/>
              </w:rPr>
            </w:pPr>
            <w:r>
              <w:rPr>
                <w:b/>
                <w:bCs/>
                <w:kern w:val="0"/>
                <w:sz w:val="20"/>
                <w:szCs w:val="20"/>
              </w:rPr>
              <w:t>85分≤X＜95分</w:t>
            </w:r>
          </w:p>
        </w:tc>
        <w:tc>
          <w:tcPr>
            <w:tcW w:w="7809"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r>
              <w:rPr>
                <w:kern w:val="0"/>
                <w:sz w:val="20"/>
                <w:szCs w:val="20"/>
              </w:rPr>
              <w:t>1.在日常监督管理和专项检查中，优化检查频次，原则上每年检查1次；</w:t>
            </w:r>
          </w:p>
          <w:p>
            <w:pPr>
              <w:widowControl/>
              <w:jc w:val="left"/>
              <w:rPr>
                <w:kern w:val="0"/>
                <w:sz w:val="20"/>
                <w:szCs w:val="20"/>
              </w:rPr>
            </w:pPr>
            <w:r>
              <w:rPr>
                <w:kern w:val="0"/>
                <w:sz w:val="20"/>
                <w:szCs w:val="20"/>
              </w:rPr>
              <w:t>2.同等条件下，在财政补贴、评优评先等优惠政策方面予以优先考虑；</w:t>
            </w:r>
          </w:p>
          <w:p>
            <w:pPr>
              <w:widowControl/>
              <w:jc w:val="left"/>
              <w:rPr>
                <w:kern w:val="0"/>
                <w:sz w:val="20"/>
                <w:szCs w:val="20"/>
              </w:rPr>
            </w:pPr>
            <w:r>
              <w:rPr>
                <w:kern w:val="0"/>
                <w:sz w:val="20"/>
                <w:szCs w:val="20"/>
              </w:rPr>
              <w:t>3.法律、法规、规章规定可以采取的其他激励性措施。</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r>
              <w:rPr>
                <w:kern w:val="0"/>
                <w:sz w:val="20"/>
                <w:szCs w:val="20"/>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37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0"/>
                <w:szCs w:val="20"/>
              </w:rPr>
            </w:pPr>
            <w:r>
              <w:rPr>
                <w:b/>
                <w:bCs/>
                <w:kern w:val="0"/>
                <w:sz w:val="20"/>
                <w:szCs w:val="20"/>
              </w:rPr>
              <w:t>B</w:t>
            </w:r>
          </w:p>
          <w:p>
            <w:pPr>
              <w:widowControl/>
              <w:jc w:val="center"/>
              <w:rPr>
                <w:b/>
                <w:bCs/>
                <w:kern w:val="0"/>
                <w:sz w:val="20"/>
                <w:szCs w:val="20"/>
              </w:rPr>
            </w:pPr>
            <w:r>
              <w:rPr>
                <w:b/>
                <w:bCs/>
                <w:kern w:val="0"/>
                <w:sz w:val="20"/>
                <w:szCs w:val="20"/>
              </w:rPr>
              <w:t>（信用一般）</w:t>
            </w:r>
          </w:p>
        </w:tc>
        <w:tc>
          <w:tcPr>
            <w:tcW w:w="1767"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0"/>
                <w:szCs w:val="20"/>
              </w:rPr>
            </w:pPr>
            <w:r>
              <w:rPr>
                <w:b/>
                <w:bCs/>
                <w:kern w:val="0"/>
                <w:sz w:val="20"/>
                <w:szCs w:val="20"/>
              </w:rPr>
              <w:t>75分≤X＜85分</w:t>
            </w:r>
          </w:p>
        </w:tc>
        <w:tc>
          <w:tcPr>
            <w:tcW w:w="7809"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r>
              <w:rPr>
                <w:kern w:val="0"/>
                <w:sz w:val="20"/>
                <w:szCs w:val="20"/>
              </w:rPr>
              <w:t>1.在日常监督管理和专项检查中，优化检查频次，每年检查不少于1次；</w:t>
            </w:r>
          </w:p>
          <w:p>
            <w:pPr>
              <w:widowControl/>
              <w:jc w:val="left"/>
              <w:rPr>
                <w:kern w:val="0"/>
                <w:sz w:val="20"/>
                <w:szCs w:val="20"/>
              </w:rPr>
            </w:pPr>
            <w:r>
              <w:rPr>
                <w:kern w:val="0"/>
                <w:sz w:val="20"/>
                <w:szCs w:val="20"/>
              </w:rPr>
              <w:t xml:space="preserve">2.法律、法规、规章及相关政策可以采取的其他激励性措施。 </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r>
              <w:rPr>
                <w:kern w:val="0"/>
                <w:sz w:val="20"/>
                <w:szCs w:val="20"/>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37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0"/>
                <w:szCs w:val="20"/>
              </w:rPr>
            </w:pPr>
            <w:r>
              <w:rPr>
                <w:b/>
                <w:bCs/>
                <w:kern w:val="0"/>
                <w:sz w:val="20"/>
                <w:szCs w:val="20"/>
              </w:rPr>
              <w:t>C</w:t>
            </w:r>
          </w:p>
          <w:p>
            <w:pPr>
              <w:widowControl/>
              <w:jc w:val="center"/>
              <w:rPr>
                <w:b/>
                <w:bCs/>
                <w:kern w:val="0"/>
                <w:sz w:val="20"/>
                <w:szCs w:val="20"/>
              </w:rPr>
            </w:pPr>
            <w:r>
              <w:rPr>
                <w:b/>
                <w:bCs/>
                <w:kern w:val="0"/>
                <w:sz w:val="20"/>
                <w:szCs w:val="20"/>
              </w:rPr>
              <w:t>（信用较差）</w:t>
            </w:r>
          </w:p>
        </w:tc>
        <w:tc>
          <w:tcPr>
            <w:tcW w:w="1767"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0"/>
                <w:szCs w:val="20"/>
              </w:rPr>
            </w:pPr>
            <w:r>
              <w:rPr>
                <w:b/>
                <w:bCs/>
                <w:kern w:val="0"/>
                <w:sz w:val="20"/>
                <w:szCs w:val="20"/>
              </w:rPr>
              <w:t>60分≤X＜75分</w:t>
            </w:r>
          </w:p>
        </w:tc>
        <w:tc>
          <w:tcPr>
            <w:tcW w:w="7809"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r>
              <w:rPr>
                <w:kern w:val="0"/>
                <w:sz w:val="20"/>
                <w:szCs w:val="20"/>
              </w:rPr>
              <w:t>1.办理港口经营许可扩大经营范围、延续、变更业务不适用容缺受理、告知承诺制；</w:t>
            </w:r>
          </w:p>
          <w:p>
            <w:pPr>
              <w:widowControl/>
              <w:jc w:val="left"/>
              <w:rPr>
                <w:kern w:val="0"/>
                <w:sz w:val="20"/>
                <w:szCs w:val="20"/>
              </w:rPr>
            </w:pPr>
            <w:r>
              <w:rPr>
                <w:kern w:val="0"/>
                <w:sz w:val="20"/>
                <w:szCs w:val="20"/>
              </w:rPr>
              <w:t>2.取消评先、评优活动参与资格，依法依规限制享受交通主管部门各类优惠政策；</w:t>
            </w:r>
          </w:p>
          <w:p>
            <w:pPr>
              <w:widowControl/>
              <w:jc w:val="left"/>
              <w:rPr>
                <w:kern w:val="0"/>
                <w:sz w:val="20"/>
                <w:szCs w:val="20"/>
              </w:rPr>
            </w:pPr>
            <w:r>
              <w:rPr>
                <w:kern w:val="0"/>
                <w:sz w:val="20"/>
                <w:szCs w:val="20"/>
              </w:rPr>
              <w:t>3.每年现场检查不少于2次；</w:t>
            </w:r>
          </w:p>
          <w:p>
            <w:pPr>
              <w:widowControl/>
              <w:jc w:val="left"/>
              <w:rPr>
                <w:kern w:val="0"/>
                <w:sz w:val="20"/>
                <w:szCs w:val="20"/>
              </w:rPr>
            </w:pPr>
            <w:r>
              <w:rPr>
                <w:kern w:val="0"/>
                <w:sz w:val="20"/>
                <w:szCs w:val="20"/>
              </w:rPr>
              <w:t>4.法律、法规、规章规定的其他失信管控措施。</w:t>
            </w:r>
          </w:p>
          <w:p>
            <w:pPr>
              <w:widowControl/>
              <w:jc w:val="left"/>
              <w:rPr>
                <w:kern w:val="0"/>
                <w:sz w:val="20"/>
                <w:szCs w:val="20"/>
              </w:rPr>
            </w:pPr>
            <w:r>
              <w:rPr>
                <w:kern w:val="0"/>
                <w:sz w:val="20"/>
                <w:szCs w:val="20"/>
              </w:rPr>
              <w:t>5.连续2年被评为C级的港口经营人，由市州交通运输主管部门进行诚信约谈；</w:t>
            </w:r>
          </w:p>
          <w:p>
            <w:pPr>
              <w:widowControl/>
              <w:jc w:val="left"/>
              <w:rPr>
                <w:kern w:val="0"/>
                <w:sz w:val="20"/>
                <w:szCs w:val="20"/>
              </w:rPr>
            </w:pPr>
            <w:r>
              <w:rPr>
                <w:kern w:val="0"/>
                <w:sz w:val="20"/>
                <w:szCs w:val="20"/>
              </w:rPr>
              <w:t>6.连续两年信用等级为C级的港口经营人，市州交通运输主管部门应对其出具书面警戒告知书，责令其限期整改；限期未完成整改的，依法依规采取限制性、惩戒性措施。</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r>
              <w:rPr>
                <w:kern w:val="0"/>
                <w:sz w:val="20"/>
                <w:szCs w:val="20"/>
              </w:rPr>
              <w:t xml:space="preserve">参照《交通运输守信联合激励和失信联合惩戒对象名单管理办法（试行）》第十七条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371"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0"/>
                <w:szCs w:val="20"/>
              </w:rPr>
            </w:pPr>
            <w:r>
              <w:rPr>
                <w:b/>
                <w:bCs/>
                <w:kern w:val="0"/>
                <w:sz w:val="20"/>
                <w:szCs w:val="20"/>
              </w:rPr>
              <w:t>D</w:t>
            </w:r>
          </w:p>
          <w:p>
            <w:pPr>
              <w:widowControl/>
              <w:jc w:val="center"/>
              <w:rPr>
                <w:b/>
                <w:bCs/>
                <w:kern w:val="0"/>
                <w:sz w:val="20"/>
                <w:szCs w:val="20"/>
              </w:rPr>
            </w:pPr>
            <w:r>
              <w:rPr>
                <w:b/>
                <w:bCs/>
                <w:kern w:val="0"/>
                <w:sz w:val="20"/>
                <w:szCs w:val="20"/>
              </w:rPr>
              <w:t>（信用差）</w:t>
            </w:r>
          </w:p>
        </w:tc>
        <w:tc>
          <w:tcPr>
            <w:tcW w:w="1767"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0"/>
                <w:szCs w:val="20"/>
              </w:rPr>
            </w:pPr>
            <w:r>
              <w:rPr>
                <w:b/>
                <w:bCs/>
                <w:kern w:val="0"/>
                <w:sz w:val="20"/>
                <w:szCs w:val="20"/>
              </w:rPr>
              <w:t>X＜60分</w:t>
            </w:r>
          </w:p>
        </w:tc>
        <w:tc>
          <w:tcPr>
            <w:tcW w:w="7809"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r>
              <w:rPr>
                <w:kern w:val="0"/>
                <w:sz w:val="20"/>
                <w:szCs w:val="20"/>
              </w:rPr>
              <w:t>1.对港口经营人进行诚信诫勉约谈；</w:t>
            </w:r>
          </w:p>
          <w:p>
            <w:pPr>
              <w:widowControl/>
              <w:jc w:val="left"/>
              <w:rPr>
                <w:kern w:val="0"/>
                <w:sz w:val="20"/>
                <w:szCs w:val="20"/>
              </w:rPr>
            </w:pPr>
            <w:r>
              <w:rPr>
                <w:kern w:val="0"/>
                <w:sz w:val="20"/>
                <w:szCs w:val="20"/>
              </w:rPr>
              <w:t>2.办理港口经营许可扩大经营范围、延续、变更业务列为重点审查对象，不适用容缺受理、告知承诺制；</w:t>
            </w:r>
          </w:p>
          <w:p>
            <w:pPr>
              <w:widowControl/>
              <w:jc w:val="left"/>
              <w:rPr>
                <w:kern w:val="0"/>
                <w:sz w:val="20"/>
                <w:szCs w:val="20"/>
              </w:rPr>
            </w:pPr>
            <w:r>
              <w:rPr>
                <w:kern w:val="0"/>
                <w:sz w:val="20"/>
                <w:szCs w:val="20"/>
              </w:rPr>
              <w:t>3.每年现场检查不少3次；</w:t>
            </w:r>
          </w:p>
          <w:p>
            <w:pPr>
              <w:widowControl/>
              <w:jc w:val="left"/>
              <w:rPr>
                <w:kern w:val="0"/>
                <w:sz w:val="20"/>
                <w:szCs w:val="20"/>
              </w:rPr>
            </w:pPr>
            <w:r>
              <w:rPr>
                <w:kern w:val="0"/>
                <w:sz w:val="20"/>
                <w:szCs w:val="20"/>
              </w:rPr>
              <w:t>4.取消评先评优活动参与资格，依法依规限制享受交通主管部门各类优惠政策；</w:t>
            </w:r>
          </w:p>
          <w:p>
            <w:pPr>
              <w:widowControl/>
              <w:jc w:val="left"/>
              <w:rPr>
                <w:kern w:val="0"/>
                <w:sz w:val="20"/>
                <w:szCs w:val="20"/>
              </w:rPr>
            </w:pPr>
            <w:r>
              <w:rPr>
                <w:kern w:val="0"/>
                <w:sz w:val="20"/>
                <w:szCs w:val="20"/>
              </w:rPr>
              <w:t>5.危险货物港口作业不适用网上申报；</w:t>
            </w:r>
          </w:p>
          <w:p>
            <w:pPr>
              <w:widowControl/>
              <w:jc w:val="left"/>
              <w:rPr>
                <w:kern w:val="0"/>
                <w:sz w:val="20"/>
                <w:szCs w:val="20"/>
              </w:rPr>
            </w:pPr>
            <w:r>
              <w:rPr>
                <w:kern w:val="0"/>
                <w:sz w:val="20"/>
                <w:szCs w:val="20"/>
              </w:rPr>
              <w:t>6.法律法规规章规定的其他失信管控措施；</w:t>
            </w:r>
          </w:p>
          <w:p>
            <w:pPr>
              <w:widowControl/>
              <w:jc w:val="left"/>
              <w:rPr>
                <w:kern w:val="0"/>
                <w:sz w:val="20"/>
                <w:szCs w:val="20"/>
              </w:rPr>
            </w:pPr>
            <w:r>
              <w:rPr>
                <w:kern w:val="0"/>
                <w:sz w:val="20"/>
                <w:szCs w:val="20"/>
              </w:rPr>
              <w:t>7.连续两年信用等级为D级的港口经营人，市州交通运输主管部门应对其出具书面警戒告知书，责令其限期整改；限期未完成整改的，依法依规采取限制性、惩戒性措施。</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r>
              <w:rPr>
                <w:kern w:val="0"/>
                <w:sz w:val="20"/>
                <w:szCs w:val="20"/>
              </w:rPr>
              <w:t xml:space="preserve">参照《交通运输守信联合激励和失信联合惩戒对象名单管理办法（试行）》第十七条  </w:t>
            </w:r>
          </w:p>
          <w:p>
            <w:pPr>
              <w:widowControl/>
              <w:jc w:val="left"/>
              <w:rPr>
                <w:kern w:val="0"/>
                <w:sz w:val="20"/>
                <w:szCs w:val="20"/>
              </w:rPr>
            </w:pPr>
          </w:p>
        </w:tc>
      </w:tr>
    </w:tbl>
    <w:p>
      <w:pPr>
        <w:widowControl/>
        <w:jc w:val="left"/>
        <w:rPr>
          <w:kern w:val="0"/>
          <w:sz w:val="20"/>
          <w:szCs w:val="20"/>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sectPr>
          <w:pgSz w:w="16838" w:h="11906" w:orient="landscape"/>
          <w:pgMar w:top="1588" w:right="1928" w:bottom="1588" w:left="2098" w:header="851" w:footer="1701" w:gutter="0"/>
          <w:cols w:space="425" w:num="1"/>
          <w:docGrid w:type="linesAndChars" w:linePitch="312" w:charSpace="0"/>
        </w:sectPr>
      </w:pPr>
    </w:p>
    <w:p>
      <w:pPr>
        <w:rPr>
          <w:rFonts w:eastAsia="黑体"/>
          <w:bCs/>
          <w:sz w:val="32"/>
          <w:szCs w:val="32"/>
        </w:rPr>
      </w:pPr>
      <w:r>
        <w:rPr>
          <w:rFonts w:eastAsia="黑体"/>
          <w:sz w:val="32"/>
          <w:szCs w:val="32"/>
        </w:rPr>
        <w:t>附件5</w:t>
      </w:r>
    </w:p>
    <w:p>
      <w:pPr>
        <w:snapToGrid w:val="0"/>
        <w:jc w:val="center"/>
        <w:rPr>
          <w:rFonts w:eastAsia="方正小标宋简体"/>
          <w:b/>
          <w:bCs/>
          <w:sz w:val="40"/>
          <w:szCs w:val="40"/>
        </w:rPr>
      </w:pPr>
    </w:p>
    <w:p>
      <w:pPr>
        <w:snapToGrid w:val="0"/>
        <w:jc w:val="center"/>
        <w:rPr>
          <w:rFonts w:eastAsia="方正小标宋简体"/>
          <w:bCs/>
          <w:sz w:val="40"/>
          <w:szCs w:val="40"/>
        </w:rPr>
      </w:pPr>
      <w:r>
        <w:rPr>
          <w:rFonts w:eastAsia="方正小标宋简体"/>
          <w:bCs/>
          <w:sz w:val="40"/>
          <w:szCs w:val="40"/>
        </w:rPr>
        <w:t>湖南省</w:t>
      </w:r>
      <w:r>
        <w:rPr>
          <w:rFonts w:eastAsia="方正小标宋简体"/>
          <w:sz w:val="44"/>
          <w:szCs w:val="44"/>
        </w:rPr>
        <w:t>水路运输经营人</w:t>
      </w:r>
      <w:r>
        <w:rPr>
          <w:rFonts w:eastAsia="方正小标宋简体"/>
          <w:bCs/>
          <w:sz w:val="40"/>
          <w:szCs w:val="40"/>
        </w:rPr>
        <w:t>信用评价申诉书</w:t>
      </w:r>
    </w:p>
    <w:p>
      <w:pPr>
        <w:spacing w:line="540" w:lineRule="exact"/>
        <w:rPr>
          <w:rFonts w:eastAsia="仿宋_GB2312"/>
          <w:sz w:val="30"/>
          <w:szCs w:val="30"/>
        </w:rPr>
      </w:pPr>
    </w:p>
    <w:p>
      <w:pPr>
        <w:spacing w:line="540" w:lineRule="exact"/>
        <w:rPr>
          <w:rFonts w:eastAsia="仿宋_GB2312"/>
          <w:sz w:val="30"/>
          <w:szCs w:val="30"/>
        </w:rPr>
      </w:pPr>
      <w:r>
        <w:rPr>
          <w:rFonts w:eastAsia="仿宋_GB2312"/>
          <w:sz w:val="30"/>
          <w:szCs w:val="30"/>
        </w:rPr>
        <w:t xml:space="preserve">申诉人（名称及组织机构代码）                                              </w:t>
      </w:r>
    </w:p>
    <w:p>
      <w:pPr>
        <w:spacing w:line="540" w:lineRule="exact"/>
        <w:rPr>
          <w:rFonts w:eastAsia="仿宋_GB2312"/>
          <w:sz w:val="30"/>
          <w:szCs w:val="30"/>
        </w:rPr>
      </w:pPr>
      <w:r>
        <w:rPr>
          <w:rFonts w:eastAsia="仿宋_GB2312"/>
          <w:sz w:val="30"/>
          <w:szCs w:val="30"/>
        </w:rPr>
        <w:t xml:space="preserve">地  址                                                      </w:t>
      </w:r>
    </w:p>
    <w:p>
      <w:pPr>
        <w:spacing w:line="540" w:lineRule="exact"/>
        <w:rPr>
          <w:rFonts w:eastAsia="仿宋_GB2312"/>
          <w:sz w:val="30"/>
          <w:szCs w:val="30"/>
        </w:rPr>
      </w:pPr>
      <w:r>
        <w:rPr>
          <w:rFonts w:eastAsia="仿宋_GB2312"/>
          <w:sz w:val="30"/>
          <w:szCs w:val="30"/>
        </w:rPr>
        <w:t xml:space="preserve">邮  编              联系电话及传真                            </w:t>
      </w:r>
    </w:p>
    <w:p>
      <w:pPr>
        <w:spacing w:line="540" w:lineRule="exact"/>
        <w:rPr>
          <w:rFonts w:eastAsia="仿宋_GB2312"/>
          <w:sz w:val="30"/>
          <w:szCs w:val="30"/>
        </w:rPr>
      </w:pPr>
      <w:r>
        <w:rPr>
          <w:rFonts w:eastAsia="仿宋_GB2312"/>
          <w:sz w:val="30"/>
          <w:szCs w:val="30"/>
        </w:rPr>
        <w:t xml:space="preserve">法定代表人姓名            联系电话                          </w:t>
      </w:r>
    </w:p>
    <w:p>
      <w:pPr>
        <w:spacing w:line="540" w:lineRule="exact"/>
        <w:ind w:left="1"/>
        <w:rPr>
          <w:rFonts w:eastAsia="仿宋_GB2312"/>
          <w:sz w:val="30"/>
          <w:szCs w:val="30"/>
        </w:rPr>
      </w:pPr>
      <w:r>
        <w:rPr>
          <w:rFonts w:eastAsia="仿宋_GB2312"/>
          <w:sz w:val="30"/>
          <w:szCs w:val="30"/>
        </w:rPr>
        <w:t xml:space="preserve">授权代表：姓名            性别     电话                     </w:t>
      </w:r>
    </w:p>
    <w:p>
      <w:pPr>
        <w:spacing w:line="540" w:lineRule="exact"/>
        <w:ind w:left="1"/>
        <w:rPr>
          <w:rFonts w:eastAsia="仿宋_GB2312"/>
          <w:sz w:val="30"/>
          <w:szCs w:val="30"/>
        </w:rPr>
      </w:pPr>
      <w:r>
        <w:rPr>
          <w:rFonts w:eastAsia="仿宋_GB2312"/>
          <w:sz w:val="30"/>
          <w:szCs w:val="30"/>
        </w:rPr>
        <w:t xml:space="preserve">身份证号码： （附身份证复印件） 与申诉人关系：              </w:t>
      </w:r>
    </w:p>
    <w:p>
      <w:pPr>
        <w:spacing w:line="540" w:lineRule="exact"/>
        <w:rPr>
          <w:rFonts w:eastAsia="仿宋_GB2312"/>
          <w:sz w:val="30"/>
          <w:szCs w:val="30"/>
        </w:rPr>
      </w:pPr>
    </w:p>
    <w:p>
      <w:pPr>
        <w:spacing w:line="540" w:lineRule="exact"/>
        <w:rPr>
          <w:rFonts w:eastAsia="黑体"/>
          <w:sz w:val="30"/>
          <w:szCs w:val="30"/>
        </w:rPr>
      </w:pPr>
      <w:r>
        <w:rPr>
          <w:rFonts w:eastAsia="黑体"/>
          <w:sz w:val="30"/>
          <w:szCs w:val="30"/>
        </w:rPr>
        <w:t xml:space="preserve">一、申诉事项的基本事实：                                                     </w:t>
      </w:r>
    </w:p>
    <w:p>
      <w:pPr>
        <w:spacing w:line="540" w:lineRule="exact"/>
        <w:rPr>
          <w:rFonts w:eastAsia="仿宋_GB2312"/>
          <w:b/>
          <w:sz w:val="30"/>
          <w:szCs w:val="30"/>
        </w:rPr>
      </w:pPr>
      <w:r>
        <w:rPr>
          <w:rFonts w:eastAsia="仿宋_GB2312"/>
          <w:b/>
          <w:sz w:val="30"/>
          <w:szCs w:val="30"/>
        </w:rPr>
        <w:t xml:space="preserve">                                                                                </w:t>
      </w:r>
    </w:p>
    <w:p>
      <w:pPr>
        <w:spacing w:line="540" w:lineRule="exact"/>
        <w:rPr>
          <w:rFonts w:eastAsia="仿宋_GB2312"/>
          <w:b/>
          <w:sz w:val="30"/>
          <w:szCs w:val="30"/>
        </w:rPr>
      </w:pPr>
      <w:r>
        <w:rPr>
          <w:rFonts w:eastAsia="仿宋_GB2312"/>
          <w:b/>
          <w:sz w:val="30"/>
          <w:szCs w:val="30"/>
        </w:rPr>
        <w:t xml:space="preserve">                                                            </w:t>
      </w:r>
    </w:p>
    <w:p>
      <w:pPr>
        <w:spacing w:line="540" w:lineRule="exact"/>
        <w:rPr>
          <w:rFonts w:eastAsia="黑体"/>
          <w:sz w:val="30"/>
          <w:szCs w:val="30"/>
        </w:rPr>
      </w:pPr>
      <w:r>
        <w:rPr>
          <w:rFonts w:eastAsia="黑体"/>
          <w:sz w:val="30"/>
          <w:szCs w:val="30"/>
        </w:rPr>
        <w:t xml:space="preserve">二、相关请求及主张：                                              </w:t>
      </w:r>
    </w:p>
    <w:p>
      <w:pPr>
        <w:spacing w:line="540" w:lineRule="exact"/>
        <w:rPr>
          <w:rFonts w:eastAsia="仿宋_GB2312"/>
          <w:sz w:val="30"/>
          <w:szCs w:val="30"/>
        </w:rPr>
      </w:pPr>
    </w:p>
    <w:p>
      <w:pPr>
        <w:spacing w:line="540" w:lineRule="exact"/>
        <w:rPr>
          <w:rFonts w:eastAsia="仿宋_GB2312"/>
          <w:sz w:val="30"/>
          <w:szCs w:val="30"/>
        </w:rPr>
      </w:pPr>
    </w:p>
    <w:p>
      <w:pPr>
        <w:spacing w:line="540" w:lineRule="exact"/>
        <w:ind w:firstLine="600" w:firstLineChars="200"/>
        <w:rPr>
          <w:rFonts w:eastAsia="仿宋_GB2312"/>
          <w:sz w:val="30"/>
          <w:szCs w:val="30"/>
        </w:rPr>
      </w:pPr>
      <w:r>
        <w:rPr>
          <w:rFonts w:eastAsia="仿宋_GB2312"/>
          <w:sz w:val="30"/>
          <w:szCs w:val="30"/>
        </w:rPr>
        <w:t xml:space="preserve">附：相关原始证明材料                        </w:t>
      </w:r>
    </w:p>
    <w:p>
      <w:pPr>
        <w:pStyle w:val="2"/>
        <w:spacing w:line="540" w:lineRule="exact"/>
        <w:rPr>
          <w:rFonts w:eastAsia="黑体"/>
          <w:sz w:val="30"/>
          <w:szCs w:val="30"/>
        </w:rPr>
      </w:pPr>
    </w:p>
    <w:p>
      <w:pPr>
        <w:pStyle w:val="3"/>
        <w:spacing w:line="660" w:lineRule="exact"/>
        <w:ind w:left="99" w:leftChars="47" w:firstLine="4050" w:firstLineChars="1350"/>
        <w:rPr>
          <w:rFonts w:eastAsia="仿宋_GB2312"/>
          <w:sz w:val="30"/>
          <w:szCs w:val="30"/>
        </w:rPr>
      </w:pPr>
      <w:r>
        <w:rPr>
          <w:rFonts w:eastAsia="仿宋_GB2312"/>
          <w:sz w:val="30"/>
          <w:szCs w:val="30"/>
        </w:rPr>
        <w:t xml:space="preserve">申诉人（公章）                   </w:t>
      </w:r>
    </w:p>
    <w:p>
      <w:pPr>
        <w:pStyle w:val="3"/>
        <w:spacing w:line="660" w:lineRule="exact"/>
        <w:ind w:left="99" w:leftChars="47" w:firstLine="4050" w:firstLineChars="1350"/>
        <w:rPr>
          <w:rFonts w:eastAsia="仿宋_GB2312"/>
          <w:sz w:val="30"/>
          <w:szCs w:val="30"/>
        </w:rPr>
      </w:pPr>
      <w:r>
        <w:rPr>
          <w:rFonts w:eastAsia="仿宋_GB2312"/>
          <w:sz w:val="30"/>
          <w:szCs w:val="30"/>
        </w:rPr>
        <w:t xml:space="preserve">法定代表人（签字）               </w:t>
      </w:r>
    </w:p>
    <w:p>
      <w:pPr>
        <w:pStyle w:val="3"/>
        <w:spacing w:line="660" w:lineRule="exact"/>
        <w:ind w:left="99" w:leftChars="47" w:firstLine="5180" w:firstLineChars="1850"/>
        <w:rPr>
          <w:rFonts w:eastAsia="仿宋_GB2312"/>
          <w:sz w:val="32"/>
        </w:rPr>
      </w:pPr>
      <w:r>
        <w:rPr>
          <w:rFonts w:eastAsia="仿宋_GB2312"/>
        </w:rPr>
        <w:t>年     月     日</w:t>
      </w: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spacing w:line="240" w:lineRule="exact"/>
        <w:rPr>
          <w:rFonts w:eastAsia="仿宋_GB2312"/>
          <w:sz w:val="32"/>
        </w:rPr>
      </w:pPr>
    </w:p>
    <w:p>
      <w:pPr>
        <w:spacing w:line="240" w:lineRule="exact"/>
        <w:rPr>
          <w:rFonts w:eastAsia="仿宋_GB2312"/>
          <w:sz w:val="32"/>
        </w:rPr>
      </w:pPr>
    </w:p>
    <w:p>
      <w:pPr>
        <w:rPr>
          <w:rFonts w:eastAsia="仿宋_GB2312"/>
          <w:sz w:val="32"/>
        </w:rPr>
      </w:pPr>
    </w:p>
    <w:p>
      <w:pPr>
        <w:spacing w:line="360" w:lineRule="exact"/>
        <w:rPr>
          <w:rFonts w:eastAsia="仿宋_GB2312"/>
          <w:sz w:val="32"/>
        </w:rPr>
      </w:pPr>
    </w:p>
    <w:p>
      <w:pPr>
        <w:spacing w:line="360" w:lineRule="exact"/>
        <w:rPr>
          <w:rFonts w:eastAsia="仿宋_GB2312"/>
          <w:sz w:val="32"/>
        </w:rPr>
      </w:pPr>
    </w:p>
    <w:p>
      <w:pPr>
        <w:spacing w:line="360" w:lineRule="exact"/>
        <w:rPr>
          <w:rFonts w:eastAsia="仿宋_GB2312"/>
          <w:sz w:val="32"/>
        </w:rPr>
      </w:pPr>
    </w:p>
    <w:p>
      <w:pPr>
        <w:ind w:firstLine="280" w:firstLineChars="100"/>
      </w:pPr>
      <w:r>
        <w:rPr>
          <w:rFonts w:eastAsia="仿宋_GB2312"/>
          <w:sz w:val="28"/>
          <w:szCs w:val="28"/>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12700</wp:posOffset>
                </wp:positionV>
                <wp:extent cx="5600700" cy="0"/>
                <wp:effectExtent l="9525" t="12700" r="9525" b="6350"/>
                <wp:wrapNone/>
                <wp:docPr id="3" name="Line 2"/>
                <wp:cNvGraphicFramePr/>
                <a:graphic xmlns:a="http://schemas.openxmlformats.org/drawingml/2006/main">
                  <a:graphicData uri="http://schemas.microsoft.com/office/word/2010/wordprocessingShape">
                    <wps:wsp>
                      <wps:cNvCnPr>
                        <a:cxnSpLocks noChangeShapeType="true"/>
                      </wps:cNvCnPr>
                      <wps:spPr bwMode="auto">
                        <a:xfrm>
                          <a:off x="0" y="0"/>
                          <a:ext cx="5600700" cy="0"/>
                        </a:xfrm>
                        <a:prstGeom prst="line">
                          <a:avLst/>
                        </a:prstGeom>
                        <a:noFill/>
                        <a:ln w="12700">
                          <a:solidFill>
                            <a:srgbClr val="000000"/>
                          </a:solidFill>
                          <a:round/>
                        </a:ln>
                      </wps:spPr>
                      <wps:bodyPr/>
                    </wps:wsp>
                  </a:graphicData>
                </a:graphic>
              </wp:anchor>
            </w:drawing>
          </mc:Choice>
          <mc:Fallback>
            <w:pict>
              <v:line id="Line 2" o:spid="_x0000_s1026" o:spt="20" style="position:absolute;left:0pt;margin-left:0pt;margin-top:1pt;height:0pt;width:441pt;z-index:251656192;mso-width-relative:page;mso-height-relative:page;" filled="f" stroked="t" coordsize="21600,21600" o:gfxdata="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MG8RIvSAAAABAEAAA8AAAAAAAAAAQAgAAAAOAAAAGRycy9kb3ducmV2LnhtbFBL&#10;AQIUABQAAAAIAIdO4kBAtxitrQEAAFUDAAAOAAAAAAAAAAEAIAAAADcBAABkcnMvZTJvRG9jLnht&#10;bFBLBQYAAAAABgAGAFkBAABWBQAAAAA=&#10;">
                <v:fill on="f" focussize="0,0"/>
                <v:stroke weight="1pt" color="#000000" joinstyle="round"/>
                <v:imagedata o:title=""/>
                <o:lock v:ext="edit" aspectratio="f"/>
              </v:line>
            </w:pict>
          </mc:Fallback>
        </mc:AlternateContent>
      </w:r>
      <w:r>
        <w:rPr>
          <w:rFonts w:eastAsia="仿宋_GB2312"/>
          <w:sz w:val="28"/>
          <w:szCs w:val="28"/>
        </w:rPr>
        <mc:AlternateContent>
          <mc:Choice Requires="wps">
            <w:drawing>
              <wp:anchor distT="0" distB="0" distL="114300" distR="114300" simplePos="0" relativeHeight="251657216" behindDoc="0" locked="0" layoutInCell="1" allowOverlap="1">
                <wp:simplePos x="0" y="0"/>
                <wp:positionH relativeFrom="column">
                  <wp:posOffset>-9525</wp:posOffset>
                </wp:positionH>
                <wp:positionV relativeFrom="paragraph">
                  <wp:posOffset>387985</wp:posOffset>
                </wp:positionV>
                <wp:extent cx="5610225" cy="0"/>
                <wp:effectExtent l="9525" t="6985" r="9525" b="12065"/>
                <wp:wrapNone/>
                <wp:docPr id="2" name="Line 3"/>
                <wp:cNvGraphicFramePr/>
                <a:graphic xmlns:a="http://schemas.openxmlformats.org/drawingml/2006/main">
                  <a:graphicData uri="http://schemas.microsoft.com/office/word/2010/wordprocessingShape">
                    <wps:wsp>
                      <wps:cNvCnPr>
                        <a:cxnSpLocks noChangeShapeType="true"/>
                      </wps:cNvCnPr>
                      <wps:spPr bwMode="auto">
                        <a:xfrm>
                          <a:off x="0" y="0"/>
                          <a:ext cx="5610225" cy="0"/>
                        </a:xfrm>
                        <a:prstGeom prst="line">
                          <a:avLst/>
                        </a:prstGeom>
                        <a:noFill/>
                        <a:ln w="12700">
                          <a:solidFill>
                            <a:srgbClr val="000000"/>
                          </a:solidFill>
                          <a:round/>
                        </a:ln>
                      </wps:spPr>
                      <wps:bodyPr/>
                    </wps:wsp>
                  </a:graphicData>
                </a:graphic>
              </wp:anchor>
            </w:drawing>
          </mc:Choice>
          <mc:Fallback>
            <w:pict>
              <v:line id="Line 3" o:spid="_x0000_s1026" o:spt="20" style="position:absolute;left:0pt;margin-left:-0.75pt;margin-top:30.55pt;height:0pt;width:441.75pt;z-index:251657216;mso-width-relative:page;mso-height-relative:page;" filled="f" stroked="t" coordsize="21600,21600" o:gfxdata="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D291oXXAAAACAEAAA8AAAAAAAAAAQAgAAAAOAAAAGRycy9kb3du&#10;cmV2LnhtbFBLAQIUABQAAAAIAIdO4kDqGAGgsQEAAFUDAAAOAAAAAAAAAAEAIAAAADwBAABkcnMv&#10;ZTJvRG9jLnhtbFBLBQYAAAAABgAGAFkBAABfBQAAAAA=&#10;">
                <v:fill on="f" focussize="0,0"/>
                <v:stroke weight="1pt" color="#000000" joinstyle="round"/>
                <v:imagedata o:title=""/>
                <o:lock v:ext="edit" aspectratio="f"/>
              </v:line>
            </w:pict>
          </mc:Fallback>
        </mc:AlternateContent>
      </w:r>
      <w:r>
        <w:rPr>
          <w:rFonts w:eastAsia="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12700</wp:posOffset>
                </wp:positionV>
                <wp:extent cx="5600700" cy="0"/>
                <wp:effectExtent l="9525" t="12700" r="9525" b="6350"/>
                <wp:wrapNone/>
                <wp:docPr id="1" name="Line 4"/>
                <wp:cNvGraphicFramePr/>
                <a:graphic xmlns:a="http://schemas.openxmlformats.org/drawingml/2006/main">
                  <a:graphicData uri="http://schemas.microsoft.com/office/word/2010/wordprocessingShape">
                    <wps:wsp>
                      <wps:cNvCnPr>
                        <a:cxnSpLocks noChangeShapeType="true"/>
                      </wps:cNvCnPr>
                      <wps:spPr bwMode="auto">
                        <a:xfrm>
                          <a:off x="0" y="0"/>
                          <a:ext cx="5600700" cy="0"/>
                        </a:xfrm>
                        <a:prstGeom prst="line">
                          <a:avLst/>
                        </a:prstGeom>
                        <a:noFill/>
                        <a:ln w="6350">
                          <a:solidFill>
                            <a:srgbClr val="000000"/>
                          </a:solidFill>
                          <a:round/>
                        </a:ln>
                      </wps:spPr>
                      <wps:bodyPr/>
                    </wps:wsp>
                  </a:graphicData>
                </a:graphic>
              </wp:anchor>
            </w:drawing>
          </mc:Choice>
          <mc:Fallback>
            <w:pict>
              <v:line id="Line 4" o:spid="_x0000_s1026" o:spt="20" style="position:absolute;left:0pt;margin-left:0pt;margin-top:1pt;height:0pt;width:441pt;z-index:251658240;mso-width-relative:page;mso-height-relative:page;" filled="f" stroked="t" coordsize="21600,21600" o:gfxdata="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ss6rm0AAAAAQBAAAPAAAAAAAAAAEAIAAAADgAAABkcnMvZG93bnJldi54bWxQ&#10;SwECFAAUAAAACACHTuJAhL9Z7bABAABUAwAADgAAAAAAAAABACAAAAA1AQAAZHJzL2Uyb0RvYy54&#10;bWxQSwUGAAAAAAYABgBZAQAAVwUAAAAA&#10;">
                <v:fill on="f" focussize="0,0"/>
                <v:stroke weight="0.5pt" color="#000000" joinstyle="round"/>
                <v:imagedata o:title=""/>
                <o:lock v:ext="edit" aspectratio="f"/>
              </v:line>
            </w:pict>
          </mc:Fallback>
        </mc:AlternateContent>
      </w:r>
      <w:r>
        <w:rPr>
          <w:rFonts w:eastAsia="仿宋_GB2312"/>
          <w:sz w:val="28"/>
          <w:szCs w:val="28"/>
        </w:rPr>
        <w:t xml:space="preserve">湖南省交通运输厅办公室              </w:t>
      </w:r>
      <w:r>
        <w:rPr>
          <w:rFonts w:hint="eastAsia" w:eastAsia="仿宋_GB2312"/>
          <w:sz w:val="28"/>
          <w:szCs w:val="28"/>
        </w:rPr>
        <w:t xml:space="preserve"> </w:t>
      </w:r>
      <w:r>
        <w:rPr>
          <w:rFonts w:eastAsia="仿宋_GB2312"/>
          <w:sz w:val="28"/>
          <w:szCs w:val="28"/>
        </w:rPr>
        <w:t xml:space="preserve"> 2023年12月</w:t>
      </w:r>
      <w:r>
        <w:rPr>
          <w:rFonts w:hint="eastAsia" w:eastAsia="仿宋_GB2312"/>
          <w:sz w:val="28"/>
          <w:szCs w:val="28"/>
        </w:rPr>
        <w:t>25</w:t>
      </w:r>
      <w:r>
        <w:rPr>
          <w:rFonts w:eastAsia="仿宋_GB2312"/>
          <w:sz w:val="28"/>
          <w:szCs w:val="28"/>
        </w:rPr>
        <w:t>日印发</w:t>
      </w:r>
    </w:p>
    <w:sectPr>
      <w:pgSz w:w="11906" w:h="16838"/>
      <w:pgMar w:top="2098" w:right="1588" w:bottom="1928" w:left="1588" w:header="851" w:footer="17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210" w:leftChars="100" w:right="210" w:rightChars="100"/>
      <w:rPr>
        <w:rStyle w:val="9"/>
        <w:rFonts w:ascii="宋体" w:hAnsi="宋体"/>
        <w:sz w:val="28"/>
        <w:szCs w:val="28"/>
      </w:rPr>
    </w:pPr>
    <w:r>
      <w:rPr>
        <w:rStyle w:val="9"/>
        <w:rFonts w:hint="eastAsia"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6</w:t>
    </w:r>
    <w:r>
      <w:rPr>
        <w:rStyle w:val="9"/>
        <w:rFonts w:ascii="宋体" w:hAnsi="宋体"/>
        <w:sz w:val="28"/>
        <w:szCs w:val="28"/>
      </w:rPr>
      <w:fldChar w:fldCharType="end"/>
    </w:r>
    <w:r>
      <w:rPr>
        <w:rStyle w:val="9"/>
        <w:rFonts w:hint="eastAsia" w:ascii="宋体" w:hAnsi="宋体"/>
        <w:sz w:val="28"/>
        <w:szCs w:val="28"/>
      </w:rPr>
      <w:t xml:space="preserve"> —</w:t>
    </w:r>
  </w:p>
  <w:p>
    <w:pPr>
      <w:pStyle w:val="5"/>
      <w:ind w:left="210" w:leftChars="100" w:firstLine="357"/>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A3E"/>
    <w:rsid w:val="0003174C"/>
    <w:rsid w:val="000337F0"/>
    <w:rsid w:val="00065F10"/>
    <w:rsid w:val="00073DCB"/>
    <w:rsid w:val="000A3B62"/>
    <w:rsid w:val="000E2891"/>
    <w:rsid w:val="000F6B49"/>
    <w:rsid w:val="001007A1"/>
    <w:rsid w:val="00120C68"/>
    <w:rsid w:val="001A42F3"/>
    <w:rsid w:val="001F2020"/>
    <w:rsid w:val="00202BC6"/>
    <w:rsid w:val="00203140"/>
    <w:rsid w:val="002154A1"/>
    <w:rsid w:val="00236BEB"/>
    <w:rsid w:val="00261A1F"/>
    <w:rsid w:val="00262532"/>
    <w:rsid w:val="00264672"/>
    <w:rsid w:val="00281BA4"/>
    <w:rsid w:val="002857BC"/>
    <w:rsid w:val="002C4925"/>
    <w:rsid w:val="002D36A6"/>
    <w:rsid w:val="002D4636"/>
    <w:rsid w:val="00304A8E"/>
    <w:rsid w:val="003C0482"/>
    <w:rsid w:val="003C799A"/>
    <w:rsid w:val="0040005A"/>
    <w:rsid w:val="004409FD"/>
    <w:rsid w:val="004933A9"/>
    <w:rsid w:val="004B0068"/>
    <w:rsid w:val="005007F8"/>
    <w:rsid w:val="005168D4"/>
    <w:rsid w:val="00532E36"/>
    <w:rsid w:val="0053561E"/>
    <w:rsid w:val="00536B8F"/>
    <w:rsid w:val="005508E9"/>
    <w:rsid w:val="005633B3"/>
    <w:rsid w:val="005656CC"/>
    <w:rsid w:val="0059727E"/>
    <w:rsid w:val="005A3435"/>
    <w:rsid w:val="005A4FB1"/>
    <w:rsid w:val="005C2A3E"/>
    <w:rsid w:val="005E00B3"/>
    <w:rsid w:val="00603FC8"/>
    <w:rsid w:val="00610C67"/>
    <w:rsid w:val="00617F52"/>
    <w:rsid w:val="00655723"/>
    <w:rsid w:val="00667B1A"/>
    <w:rsid w:val="00685FC2"/>
    <w:rsid w:val="0069333E"/>
    <w:rsid w:val="006A19CA"/>
    <w:rsid w:val="006E4235"/>
    <w:rsid w:val="006E4CDB"/>
    <w:rsid w:val="00701B47"/>
    <w:rsid w:val="00732A4F"/>
    <w:rsid w:val="00746634"/>
    <w:rsid w:val="00773B9F"/>
    <w:rsid w:val="007B0AB6"/>
    <w:rsid w:val="007E0BFF"/>
    <w:rsid w:val="007E0E36"/>
    <w:rsid w:val="007E4352"/>
    <w:rsid w:val="0083712A"/>
    <w:rsid w:val="00837E5B"/>
    <w:rsid w:val="00853D91"/>
    <w:rsid w:val="00890A4C"/>
    <w:rsid w:val="008953FB"/>
    <w:rsid w:val="008B3A0D"/>
    <w:rsid w:val="008B6505"/>
    <w:rsid w:val="008E2AA7"/>
    <w:rsid w:val="008E4330"/>
    <w:rsid w:val="008F1969"/>
    <w:rsid w:val="00906646"/>
    <w:rsid w:val="0090696D"/>
    <w:rsid w:val="009233F9"/>
    <w:rsid w:val="0092355E"/>
    <w:rsid w:val="00960DE9"/>
    <w:rsid w:val="009774FA"/>
    <w:rsid w:val="00987C33"/>
    <w:rsid w:val="009B031B"/>
    <w:rsid w:val="009B17D0"/>
    <w:rsid w:val="009E03C2"/>
    <w:rsid w:val="009E6447"/>
    <w:rsid w:val="009F285E"/>
    <w:rsid w:val="00A045BD"/>
    <w:rsid w:val="00A219C1"/>
    <w:rsid w:val="00A352CE"/>
    <w:rsid w:val="00A37539"/>
    <w:rsid w:val="00A406BD"/>
    <w:rsid w:val="00A82D06"/>
    <w:rsid w:val="00A845A4"/>
    <w:rsid w:val="00B05F9B"/>
    <w:rsid w:val="00B5199B"/>
    <w:rsid w:val="00B62E31"/>
    <w:rsid w:val="00B97DBD"/>
    <w:rsid w:val="00C0504B"/>
    <w:rsid w:val="00C219AC"/>
    <w:rsid w:val="00C331CD"/>
    <w:rsid w:val="00C77FAD"/>
    <w:rsid w:val="00C84C44"/>
    <w:rsid w:val="00CB2CC1"/>
    <w:rsid w:val="00D21325"/>
    <w:rsid w:val="00D678D7"/>
    <w:rsid w:val="00D81FB7"/>
    <w:rsid w:val="00DC3DAA"/>
    <w:rsid w:val="00DC5776"/>
    <w:rsid w:val="00E970B0"/>
    <w:rsid w:val="00EC3356"/>
    <w:rsid w:val="00EE7B5A"/>
    <w:rsid w:val="00F05E69"/>
    <w:rsid w:val="00F11515"/>
    <w:rsid w:val="00F16CAC"/>
    <w:rsid w:val="00F3674F"/>
    <w:rsid w:val="00F44636"/>
    <w:rsid w:val="00F75F1F"/>
    <w:rsid w:val="00FC4594"/>
    <w:rsid w:val="00FC67B6"/>
    <w:rsid w:val="00FE5FCC"/>
    <w:rsid w:val="00FF094F"/>
    <w:rsid w:val="73E66026"/>
    <w:rsid w:val="75F70169"/>
    <w:rsid w:val="9FE349DF"/>
    <w:rsid w:val="EF5EE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Salutation"/>
    <w:next w:val="1"/>
    <w:link w:val="11"/>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Closing"/>
    <w:link w:val="12"/>
    <w:qFormat/>
    <w:uiPriority w:val="0"/>
    <w:pPr>
      <w:widowControl w:val="0"/>
      <w:ind w:left="100" w:leftChars="2100"/>
      <w:jc w:val="both"/>
    </w:pPr>
    <w:rPr>
      <w:rFonts w:ascii="Times New Roman" w:hAnsi="Times New Roman" w:eastAsia="宋体" w:cs="Times New Roman"/>
      <w:kern w:val="2"/>
      <w:sz w:val="28"/>
      <w:szCs w:val="24"/>
      <w:lang w:val="en-US" w:eastAsia="zh-CN" w:bidi="ar-SA"/>
    </w:rPr>
  </w:style>
  <w:style w:type="paragraph" w:styleId="4">
    <w:name w:val="Date"/>
    <w:basedOn w:val="1"/>
    <w:next w:val="1"/>
    <w:link w:val="10"/>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日期 Char"/>
    <w:basedOn w:val="8"/>
    <w:link w:val="4"/>
    <w:qFormat/>
    <w:uiPriority w:val="0"/>
    <w:rPr>
      <w:kern w:val="2"/>
      <w:sz w:val="21"/>
      <w:szCs w:val="24"/>
    </w:rPr>
  </w:style>
  <w:style w:type="character" w:customStyle="1" w:styleId="11">
    <w:name w:val="称呼 Char"/>
    <w:basedOn w:val="8"/>
    <w:link w:val="2"/>
    <w:qFormat/>
    <w:uiPriority w:val="0"/>
    <w:rPr>
      <w:kern w:val="2"/>
      <w:sz w:val="28"/>
      <w:szCs w:val="24"/>
    </w:rPr>
  </w:style>
  <w:style w:type="character" w:customStyle="1" w:styleId="12">
    <w:name w:val="结束语 Char"/>
    <w:basedOn w:val="8"/>
    <w:link w:val="3"/>
    <w:qFormat/>
    <w:uiPriority w:val="0"/>
    <w:rPr>
      <w:kern w:val="2"/>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E:\2023\&#27169;&#29256;\&#34892;&#25919;&#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行政文.dot</Template>
  <Company>微软中国</Company>
  <Pages>36</Pages>
  <Words>3839</Words>
  <Characters>21888</Characters>
  <Lines>182</Lines>
  <Paragraphs>51</Paragraphs>
  <TotalTime>40</TotalTime>
  <ScaleCrop>false</ScaleCrop>
  <LinksUpToDate>false</LinksUpToDate>
  <CharactersWithSpaces>25676</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2023-12-12T17:26:00Z</dcterms:created>
  <dc:creator>文印</dc:creator>
  <cp:lastModifiedBy>greatwall</cp:lastModifiedBy>
  <cp:lastPrinted>2023-12-25T10:25:00Z</cp:lastPrinted>
  <dcterms:modified xsi:type="dcterms:W3CDTF">2023-12-26T16:24:56Z</dcterms:modified>
  <dc:title>湘交〔2012〕号</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C41EA45595B1437271F8846595C61276</vt:lpwstr>
  </property>
</Properties>
</file>