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民政局（本级）</w:t>
      </w:r>
      <w:r>
        <w:rPr>
          <w:rFonts w:hint="eastAsia" w:ascii="方正小标宋简体" w:hAnsi="方正小标宋简体" w:eastAsia="方正小标宋简体" w:cs="方正小标宋简体"/>
          <w:sz w:val="44"/>
          <w:szCs w:val="44"/>
        </w:rPr>
        <w:t>整体支出绩效</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评价基础数据表</w:t>
      </w:r>
    </w:p>
    <w:tbl>
      <w:tblPr>
        <w:tblStyle w:val="5"/>
        <w:tblW w:w="4996" w:type="pct"/>
        <w:jc w:val="center"/>
        <w:tblLayout w:type="autofit"/>
        <w:tblCellMar>
          <w:top w:w="0" w:type="dxa"/>
          <w:left w:w="108" w:type="dxa"/>
          <w:bottom w:w="0" w:type="dxa"/>
          <w:right w:w="108" w:type="dxa"/>
        </w:tblCellMar>
      </w:tblPr>
      <w:tblGrid>
        <w:gridCol w:w="2951"/>
        <w:gridCol w:w="1794"/>
        <w:gridCol w:w="2235"/>
        <w:gridCol w:w="1535"/>
      </w:tblGrid>
      <w:tr>
        <w:tblPrEx>
          <w:tblCellMar>
            <w:top w:w="0" w:type="dxa"/>
            <w:left w:w="108" w:type="dxa"/>
            <w:bottom w:w="0" w:type="dxa"/>
            <w:right w:w="108" w:type="dxa"/>
          </w:tblCellMar>
        </w:tblPrEx>
        <w:trPr>
          <w:trHeight w:val="539" w:hRule="atLeast"/>
          <w:jc w:val="center"/>
        </w:trPr>
        <w:tc>
          <w:tcPr>
            <w:tcW w:w="173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财政供养人员情况（人）</w:t>
            </w: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编制数</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年实际在职人数</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控制率</w:t>
            </w:r>
          </w:p>
        </w:tc>
      </w:tr>
      <w:tr>
        <w:tblPrEx>
          <w:tblCellMar>
            <w:top w:w="0" w:type="dxa"/>
            <w:left w:w="108" w:type="dxa"/>
            <w:bottom w:w="0" w:type="dxa"/>
            <w:right w:w="108" w:type="dxa"/>
          </w:tblCellMar>
        </w:tblPrEx>
        <w:trPr>
          <w:trHeight w:val="539" w:hRule="atLeast"/>
          <w:jc w:val="center"/>
        </w:trPr>
        <w:tc>
          <w:tcPr>
            <w:tcW w:w="173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61</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59</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96.7%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经费控制情况（万元）</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2021年决算数</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年预算数</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年决算数</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一、基本支出：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1622.21</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661.6</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1724.84</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其中：</w:t>
            </w:r>
            <w:r>
              <w:rPr>
                <w:rFonts w:hint="eastAsia" w:ascii="新宋体" w:hAnsi="新宋体" w:eastAsia="新宋体" w:cs="新宋体"/>
                <w:sz w:val="21"/>
                <w:szCs w:val="21"/>
              </w:rPr>
              <w:t>三公经费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9.65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5.96</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5.06</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公务用车购置和维护经费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8.12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其中：公车购置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公车运行维护</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8.12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3.31</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出国经费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公务接待</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1.53</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2.65</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0.06</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二、</w:t>
            </w:r>
            <w:r>
              <w:rPr>
                <w:rFonts w:hint="eastAsia" w:ascii="新宋体" w:hAnsi="新宋体" w:eastAsia="新宋体" w:cs="新宋体"/>
                <w:sz w:val="21"/>
                <w:szCs w:val="21"/>
              </w:rPr>
              <w:t>项目支出：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23459.63</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2697.53</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.其他优抚支出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.其他一般公共服务</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3.儿童福利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320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250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4.殡葬</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809.6</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5.残疾人生活和护理补贴</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1328.38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1349.8</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6.城市最低生活保障金支出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7.农村最低生活保障金支出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8.临时救助支出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14.82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0.34</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9.流浪乞讨人员救助支出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114</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10.城市特困人员救助供养支出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15.71</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26.74</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11.农村特困人员救助供养支出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639.59</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206.67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12.其他农村生活救助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16.5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13.公墓建设</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20000</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14.福利彩票销售机构的业务费支出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8.95</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24.61</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15.用于社会福利的彩票公益金支出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103.07</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97.9</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16.其他支出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16.8</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17.其他民政管理事务</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351.15</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18.老年福利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3.3</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19.其他社会福利</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47</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20.殡仪馆建设</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color w:val="000000" w:themeColor="text1"/>
                <w:sz w:val="21"/>
                <w:szCs w:val="21"/>
                <w:lang w:val="en-US" w:eastAsia="zh-CN"/>
                <w14:textFill>
                  <w14:solidFill>
                    <w14:schemeClr w14:val="tx1"/>
                  </w14:solidFill>
                </w14:textFill>
              </w:rPr>
            </w:pPr>
            <w:r>
              <w:rPr>
                <w:rFonts w:hint="eastAsia" w:ascii="新宋体" w:hAnsi="新宋体" w:eastAsia="新宋体" w:cs="新宋体"/>
                <w:color w:val="000000" w:themeColor="text1"/>
                <w:sz w:val="21"/>
                <w:szCs w:val="21"/>
                <w:lang w:val="en-US" w:eastAsia="zh-CN"/>
                <w14:textFill>
                  <w14:solidFill>
                    <w14:schemeClr w14:val="tx1"/>
                  </w14:solidFill>
                </w14:textFill>
              </w:rPr>
              <w:t>340</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厉行节约保障措施</w:t>
            </w:r>
          </w:p>
        </w:tc>
        <w:tc>
          <w:tcPr>
            <w:tcW w:w="3266" w:type="pct"/>
            <w:gridSpan w:val="3"/>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left"/>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严格财务管理制度，严格按中央“八项”规定，控制一般性支出，按预算支出管理。</w:t>
            </w:r>
          </w:p>
        </w:tc>
      </w:tr>
    </w:tbl>
    <w:p>
      <w:pPr>
        <w:widowControl/>
        <w:spacing w:afterLines="0" w:line="400" w:lineRule="exact"/>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说明：</w:t>
      </w:r>
      <w:r>
        <w:rPr>
          <w:rFonts w:hint="eastAsia" w:ascii="新宋体" w:hAnsi="新宋体" w:eastAsia="新宋体" w:cs="新宋体"/>
          <w:sz w:val="21"/>
          <w:szCs w:val="21"/>
          <w:lang w:eastAsia="zh-CN"/>
        </w:rPr>
        <w:t>以上数据均来源于</w:t>
      </w:r>
      <w:r>
        <w:rPr>
          <w:rFonts w:hint="eastAsia" w:ascii="新宋体" w:hAnsi="新宋体" w:eastAsia="新宋体" w:cs="新宋体"/>
          <w:sz w:val="21"/>
          <w:szCs w:val="21"/>
          <w:lang w:val="en-US" w:eastAsia="zh-CN"/>
        </w:rPr>
        <w:t>部门决算报表，其中</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基本支出</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数据参照基本支出决算明细表（财决</w:t>
      </w:r>
      <w:r>
        <w:rPr>
          <w:rFonts w:hint="eastAsia" w:ascii="新宋体" w:hAnsi="新宋体" w:eastAsia="新宋体" w:cs="新宋体"/>
          <w:sz w:val="21"/>
          <w:szCs w:val="21"/>
          <w:lang w:val="en-US" w:eastAsia="zh-CN"/>
        </w:rPr>
        <w:t>05-1表</w:t>
      </w:r>
      <w:r>
        <w:rPr>
          <w:rFonts w:hint="eastAsia" w:ascii="新宋体" w:hAnsi="新宋体" w:eastAsia="新宋体" w:cs="新宋体"/>
          <w:sz w:val="21"/>
          <w:szCs w:val="21"/>
          <w:lang w:eastAsia="zh-CN"/>
        </w:rPr>
        <w:t>）；“三公经费”数据参照机构运行信息表（财决附</w:t>
      </w:r>
      <w:r>
        <w:rPr>
          <w:rFonts w:hint="eastAsia" w:ascii="新宋体" w:hAnsi="新宋体" w:eastAsia="新宋体" w:cs="新宋体"/>
          <w:sz w:val="21"/>
          <w:szCs w:val="21"/>
          <w:lang w:val="en-US" w:eastAsia="zh-CN"/>
        </w:rPr>
        <w:t>03表</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“项目支出”</w:t>
      </w:r>
      <w:r>
        <w:rPr>
          <w:rFonts w:hint="eastAsia" w:ascii="新宋体" w:hAnsi="新宋体" w:eastAsia="新宋体" w:cs="新宋体"/>
          <w:sz w:val="21"/>
          <w:szCs w:val="21"/>
          <w:lang w:eastAsia="zh-CN"/>
        </w:rPr>
        <w:t>数据参照项目支出决算明细表（财决</w:t>
      </w:r>
      <w:r>
        <w:rPr>
          <w:rFonts w:hint="eastAsia" w:ascii="新宋体" w:hAnsi="新宋体" w:eastAsia="新宋体" w:cs="新宋体"/>
          <w:sz w:val="21"/>
          <w:szCs w:val="21"/>
          <w:lang w:val="en-US" w:eastAsia="zh-CN"/>
        </w:rPr>
        <w:t>05-2表</w:t>
      </w:r>
      <w:r>
        <w:rPr>
          <w:rFonts w:hint="eastAsia" w:ascii="新宋体" w:hAnsi="新宋体" w:eastAsia="新宋体" w:cs="新宋体"/>
          <w:sz w:val="21"/>
          <w:szCs w:val="21"/>
          <w:lang w:eastAsia="zh-CN"/>
        </w:rPr>
        <w:t>）。</w:t>
      </w:r>
    </w:p>
    <w:p>
      <w:pPr>
        <w:widowControl/>
        <w:spacing w:after="0" w:afterLines="0" w:line="400" w:lineRule="exact"/>
        <w:jc w:val="left"/>
        <w:rPr>
          <w:rFonts w:hint="default" w:ascii="Times New Roman" w:hAnsi="Times New Roman" w:eastAsia="仿宋_GB2312" w:cs="Times New Roman"/>
          <w:sz w:val="22"/>
        </w:rPr>
      </w:pPr>
    </w:p>
    <w:p>
      <w:pPr>
        <w:rPr>
          <w:rFonts w:hint="eastAsia"/>
          <w:lang w:val="en-US" w:eastAsia="zh-CN"/>
        </w:rPr>
      </w:pPr>
      <w:r>
        <w:rPr>
          <w:rFonts w:hint="default" w:ascii="Times New Roman" w:hAnsi="Times New Roman" w:eastAsia="仿宋_GB2312" w:cs="Times New Roman"/>
          <w:sz w:val="22"/>
        </w:rPr>
        <w:t>填表人：        填报日期：          联系电话：            单位负责人签字：</w:t>
      </w:r>
      <w:r>
        <w:rPr>
          <w:rFonts w:hint="default" w:ascii="Times New Roman" w:hAnsi="Times New Roman" w:eastAsia="仿宋_GB2312" w:cs="Times New Roman"/>
          <w:sz w:val="22"/>
        </w:rPr>
        <w:br w:type="page"/>
      </w:r>
    </w:p>
    <w:p>
      <w:pPr>
        <w:pStyle w:val="2"/>
        <w:rPr>
          <w:rFonts w:hint="eastAsia"/>
          <w:lang w:val="en-US" w:eastAsia="zh-CN"/>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民政局（本级）</w:t>
      </w:r>
      <w:r>
        <w:rPr>
          <w:rFonts w:hint="eastAsia" w:ascii="方正小标宋简体" w:hAnsi="方正小标宋简体" w:eastAsia="方正小标宋简体" w:cs="方正小标宋简体"/>
          <w:sz w:val="44"/>
          <w:szCs w:val="44"/>
        </w:rPr>
        <w:t>整体支出</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绩效自评表</w:t>
      </w:r>
    </w:p>
    <w:tbl>
      <w:tblPr>
        <w:tblStyle w:val="5"/>
        <w:tblW w:w="4997" w:type="pct"/>
        <w:jc w:val="center"/>
        <w:tblLayout w:type="fixed"/>
        <w:tblCellMar>
          <w:top w:w="0" w:type="dxa"/>
          <w:left w:w="108" w:type="dxa"/>
          <w:bottom w:w="0" w:type="dxa"/>
          <w:right w:w="108" w:type="dxa"/>
        </w:tblCellMar>
      </w:tblPr>
      <w:tblGrid>
        <w:gridCol w:w="1007"/>
        <w:gridCol w:w="807"/>
        <w:gridCol w:w="796"/>
        <w:gridCol w:w="969"/>
        <w:gridCol w:w="1070"/>
        <w:gridCol w:w="928"/>
        <w:gridCol w:w="540"/>
        <w:gridCol w:w="938"/>
        <w:gridCol w:w="1461"/>
      </w:tblGrid>
      <w:tr>
        <w:tblPrEx>
          <w:tblCellMar>
            <w:top w:w="0" w:type="dxa"/>
            <w:left w:w="108" w:type="dxa"/>
            <w:bottom w:w="0" w:type="dxa"/>
            <w:right w:w="108" w:type="dxa"/>
          </w:tblCellMar>
        </w:tblPrEx>
        <w:trPr>
          <w:trHeight w:val="1003" w:hRule="atLeast"/>
          <w:jc w:val="center"/>
        </w:trPr>
        <w:tc>
          <w:tcPr>
            <w:tcW w:w="5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县</w:t>
            </w:r>
            <w:r>
              <w:rPr>
                <w:rFonts w:hint="eastAsia" w:ascii="新宋体" w:hAnsi="新宋体" w:eastAsia="新宋体" w:cs="新宋体"/>
                <w:color w:val="000000"/>
                <w:sz w:val="21"/>
                <w:szCs w:val="21"/>
              </w:rPr>
              <w:t>级预算部门名称</w:t>
            </w:r>
          </w:p>
        </w:tc>
        <w:tc>
          <w:tcPr>
            <w:tcW w:w="4409" w:type="pct"/>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华容县民政局</w:t>
            </w:r>
          </w:p>
        </w:tc>
      </w:tr>
      <w:tr>
        <w:tblPrEx>
          <w:tblCellMar>
            <w:top w:w="0" w:type="dxa"/>
            <w:left w:w="108" w:type="dxa"/>
            <w:bottom w:w="0" w:type="dxa"/>
            <w:right w:w="108" w:type="dxa"/>
          </w:tblCellMar>
        </w:tblPrEx>
        <w:trPr>
          <w:trHeight w:val="863" w:hRule="atLeast"/>
          <w:jc w:val="center"/>
        </w:trPr>
        <w:tc>
          <w:tcPr>
            <w:tcW w:w="590" w:type="pct"/>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lang w:eastAsia="zh-CN"/>
              </w:rPr>
            </w:pPr>
            <w:r>
              <w:rPr>
                <w:rFonts w:hint="eastAsia" w:ascii="新宋体" w:hAnsi="新宋体" w:eastAsia="新宋体" w:cs="新宋体"/>
                <w:i w:val="0"/>
                <w:iCs w:val="0"/>
                <w:color w:val="000000"/>
                <w:sz w:val="21"/>
                <w:szCs w:val="21"/>
              </w:rPr>
              <w:t>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（万元）</w:t>
            </w:r>
          </w:p>
        </w:tc>
        <w:tc>
          <w:tcPr>
            <w:tcW w:w="940"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年初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执行数</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分值</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执行率</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得分</w:t>
            </w:r>
          </w:p>
        </w:tc>
      </w:tr>
      <w:tr>
        <w:tblPrEx>
          <w:tblCellMar>
            <w:top w:w="0" w:type="dxa"/>
            <w:left w:w="108" w:type="dxa"/>
            <w:bottom w:w="0" w:type="dxa"/>
            <w:right w:w="108" w:type="dxa"/>
          </w:tblCellMar>
        </w:tblPrEx>
        <w:trPr>
          <w:trHeight w:val="584" w:hRule="atLeast"/>
          <w:jc w:val="center"/>
        </w:trPr>
        <w:tc>
          <w:tcPr>
            <w:tcW w:w="590" w:type="pct"/>
            <w:vMerge w:val="continue"/>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940"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color w:val="000000"/>
                <w:sz w:val="21"/>
                <w:szCs w:val="21"/>
              </w:rPr>
              <w:t>年度资金总额</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661.6</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4422.37</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i w:val="0"/>
                <w:iCs w:val="0"/>
                <w:sz w:val="21"/>
                <w:szCs w:val="21"/>
                <w:lang w:val="en-US" w:eastAsia="zh-CN"/>
              </w:rPr>
              <w:t>4422.37</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10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按收入性质分：</w:t>
            </w:r>
          </w:p>
        </w:tc>
        <w:tc>
          <w:tcPr>
            <w:tcW w:w="227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按支出性质分：</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其中：</w:t>
            </w:r>
            <w:r>
              <w:rPr>
                <w:rFonts w:hint="eastAsia" w:ascii="新宋体" w:hAnsi="新宋体" w:eastAsia="新宋体" w:cs="新宋体"/>
                <w:i w:val="0"/>
                <w:iCs w:val="0"/>
                <w:color w:val="000000"/>
                <w:sz w:val="21"/>
                <w:szCs w:val="21"/>
                <w:lang w:val="en-US" w:eastAsia="zh-CN"/>
              </w:rPr>
              <w:t xml:space="preserve">  </w:t>
            </w:r>
            <w:r>
              <w:rPr>
                <w:rFonts w:hint="eastAsia" w:ascii="新宋体" w:hAnsi="新宋体" w:eastAsia="新宋体" w:cs="新宋体"/>
                <w:i w:val="0"/>
                <w:iCs w:val="0"/>
                <w:color w:val="000000"/>
                <w:sz w:val="21"/>
                <w:szCs w:val="21"/>
              </w:rPr>
              <w:t>一般公共预算：</w:t>
            </w:r>
            <w:r>
              <w:rPr>
                <w:rFonts w:hint="eastAsia" w:ascii="新宋体" w:hAnsi="新宋体" w:eastAsia="新宋体" w:cs="新宋体"/>
                <w:i w:val="0"/>
                <w:iCs w:val="0"/>
                <w:color w:val="000000"/>
                <w:sz w:val="21"/>
                <w:szCs w:val="21"/>
                <w:lang w:val="en-US" w:eastAsia="zh-CN"/>
              </w:rPr>
              <w:t>4299.84</w:t>
            </w:r>
          </w:p>
        </w:tc>
        <w:tc>
          <w:tcPr>
            <w:tcW w:w="227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其中：基本支出：</w:t>
            </w:r>
            <w:r>
              <w:rPr>
                <w:rFonts w:hint="eastAsia" w:ascii="新宋体" w:hAnsi="新宋体" w:eastAsia="新宋体" w:cs="新宋体"/>
                <w:color w:val="000000"/>
                <w:sz w:val="21"/>
                <w:szCs w:val="21"/>
                <w:lang w:val="en-US" w:eastAsia="zh-CN"/>
              </w:rPr>
              <w:t>1724.84</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政府性基金拨款：</w:t>
            </w:r>
            <w:r>
              <w:rPr>
                <w:rFonts w:hint="eastAsia" w:ascii="新宋体" w:hAnsi="新宋体" w:eastAsia="新宋体" w:cs="新宋体"/>
                <w:i w:val="0"/>
                <w:iCs w:val="0"/>
                <w:color w:val="000000"/>
                <w:sz w:val="21"/>
                <w:szCs w:val="21"/>
                <w:lang w:val="en-US" w:eastAsia="zh-CN"/>
              </w:rPr>
              <w:t>122.52</w:t>
            </w:r>
          </w:p>
        </w:tc>
        <w:tc>
          <w:tcPr>
            <w:tcW w:w="227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项目支出：</w:t>
            </w:r>
            <w:r>
              <w:rPr>
                <w:rFonts w:hint="eastAsia" w:ascii="新宋体" w:hAnsi="新宋体" w:eastAsia="新宋体" w:cs="新宋体"/>
                <w:color w:val="000000"/>
                <w:sz w:val="21"/>
                <w:szCs w:val="21"/>
                <w:lang w:val="en-US" w:eastAsia="zh-CN"/>
              </w:rPr>
              <w:t>2697.53</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纳入专户管理的非税收入拨款：</w:t>
            </w:r>
          </w:p>
        </w:tc>
        <w:tc>
          <w:tcPr>
            <w:tcW w:w="227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13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1260" w:firstLineChars="60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其他资金：</w:t>
            </w:r>
          </w:p>
        </w:tc>
        <w:tc>
          <w:tcPr>
            <w:tcW w:w="2271"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jc w:val="center"/>
        </w:trPr>
        <w:tc>
          <w:tcPr>
            <w:tcW w:w="590"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总体目标</w:t>
            </w:r>
          </w:p>
        </w:tc>
        <w:tc>
          <w:tcPr>
            <w:tcW w:w="2138"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预期目标</w:t>
            </w:r>
          </w:p>
        </w:tc>
        <w:tc>
          <w:tcPr>
            <w:tcW w:w="2271"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实际完成情况　</w:t>
            </w:r>
          </w:p>
        </w:tc>
      </w:tr>
      <w:tr>
        <w:tblPrEx>
          <w:tblCellMar>
            <w:top w:w="0" w:type="dxa"/>
            <w:left w:w="108" w:type="dxa"/>
            <w:bottom w:w="0" w:type="dxa"/>
            <w:right w:w="108" w:type="dxa"/>
          </w:tblCellMar>
        </w:tblPrEx>
        <w:trPr>
          <w:trHeight w:val="6541" w:hRule="atLeast"/>
          <w:jc w:val="center"/>
        </w:trPr>
        <w:tc>
          <w:tcPr>
            <w:tcW w:w="590"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2138"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lang w:val="en-US" w:eastAsia="zh-CN"/>
              </w:rPr>
            </w:pPr>
            <w:r>
              <w:rPr>
                <w:rFonts w:hint="default"/>
                <w:lang w:val="en-US" w:eastAsia="zh-CN"/>
              </w:rPr>
              <w:t>规范城乡低保</w:t>
            </w:r>
            <w:r>
              <w:rPr>
                <w:rFonts w:hint="eastAsia"/>
                <w:lang w:val="en-US" w:eastAsia="zh-CN"/>
              </w:rPr>
              <w:t>、城乡特困供养、临时救助、孤儿、流浪乞讨救助</w:t>
            </w:r>
            <w:r>
              <w:rPr>
                <w:rFonts w:hint="default"/>
                <w:lang w:val="en-US" w:eastAsia="zh-CN"/>
              </w:rPr>
              <w:t>政策实施，合理确定保障标准，使</w:t>
            </w:r>
            <w:r>
              <w:rPr>
                <w:rFonts w:hint="eastAsia"/>
                <w:lang w:val="en-US" w:eastAsia="zh-CN"/>
              </w:rPr>
              <w:t>救助</w:t>
            </w:r>
            <w:r>
              <w:rPr>
                <w:rFonts w:hint="default"/>
                <w:lang w:val="en-US" w:eastAsia="zh-CN"/>
              </w:rPr>
              <w:t>对象基本生活得到有效保障</w:t>
            </w:r>
            <w:r>
              <w:rPr>
                <w:rFonts w:hint="eastAsia"/>
                <w:lang w:val="en-US" w:eastAsia="zh-CN"/>
              </w:rPr>
              <w:t>；</w:t>
            </w:r>
          </w:p>
          <w:p>
            <w:pPr>
              <w:pStyle w:val="2"/>
              <w:keepNext w:val="0"/>
              <w:keepLines w:val="0"/>
              <w:numPr>
                <w:ilvl w:val="0"/>
                <w:numId w:val="1"/>
              </w:numPr>
              <w:suppressLineNumbers w:val="0"/>
              <w:spacing w:before="0" w:beforeAutospacing="0" w:after="0" w:afterAutospacing="0"/>
              <w:ind w:left="0" w:right="0"/>
              <w:rPr>
                <w:rFonts w:hint="eastAsia"/>
                <w:lang w:val="en-US" w:eastAsia="zh-CN"/>
              </w:rPr>
            </w:pPr>
            <w:r>
              <w:rPr>
                <w:rFonts w:hint="eastAsia"/>
                <w:lang w:val="en-US" w:eastAsia="zh-CN"/>
              </w:rPr>
              <w:t>加强社工站建设，加强基层民政服务能力建设；</w:t>
            </w:r>
          </w:p>
          <w:p>
            <w:pPr>
              <w:keepNext w:val="0"/>
              <w:keepLines w:val="0"/>
              <w:numPr>
                <w:ilvl w:val="0"/>
                <w:numId w:val="1"/>
              </w:numPr>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加强社会组织监管；</w:t>
            </w:r>
          </w:p>
          <w:p>
            <w:pPr>
              <w:pStyle w:val="2"/>
              <w:keepNext w:val="0"/>
              <w:keepLines w:val="0"/>
              <w:numPr>
                <w:ilvl w:val="0"/>
                <w:numId w:val="1"/>
              </w:numPr>
              <w:suppressLineNumbers w:val="0"/>
              <w:spacing w:before="0" w:beforeAutospacing="0" w:after="0" w:afterAutospacing="0"/>
              <w:ind w:left="0" w:leftChars="0" w:right="0" w:firstLine="0" w:firstLineChars="0"/>
              <w:rPr>
                <w:rFonts w:hint="default"/>
                <w:lang w:val="en-US" w:eastAsia="zh-CN"/>
              </w:rPr>
            </w:pPr>
            <w:r>
              <w:rPr>
                <w:rFonts w:hint="eastAsia"/>
                <w:lang w:val="en-US" w:eastAsia="zh-CN"/>
              </w:rPr>
              <w:t>提高养老服务质量；</w:t>
            </w:r>
          </w:p>
          <w:p>
            <w:pPr>
              <w:keepNext w:val="0"/>
              <w:keepLines w:val="0"/>
              <w:numPr>
                <w:ilvl w:val="0"/>
                <w:numId w:val="1"/>
              </w:numPr>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稳步推进殡葬改革；</w:t>
            </w:r>
          </w:p>
          <w:p>
            <w:pPr>
              <w:pStyle w:val="2"/>
              <w:keepNext w:val="0"/>
              <w:keepLines w:val="0"/>
              <w:numPr>
                <w:ilvl w:val="0"/>
                <w:numId w:val="1"/>
              </w:numPr>
              <w:suppressLineNumbers w:val="0"/>
              <w:spacing w:before="0" w:beforeAutospacing="0" w:after="0" w:afterAutospacing="0"/>
              <w:ind w:left="0" w:leftChars="0" w:right="0" w:firstLine="0" w:firstLineChars="0"/>
              <w:rPr>
                <w:rFonts w:hint="default"/>
                <w:lang w:val="en-US" w:eastAsia="zh-CN"/>
              </w:rPr>
            </w:pPr>
            <w:r>
              <w:rPr>
                <w:rFonts w:hint="eastAsia"/>
                <w:lang w:val="en-US" w:eastAsia="zh-CN"/>
              </w:rPr>
              <w:t>有效巩固基层政权。</w:t>
            </w:r>
          </w:p>
        </w:tc>
        <w:tc>
          <w:tcPr>
            <w:tcW w:w="2271"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lang w:val="en-US" w:eastAsia="zh-CN"/>
              </w:rPr>
            </w:pPr>
            <w:r>
              <w:rPr>
                <w:rFonts w:hint="eastAsia"/>
                <w:lang w:val="en-US" w:eastAsia="zh-CN"/>
              </w:rPr>
              <w:t>合理保障各类救助对象保障标准，使救助对象基本生活得以有效保障，</w:t>
            </w:r>
            <w:r>
              <w:rPr>
                <w:rFonts w:hint="default"/>
                <w:lang w:val="en-US" w:eastAsia="zh-CN"/>
              </w:rPr>
              <w:t>为生活无着的流浪乞讨人员提供临时食宿、疾病救治、协助返回等救助，并妥善安置返乡受助人员</w:t>
            </w:r>
            <w:r>
              <w:rPr>
                <w:rFonts w:hint="eastAsia"/>
                <w:lang w:val="en-US" w:eastAsia="zh-CN"/>
              </w:rPr>
              <w:t>；</w:t>
            </w:r>
            <w:r>
              <w:rPr>
                <w:rFonts w:hint="default"/>
                <w:lang w:val="en-US" w:eastAsia="zh-CN"/>
              </w:rPr>
              <w:t>规范实施农村留守儿童关爱服务和困境儿童保障相关政策，使农村留守儿童和困境儿童得到更加精准的专业服务和基本生活保障</w:t>
            </w:r>
            <w:r>
              <w:rPr>
                <w:rFonts w:hint="eastAsia"/>
                <w:lang w:val="en-US" w:eastAsia="zh-CN"/>
              </w:rPr>
              <w:t>；</w:t>
            </w:r>
            <w:r>
              <w:rPr>
                <w:rFonts w:hint="default"/>
                <w:lang w:val="en-US" w:eastAsia="zh-CN"/>
              </w:rPr>
              <w:t>提高孤儿生活保障水平，孤儿生活保障政策规范高效实施；使孤儿、艾滋病病毒感染儿童和事实无人抚养儿童基本生活得到保障</w:t>
            </w:r>
            <w:r>
              <w:rPr>
                <w:rFonts w:hint="eastAsia"/>
                <w:lang w:val="en-US" w:eastAsia="zh-CN"/>
              </w:rPr>
              <w:t>；</w:t>
            </w:r>
          </w:p>
          <w:p>
            <w:pPr>
              <w:pStyle w:val="2"/>
              <w:keepNext w:val="0"/>
              <w:keepLines w:val="0"/>
              <w:numPr>
                <w:ilvl w:val="0"/>
                <w:numId w:val="2"/>
              </w:numPr>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通过第三方社会组织招聘社工充实到各乡镇社工站，为基层群众提供了更加方便、快捷、优质的社会救助和民政其它领域的社会工作服务；</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lang w:val="en-US" w:eastAsia="zh-CN"/>
              </w:rPr>
            </w:pPr>
            <w:r>
              <w:rPr>
                <w:rFonts w:hint="eastAsia"/>
                <w:lang w:val="en-US" w:eastAsia="zh-CN"/>
              </w:rPr>
              <w:t>对全县各社会组织开展了年度检查，涉检组织共74家，加快推进社会建设和社会管理，激化社会活力，促进社会公平；</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lang w:val="en-US" w:eastAsia="zh-CN"/>
              </w:rPr>
            </w:pPr>
            <w:r>
              <w:rPr>
                <w:rFonts w:hint="eastAsia"/>
                <w:lang w:val="en-US" w:eastAsia="zh-CN"/>
              </w:rPr>
              <w:t>百岁老人保健费、失能老人基本服务补贴、高龄补贴等优待政策全面落实。</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lang w:val="en-US" w:eastAsia="zh-CN"/>
              </w:rPr>
            </w:pPr>
            <w:r>
              <w:rPr>
                <w:rFonts w:hint="eastAsia"/>
                <w:lang w:val="en-US" w:eastAsia="zh-CN"/>
              </w:rPr>
              <w:t>科学统筹推进城乡殡葬服务设施建设</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lang w:val="en-US" w:eastAsia="zh-CN"/>
              </w:rPr>
            </w:pPr>
            <w:r>
              <w:rPr>
                <w:rFonts w:hint="eastAsia"/>
                <w:lang w:val="en-US" w:eastAsia="zh-CN"/>
              </w:rPr>
              <w:t>积极指导城乡社区争创省级和谐示范社区、省级农村幸福社区、市级美丽社区。</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p>
            <w:pPr>
              <w:pStyle w:val="2"/>
              <w:keepNext w:val="0"/>
              <w:keepLines w:val="0"/>
              <w:suppressLineNumbers w:val="0"/>
              <w:spacing w:before="0" w:beforeAutospacing="0" w:after="0" w:afterAutospacing="0"/>
              <w:ind w:left="0" w:right="0"/>
              <w:rPr>
                <w:rFonts w:hint="eastAsia"/>
                <w:lang w:val="en-US" w:eastAsia="zh-CN"/>
              </w:rPr>
            </w:pPr>
          </w:p>
        </w:tc>
      </w:tr>
      <w:tr>
        <w:tblPrEx>
          <w:tblCellMar>
            <w:top w:w="0" w:type="dxa"/>
            <w:left w:w="108" w:type="dxa"/>
            <w:bottom w:w="0" w:type="dxa"/>
            <w:right w:w="108" w:type="dxa"/>
          </w:tblCellMar>
        </w:tblPrEx>
        <w:trPr>
          <w:trHeight w:val="850" w:hRule="atLeast"/>
          <w:jc w:val="center"/>
        </w:trPr>
        <w:tc>
          <w:tcPr>
            <w:tcW w:w="5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(50分)</w:t>
            </w:r>
          </w:p>
        </w:tc>
        <w:tc>
          <w:tcPr>
            <w:tcW w:w="4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Times New Roman" w:hAnsi="Times New Roman" w:cs="Times New Roman" w:eastAsiaTheme="minorEastAsia"/>
                <w:color w:val="000000"/>
                <w:kern w:val="0"/>
                <w:sz w:val="21"/>
                <w:szCs w:val="21"/>
                <w:lang w:val="en-US" w:eastAsia="zh-CN" w:bidi="ar"/>
              </w:rPr>
              <w:t>救助</w:t>
            </w:r>
            <w:r>
              <w:rPr>
                <w:rFonts w:hint="default" w:ascii="Times New Roman" w:hAnsi="Times New Roman" w:cs="Times New Roman" w:eastAsiaTheme="minorEastAsia"/>
                <w:color w:val="000000"/>
                <w:kern w:val="0"/>
                <w:sz w:val="21"/>
                <w:szCs w:val="21"/>
                <w:lang w:val="en-US" w:eastAsia="zh-CN" w:bidi="ar"/>
              </w:rPr>
              <w:t>对象人数</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应保尽保、应救尽救</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应保尽保、应救尽救</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孤儿、艾滋病病毒感染儿童、生活困难家庭中的和纳入特困人员救助供养范围的事实无人抚养儿童纳入保障范围率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4</w:t>
            </w: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1276"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农村留守儿童、困境儿童纳入监测范围率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≥85%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85%</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城乡低保标准</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农村</w:t>
            </w:r>
            <w:r>
              <w:rPr>
                <w:rFonts w:hint="eastAsia" w:ascii="新宋体" w:hAnsi="新宋体" w:eastAsia="新宋体" w:cs="新宋体"/>
                <w:color w:val="000000"/>
                <w:sz w:val="21"/>
                <w:szCs w:val="21"/>
                <w:lang w:val="en-US" w:eastAsia="zh-CN"/>
              </w:rPr>
              <w:t>416元/月.人；城镇650元/月.人</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农村</w:t>
            </w:r>
            <w:r>
              <w:rPr>
                <w:rFonts w:hint="eastAsia" w:ascii="新宋体" w:hAnsi="新宋体" w:eastAsia="新宋体" w:cs="新宋体"/>
                <w:color w:val="000000"/>
                <w:sz w:val="21"/>
                <w:szCs w:val="21"/>
                <w:lang w:val="en-US" w:eastAsia="zh-CN"/>
              </w:rPr>
              <w:t>416元/月.人；城镇650元/月.人</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建立社会救助家庭经济状况核对机制的县市区比例</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5</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资金使用率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37"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时效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救助对象生活费按时发放率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≥90%</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98%</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受助人员救助情况当天录入救助业务管理信息系统率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≥95%</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97%</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资金到位时效</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 w:hAnsi="仿宋" w:eastAsia="仿宋" w:cs="仿宋"/>
                <w:sz w:val="24"/>
              </w:rPr>
              <w:t>≤12月</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仿宋" w:hAnsi="仿宋" w:eastAsia="仿宋" w:cs="仿宋"/>
                <w:sz w:val="24"/>
              </w:rPr>
              <w:t>≤12月</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人员支出</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10" w:firstLineChars="10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1292.99</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4</w:t>
            </w: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公用经费</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431.84</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3</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_GB2312" w:hAnsi="仿宋_GB2312" w:eastAsia="仿宋_GB2312" w:cs="仿宋_GB2312"/>
                <w:color w:val="000000"/>
                <w:sz w:val="24"/>
              </w:rPr>
              <w:t>项目支出</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按预算</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2697.53</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4</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850" w:hRule="atLeast"/>
          <w:jc w:val="center"/>
        </w:trPr>
        <w:tc>
          <w:tcPr>
            <w:tcW w:w="59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（30分）</w:t>
            </w:r>
          </w:p>
        </w:tc>
        <w:tc>
          <w:tcPr>
            <w:tcW w:w="46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top w:val="single" w:color="auto" w:sz="4" w:space="0"/>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困难群众生活水平情况</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生活水平有所提升</w:t>
            </w: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eastAsia="zh-CN"/>
              </w:rPr>
              <w:t>生活水平有所提升</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7</w:t>
            </w: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6</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帮助查明身份滞留流浪乞讨人员返乡情况</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及时送返</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及时送返</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7</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6</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default" w:ascii="Times New Roman" w:hAnsi="Times New Roman" w:cs="Times New Roman" w:eastAsiaTheme="minorEastAsia"/>
                <w:color w:val="000000"/>
                <w:kern w:val="0"/>
                <w:sz w:val="21"/>
                <w:szCs w:val="21"/>
                <w:lang w:val="en-US" w:eastAsia="zh-CN" w:bidi="ar"/>
              </w:rPr>
              <w:t>自愿前来救助站或由公安等部门送至救助站的传销解救人员、打拐解救人员、家暴受害者等提供临时救助服务率</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≥95%</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95%</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7</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7</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益指标</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仿宋" w:hAnsi="仿宋" w:eastAsia="仿宋" w:cs="仿宋"/>
                <w:sz w:val="24"/>
              </w:rPr>
              <w:t>稳步推进殡葬改</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有利于树立科学、文明、健康的生活方式，简化丧事，减轻群众办丧负担，提高人们的生活水平和质量。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有利于树立科学、文明、健康的生活方式，简化丧事，减轻群众办丧负担，提高人们的生活水平和质量。</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可持续影响指标</w:t>
            </w: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（10分）</w:t>
            </w:r>
          </w:p>
        </w:tc>
        <w:tc>
          <w:tcPr>
            <w:tcW w:w="466" w:type="pct"/>
            <w:vMerge w:val="restart"/>
            <w:tcBorders>
              <w:top w:val="nil"/>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服务对象满意度指标</w:t>
            </w: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政策实施满意度</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r>
              <w:rPr>
                <w:rFonts w:hint="default" w:ascii="Times New Roman" w:hAnsi="Times New Roman" w:cs="Times New Roman" w:eastAsiaTheme="minorEastAsia"/>
                <w:color w:val="000000"/>
                <w:kern w:val="0"/>
                <w:sz w:val="21"/>
                <w:szCs w:val="21"/>
                <w:lang w:val="en-US" w:eastAsia="zh-CN" w:bidi="ar"/>
              </w:rPr>
              <w:t>≥</w:t>
            </w:r>
            <w:r>
              <w:rPr>
                <w:rFonts w:hint="eastAsia" w:ascii="Times New Roman" w:hAnsi="Times New Roman" w:cs="Times New Roman" w:eastAsiaTheme="minorEastAsia"/>
                <w:color w:val="000000"/>
                <w:kern w:val="0"/>
                <w:sz w:val="21"/>
                <w:szCs w:val="21"/>
                <w:lang w:val="en-US" w:eastAsia="zh-CN" w:bidi="ar"/>
              </w:rPr>
              <w:t>90</w:t>
            </w:r>
            <w:r>
              <w:rPr>
                <w:rFonts w:hint="default" w:ascii="Times New Roman" w:hAnsi="Times New Roman" w:cs="Times New Roman" w:eastAsiaTheme="minorEastAsia"/>
                <w:color w:val="000000"/>
                <w:kern w:val="0"/>
                <w:sz w:val="21"/>
                <w:szCs w:val="21"/>
                <w:lang w:val="en-US" w:eastAsia="zh-CN" w:bidi="ar"/>
              </w:rPr>
              <w:t>%</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95</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jc w:val="center"/>
        </w:trPr>
        <w:tc>
          <w:tcPr>
            <w:tcW w:w="59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66" w:type="pct"/>
            <w:vMerge w:val="continue"/>
            <w:tcBorders>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800" w:hRule="atLeast"/>
          <w:jc w:val="center"/>
        </w:trPr>
        <w:tc>
          <w:tcPr>
            <w:tcW w:w="59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3"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66" w:type="pct"/>
            <w:vMerge w:val="continue"/>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569"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w:t>
            </w:r>
          </w:p>
        </w:tc>
        <w:tc>
          <w:tcPr>
            <w:tcW w:w="62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4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89" w:hRule="atLeast"/>
          <w:jc w:val="center"/>
        </w:trPr>
        <w:tc>
          <w:tcPr>
            <w:tcW w:w="3273" w:type="pct"/>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总分</w:t>
            </w:r>
          </w:p>
        </w:tc>
        <w:tc>
          <w:tcPr>
            <w:tcW w:w="31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100</w:t>
            </w:r>
          </w:p>
        </w:tc>
        <w:tc>
          <w:tcPr>
            <w:tcW w:w="55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97</w:t>
            </w:r>
          </w:p>
        </w:tc>
        <w:tc>
          <w:tcPr>
            <w:tcW w:w="85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bl>
    <w:p>
      <w:pPr>
        <w:rPr>
          <w:rFonts w:hint="eastAsia" w:eastAsia="仿宋_GB2312" w:cs="Times New Roman"/>
          <w:sz w:val="22"/>
          <w:lang w:val="en-US" w:eastAsia="zh-CN"/>
        </w:rPr>
      </w:pPr>
      <w:r>
        <w:rPr>
          <w:rFonts w:hint="default" w:ascii="Times New Roman" w:hAnsi="Times New Roman" w:eastAsia="仿宋_GB2312" w:cs="Times New Roman"/>
          <w:sz w:val="22"/>
        </w:rPr>
        <w:t>说明：</w:t>
      </w:r>
      <w:r>
        <w:rPr>
          <w:rFonts w:hint="eastAsia" w:eastAsia="仿宋_GB2312" w:cs="Times New Roman"/>
          <w:sz w:val="22"/>
          <w:lang w:eastAsia="zh-CN"/>
        </w:rPr>
        <w:t>以上数据参照</w:t>
      </w:r>
      <w:r>
        <w:rPr>
          <w:rFonts w:hint="eastAsia" w:eastAsia="仿宋_GB2312" w:cs="Times New Roman"/>
          <w:sz w:val="22"/>
          <w:lang w:val="en-US" w:eastAsia="zh-CN"/>
        </w:rPr>
        <w:t>2022年部门决算报表中的“收入支出决算总表”(财决01表)。</w:t>
      </w:r>
    </w:p>
    <w:p>
      <w:pPr>
        <w:pStyle w:val="2"/>
        <w:rPr>
          <w:rFonts w:hint="default"/>
          <w:lang w:val="en-US" w:eastAsia="zh-CN"/>
        </w:rPr>
      </w:pPr>
    </w:p>
    <w:p>
      <w:pPr>
        <w:rPr>
          <w:rFonts w:hint="eastAsia"/>
          <w:lang w:val="en-US" w:eastAsia="zh-CN"/>
        </w:rPr>
      </w:pPr>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p>
    <w:p>
      <w:pPr>
        <w:pStyle w:val="2"/>
        <w:rPr>
          <w:rFonts w:hint="eastAsia"/>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lang w:val="en-US" w:eastAsia="zh-CN"/>
        </w:rPr>
        <w:t>(本级)</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民政局（本级）</w:t>
      </w:r>
      <w:r>
        <w:rPr>
          <w:rFonts w:hint="eastAsia" w:ascii="方正小标宋简体" w:hAnsi="方正小标宋简体" w:eastAsia="方正小标宋简体" w:cs="方正小标宋简体"/>
          <w:sz w:val="44"/>
          <w:szCs w:val="44"/>
        </w:rPr>
        <w:t>整体支出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3"/>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4"/>
        <w:widowControl/>
        <w:wordWrap w:val="0"/>
        <w:spacing w:line="560" w:lineRule="exact"/>
        <w:ind w:firstLine="600" w:firstLineChars="200"/>
        <w:rPr>
          <w:rFonts w:ascii="仿宋" w:hAnsi="仿宋" w:eastAsia="仿宋"/>
          <w:sz w:val="30"/>
          <w:szCs w:val="30"/>
        </w:rPr>
      </w:pPr>
      <w:r>
        <w:rPr>
          <w:rFonts w:hint="eastAsia" w:ascii="仿宋" w:hAnsi="仿宋" w:eastAsia="仿宋" w:cs="仿宋"/>
          <w:color w:val="000000"/>
          <w:sz w:val="30"/>
          <w:szCs w:val="30"/>
        </w:rPr>
        <w:t>华容县民政局负责全县的社会救助、社会福利、社会组织、社区建设、殡葬改革、婚姻登记、区划地名等项工作。</w:t>
      </w:r>
      <w:r>
        <w:rPr>
          <w:rFonts w:hint="eastAsia" w:ascii="仿宋" w:hAnsi="仿宋" w:eastAsia="仿宋" w:cs="仿宋_GB2312"/>
          <w:sz w:val="30"/>
          <w:szCs w:val="30"/>
        </w:rPr>
        <w:t>内设办公室、财务统计股、社会事务股、儿童福利股、政策法规股和行政审批股、慈善事业促进与社会工作股、基层政权和区划地名股、养老服务股、社会组织管理股9个股室，辖县社会救助局</w:t>
      </w:r>
      <w:r>
        <w:rPr>
          <w:rFonts w:ascii="仿宋" w:hAnsi="仿宋" w:eastAsia="仿宋" w:cs="仿宋_GB2312"/>
          <w:sz w:val="30"/>
          <w:szCs w:val="30"/>
        </w:rPr>
        <w:t>1</w:t>
      </w:r>
      <w:r>
        <w:rPr>
          <w:rFonts w:hint="eastAsia" w:ascii="仿宋" w:hAnsi="仿宋" w:eastAsia="仿宋" w:cs="仿宋_GB2312"/>
          <w:sz w:val="30"/>
          <w:szCs w:val="30"/>
        </w:rPr>
        <w:t>个副科级二级单位，募捐办、社会福利中心、殡葬管理所、殡葬执法大队、救助管理站、婚姻登记处、儿童福利院7个二级事业单位。指导</w:t>
      </w:r>
      <w:r>
        <w:rPr>
          <w:rFonts w:ascii="仿宋" w:hAnsi="仿宋" w:eastAsia="仿宋" w:cs="仿宋_GB2312"/>
          <w:sz w:val="30"/>
          <w:szCs w:val="30"/>
        </w:rPr>
        <w:t>16</w:t>
      </w:r>
      <w:r>
        <w:rPr>
          <w:rFonts w:hint="eastAsia" w:ascii="仿宋" w:hAnsi="仿宋" w:eastAsia="仿宋" w:cs="仿宋_GB2312"/>
          <w:sz w:val="30"/>
          <w:szCs w:val="30"/>
        </w:rPr>
        <w:t>个乡镇民政办（含工业园和田家湖生态新区管委会）和</w:t>
      </w:r>
      <w:r>
        <w:rPr>
          <w:rFonts w:ascii="仿宋" w:hAnsi="仿宋" w:eastAsia="仿宋" w:cs="仿宋_GB2312"/>
          <w:sz w:val="30"/>
          <w:szCs w:val="30"/>
        </w:rPr>
        <w:t>21</w:t>
      </w:r>
      <w:r>
        <w:rPr>
          <w:rFonts w:hint="eastAsia" w:ascii="仿宋" w:hAnsi="仿宋" w:eastAsia="仿宋" w:cs="仿宋_GB2312"/>
          <w:sz w:val="30"/>
          <w:szCs w:val="30"/>
        </w:rPr>
        <w:t>所乡镇敬老院。</w:t>
      </w:r>
    </w:p>
    <w:p>
      <w:pPr>
        <w:pStyle w:val="2"/>
        <w:numPr>
          <w:ilvl w:val="0"/>
          <w:numId w:val="0"/>
        </w:numPr>
        <w:rPr>
          <w:rFonts w:hint="default"/>
        </w:rPr>
      </w:pPr>
    </w:p>
    <w:p>
      <w:pPr>
        <w:pStyle w:val="7"/>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二、基本支出情况</w:t>
      </w:r>
    </w:p>
    <w:p>
      <w:pPr>
        <w:pStyle w:val="4"/>
        <w:widowControl/>
        <w:wordWrap w:val="0"/>
        <w:spacing w:line="56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年度财政预算</w:t>
      </w:r>
      <w:r>
        <w:rPr>
          <w:rFonts w:hint="eastAsia" w:ascii="仿宋" w:hAnsi="仿宋" w:eastAsia="仿宋" w:cs="仿宋_GB2312"/>
          <w:sz w:val="30"/>
          <w:szCs w:val="30"/>
          <w:lang w:eastAsia="zh-CN"/>
        </w:rPr>
        <w:t>基本支出</w:t>
      </w:r>
      <w:r>
        <w:rPr>
          <w:rFonts w:hint="eastAsia" w:ascii="仿宋" w:hAnsi="仿宋" w:eastAsia="仿宋" w:cs="仿宋_GB2312"/>
          <w:sz w:val="30"/>
          <w:szCs w:val="30"/>
          <w:lang w:val="en-US" w:eastAsia="zh-CN"/>
        </w:rPr>
        <w:t>1724.84</w:t>
      </w:r>
      <w:r>
        <w:rPr>
          <w:rFonts w:hint="eastAsia" w:ascii="仿宋" w:hAnsi="仿宋" w:eastAsia="仿宋" w:cs="仿宋_GB2312"/>
          <w:sz w:val="30"/>
          <w:szCs w:val="30"/>
        </w:rPr>
        <w:t>万元，其中：人员支出</w:t>
      </w:r>
      <w:r>
        <w:rPr>
          <w:rFonts w:hint="eastAsia" w:ascii="仿宋" w:hAnsi="仿宋" w:eastAsia="仿宋" w:cs="仿宋_GB2312"/>
          <w:sz w:val="30"/>
          <w:szCs w:val="30"/>
          <w:lang w:val="en-US" w:eastAsia="zh-CN"/>
        </w:rPr>
        <w:t>1292.99</w:t>
      </w:r>
      <w:r>
        <w:rPr>
          <w:rFonts w:hint="eastAsia" w:ascii="仿宋" w:hAnsi="仿宋" w:eastAsia="仿宋" w:cs="仿宋_GB2312"/>
          <w:sz w:val="30"/>
          <w:szCs w:val="30"/>
        </w:rPr>
        <w:t>万元，公用支出</w:t>
      </w:r>
      <w:r>
        <w:rPr>
          <w:rFonts w:hint="eastAsia" w:ascii="仿宋" w:hAnsi="仿宋" w:eastAsia="仿宋" w:cs="仿宋_GB2312"/>
          <w:sz w:val="30"/>
          <w:szCs w:val="30"/>
          <w:lang w:val="en-US" w:eastAsia="zh-CN"/>
        </w:rPr>
        <w:t>431.84</w:t>
      </w:r>
      <w:r>
        <w:rPr>
          <w:rFonts w:hint="eastAsia" w:ascii="仿宋" w:hAnsi="仿宋" w:eastAsia="仿宋" w:cs="仿宋_GB2312"/>
          <w:sz w:val="30"/>
          <w:szCs w:val="30"/>
        </w:rPr>
        <w:t>万元。</w:t>
      </w:r>
    </w:p>
    <w:p>
      <w:pPr>
        <w:pStyle w:val="7"/>
        <w:keepNext w:val="0"/>
        <w:keepLines w:val="0"/>
        <w:pageBreakBefore w:val="0"/>
        <w:widowControl/>
        <w:kinsoku/>
        <w:wordWrap/>
        <w:overflowPunct/>
        <w:topLinePunct w:val="0"/>
        <w:autoSpaceDE/>
        <w:autoSpaceDN/>
        <w:bidi w:val="0"/>
        <w:adjustRightInd/>
        <w:snapToGrid/>
        <w:spacing w:line="610" w:lineRule="exact"/>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三、项目支出情况</w:t>
      </w:r>
    </w:p>
    <w:p>
      <w:pPr>
        <w:spacing w:line="560" w:lineRule="exact"/>
        <w:ind w:firstLine="602" w:firstLineChars="200"/>
        <w:rPr>
          <w:rFonts w:hint="eastAsia" w:ascii="仿宋" w:hAnsi="仿宋" w:eastAsia="仿宋" w:cs="仿宋_GB2312"/>
          <w:b/>
          <w:bCs/>
          <w:kern w:val="2"/>
          <w:sz w:val="30"/>
          <w:szCs w:val="30"/>
          <w:lang w:val="en-US" w:eastAsia="zh-CN" w:bidi="ar-SA"/>
        </w:rPr>
      </w:pPr>
      <w:r>
        <w:rPr>
          <w:rFonts w:hint="eastAsia" w:ascii="仿宋" w:hAnsi="仿宋" w:eastAsia="仿宋" w:cs="仿宋_GB2312"/>
          <w:b/>
          <w:bCs/>
          <w:kern w:val="2"/>
          <w:sz w:val="30"/>
          <w:szCs w:val="30"/>
          <w:lang w:val="en-US" w:eastAsia="zh-CN" w:bidi="ar-SA"/>
        </w:rPr>
        <w:t>1、专项资金安排落实、总投入等情况分析</w:t>
      </w:r>
    </w:p>
    <w:p>
      <w:pPr>
        <w:pStyle w:val="4"/>
        <w:widowControl/>
        <w:wordWrap w:val="0"/>
        <w:spacing w:line="560" w:lineRule="exact"/>
        <w:ind w:firstLine="600" w:firstLineChars="200"/>
        <w:rPr>
          <w:rFonts w:hint="eastAsia" w:ascii="仿宋" w:hAnsi="仿宋" w:eastAsia="仿宋" w:cs="仿宋_GB2312"/>
          <w:kern w:val="2"/>
          <w:sz w:val="30"/>
          <w:szCs w:val="30"/>
          <w:lang w:val="en-US" w:eastAsia="zh-CN" w:bidi="ar-SA"/>
        </w:rPr>
      </w:pPr>
      <w:r>
        <w:rPr>
          <w:rFonts w:hint="eastAsia" w:ascii="仿宋" w:hAnsi="仿宋" w:eastAsia="仿宋" w:cs="仿宋_GB2312"/>
          <w:kern w:val="2"/>
          <w:sz w:val="30"/>
          <w:szCs w:val="30"/>
          <w:lang w:val="en-US" w:eastAsia="zh-CN" w:bidi="ar-SA"/>
        </w:rPr>
        <w:t>2022年度，我县民政专项资金总额2697.52万元，主要用于社会福利300.3万元、残疾人事业费1349.8万元、最低基本生活保障0万元、临时救助0.34万元、特困人员救助供养233.41万元和其他农村社会救助0万元、彩票机构销售业务费24.61万元、彩票公益金支出97.9万元、殡仪馆建设340万元、其他民政管理事务351.15万元。</w:t>
      </w:r>
    </w:p>
    <w:p>
      <w:pPr>
        <w:spacing w:line="560" w:lineRule="exact"/>
        <w:ind w:firstLine="602" w:firstLineChars="200"/>
        <w:rPr>
          <w:rFonts w:hint="eastAsia" w:ascii="仿宋" w:hAnsi="仿宋" w:eastAsia="仿宋" w:cs="仿宋_GB2312"/>
          <w:b/>
          <w:bCs/>
          <w:kern w:val="2"/>
          <w:sz w:val="30"/>
          <w:szCs w:val="30"/>
          <w:lang w:val="en-US" w:eastAsia="zh-CN" w:bidi="ar-SA"/>
        </w:rPr>
      </w:pPr>
      <w:r>
        <w:rPr>
          <w:rFonts w:hint="eastAsia" w:ascii="仿宋" w:hAnsi="仿宋" w:eastAsia="仿宋" w:cs="仿宋_GB2312"/>
          <w:b/>
          <w:bCs/>
          <w:kern w:val="2"/>
          <w:sz w:val="30"/>
          <w:szCs w:val="30"/>
          <w:lang w:val="en-US" w:eastAsia="zh-CN" w:bidi="ar-SA"/>
        </w:rPr>
        <w:t>2、专项资金实际使用情况及管理情况分析</w:t>
      </w:r>
    </w:p>
    <w:p>
      <w:pPr>
        <w:pStyle w:val="4"/>
        <w:widowControl/>
        <w:wordWrap w:val="0"/>
        <w:spacing w:line="560" w:lineRule="exact"/>
        <w:ind w:firstLine="600" w:firstLineChars="200"/>
        <w:rPr>
          <w:rFonts w:hint="eastAsia" w:ascii="仿宋" w:hAnsi="仿宋" w:eastAsia="仿宋" w:cs="仿宋_GB2312"/>
          <w:kern w:val="2"/>
          <w:sz w:val="30"/>
          <w:szCs w:val="30"/>
          <w:lang w:val="en-US" w:eastAsia="zh-CN" w:bidi="ar-SA"/>
        </w:rPr>
      </w:pPr>
      <w:r>
        <w:rPr>
          <w:rFonts w:hint="eastAsia" w:ascii="仿宋" w:hAnsi="仿宋" w:eastAsia="仿宋" w:cs="仿宋_GB2312"/>
          <w:kern w:val="2"/>
          <w:sz w:val="30"/>
          <w:szCs w:val="30"/>
          <w:lang w:val="en-US" w:eastAsia="zh-CN" w:bidi="ar-SA"/>
        </w:rPr>
        <w:t>社会福利300.3万元、残疾人事业费1349.8万元、最低基本生活保障0万元、临时救助0.34万元、特困人员救助供养233.41万元和其他农村社会救助0万元、彩票机构销售业务费24.61万元、彩票公益金支出97.9万元、殡仪馆建设340万元、其他民政管理事务351.15万元。</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结归纳本部门（单位）“四本预算”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为贯彻执行国家预算法，加强预算绩效管理，我局严格按预算绩效管理的相关要求开展预算工作，我局2022年总支出为</w:t>
      </w:r>
      <w:r>
        <w:rPr>
          <w:rFonts w:hint="eastAsia" w:eastAsia="仿宋_GB2312" w:cs="Times New Roman"/>
          <w:color w:val="000000"/>
          <w:sz w:val="32"/>
          <w:szCs w:val="32"/>
          <w:lang w:val="en-US" w:eastAsia="zh-CN"/>
        </w:rPr>
        <w:t>4422.37</w:t>
      </w:r>
      <w:r>
        <w:rPr>
          <w:rFonts w:hint="eastAsia" w:ascii="Times New Roman" w:hAnsi="Times New Roman" w:eastAsia="仿宋_GB2312" w:cs="Times New Roman"/>
          <w:color w:val="000000"/>
          <w:sz w:val="32"/>
          <w:szCs w:val="32"/>
          <w:lang w:val="en-US" w:eastAsia="zh-CN"/>
        </w:rPr>
        <w:t>万元。其中：基本支出</w:t>
      </w:r>
      <w:r>
        <w:rPr>
          <w:rFonts w:hint="eastAsia" w:eastAsia="仿宋_GB2312" w:cs="Times New Roman"/>
          <w:color w:val="000000"/>
          <w:sz w:val="32"/>
          <w:szCs w:val="32"/>
          <w:lang w:val="en-US" w:eastAsia="zh-CN"/>
        </w:rPr>
        <w:t>1724.84</w:t>
      </w:r>
      <w:r>
        <w:rPr>
          <w:rFonts w:hint="eastAsia" w:ascii="Times New Roman" w:hAnsi="Times New Roman" w:eastAsia="仿宋_GB2312" w:cs="Times New Roman"/>
          <w:color w:val="000000"/>
          <w:sz w:val="32"/>
          <w:szCs w:val="32"/>
          <w:lang w:val="en-US" w:eastAsia="zh-CN"/>
        </w:rPr>
        <w:t>万元,占总支出的</w:t>
      </w:r>
      <w:r>
        <w:rPr>
          <w:rFonts w:hint="eastAsia" w:eastAsia="仿宋_GB2312" w:cs="Times New Roman"/>
          <w:color w:val="000000"/>
          <w:sz w:val="32"/>
          <w:szCs w:val="32"/>
          <w:lang w:val="en-US" w:eastAsia="zh-CN"/>
        </w:rPr>
        <w:t>39</w:t>
      </w:r>
      <w:r>
        <w:rPr>
          <w:rFonts w:hint="eastAsia" w:ascii="Times New Roman" w:hAnsi="Times New Roman" w:eastAsia="仿宋_GB2312" w:cs="Times New Roman"/>
          <w:color w:val="000000"/>
          <w:sz w:val="32"/>
          <w:szCs w:val="32"/>
          <w:lang w:val="en-US" w:eastAsia="zh-CN"/>
        </w:rPr>
        <w:t>%;项目支出</w:t>
      </w:r>
      <w:r>
        <w:rPr>
          <w:rFonts w:hint="eastAsia" w:eastAsia="仿宋_GB2312" w:cs="Times New Roman"/>
          <w:color w:val="000000"/>
          <w:sz w:val="32"/>
          <w:szCs w:val="32"/>
          <w:lang w:val="en-US" w:eastAsia="zh-CN"/>
        </w:rPr>
        <w:t>2697.53</w:t>
      </w:r>
      <w:r>
        <w:rPr>
          <w:rFonts w:hint="eastAsia" w:ascii="Times New Roman" w:hAnsi="Times New Roman" w:eastAsia="仿宋_GB2312" w:cs="Times New Roman"/>
          <w:color w:val="000000"/>
          <w:sz w:val="32"/>
          <w:szCs w:val="32"/>
          <w:lang w:val="en-US" w:eastAsia="zh-CN"/>
        </w:rPr>
        <w:t>万元,占总支出的</w:t>
      </w:r>
      <w:r>
        <w:rPr>
          <w:rFonts w:hint="eastAsia" w:eastAsia="仿宋_GB2312" w:cs="Times New Roman"/>
          <w:color w:val="000000"/>
          <w:sz w:val="32"/>
          <w:szCs w:val="32"/>
          <w:lang w:val="en-US" w:eastAsia="zh-CN"/>
        </w:rPr>
        <w:t>61</w:t>
      </w:r>
      <w:r>
        <w:rPr>
          <w:rFonts w:hint="eastAsia" w:ascii="Times New Roman" w:hAnsi="Times New Roman" w:eastAsia="仿宋_GB2312" w:cs="Times New Roman"/>
          <w:color w:val="000000"/>
          <w:sz w:val="32"/>
          <w:szCs w:val="32"/>
          <w:lang w:val="en-US" w:eastAsia="zh-CN"/>
        </w:rPr>
        <w:t>%。我局切实以绩效管理为目标，健全单位绩效管理工作机制，明确责任，努力提高绩效管理工作水平；加强单位制度建设，提升预算管理质量。合理保障各类救助对象保障标准，使救助对象基本生活得以有效保障，</w:t>
      </w:r>
      <w:r>
        <w:rPr>
          <w:rFonts w:hint="default" w:ascii="Times New Roman" w:hAnsi="Times New Roman" w:eastAsia="仿宋_GB2312" w:cs="Times New Roman"/>
          <w:color w:val="000000"/>
          <w:sz w:val="32"/>
          <w:szCs w:val="32"/>
          <w:lang w:val="en-US" w:eastAsia="zh-CN"/>
        </w:rPr>
        <w:t>为生活无着的流浪乞讨人员提供临时食宿、疾病救治、协助返回等救助，并妥善安置返乡受助人员</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规范实施农村留守儿童关爱服务和困境儿童保障相关政策，使农村留守儿童和困境儿童得到更加精准的专业服务和基本生活保障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提高孤儿生活保障水平，孤儿生活保障政策规范高效实施；使孤儿、艾滋病病毒感染儿童和事实无人抚养儿童基本生活得到保障</w:t>
      </w:r>
      <w:r>
        <w:rPr>
          <w:rFonts w:hint="eastAsia" w:ascii="Times New Roman" w:hAnsi="Times New Roman" w:eastAsia="仿宋_GB2312" w:cs="Times New Roman"/>
          <w:color w:val="000000"/>
          <w:sz w:val="32"/>
          <w:szCs w:val="32"/>
          <w:lang w:val="en-US" w:eastAsia="zh-CN"/>
        </w:rPr>
        <w:t>；通过第三方社会组织招聘社工充实到各乡镇社工站，为基层群众提供了更加方便、快捷、优质的社会救助和民政其它领域的社会工作服务；对全县各社会组织开展了年度检查，涉检组织共74家，加快推进社会建设和社会管理，激化社会活力，促进社会公平；百岁老人保健费、失能老人基本服务补贴、高龄补贴等优待政策全面落实。科学统筹推进城乡殡葬服务设施建设</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积极指导城乡社区争创省级和谐示范社区、省级农村幸福社区、市级美丽社区。</w:t>
      </w:r>
    </w:p>
    <w:p>
      <w:pPr>
        <w:pStyle w:val="7"/>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1、资金预算刚性不够，预算编制与实际支出项目有的存在差异</w:t>
      </w:r>
      <w:r>
        <w:rPr>
          <w:rFonts w:hint="eastAsia" w:eastAsia="仿宋_GB2312"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2、资金预算量与民政事业发展需求增加存在矛盾</w:t>
      </w:r>
      <w:r>
        <w:rPr>
          <w:rFonts w:hint="eastAsia" w:eastAsia="仿宋_GB2312"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、下一步改进措施</w:t>
      </w:r>
    </w:p>
    <w:p>
      <w:pPr>
        <w:pStyle w:val="3"/>
        <w:ind w:firstLine="1280" w:firstLineChars="4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1、严格按预算安排支出，压缩非必要的机构运行经费、</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2、有效运用绩效评价结果，逐步增加预算资金，缓解资金不足与民政事业发展需求的矛盾。</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七</w:t>
      </w:r>
      <w:r>
        <w:rPr>
          <w:rFonts w:hint="default" w:ascii="Times New Roman" w:hAnsi="Times New Roman" w:eastAsia="黑体" w:cs="Times New Roman"/>
          <w:sz w:val="32"/>
          <w:szCs w:val="32"/>
        </w:rPr>
        <w:t>、其他需要说明的情况</w:t>
      </w:r>
      <w:r>
        <w:rPr>
          <w:rFonts w:hint="eastAsia" w:eastAsia="黑体" w:cs="Times New Roman"/>
          <w:sz w:val="32"/>
          <w:szCs w:val="32"/>
          <w:lang w:eastAsia="zh-CN"/>
        </w:rPr>
        <w:t>：无。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C230A"/>
    <w:multiLevelType w:val="singleLevel"/>
    <w:tmpl w:val="FB2C230A"/>
    <w:lvl w:ilvl="0" w:tentative="0">
      <w:start w:val="1"/>
      <w:numFmt w:val="chineseCounting"/>
      <w:suff w:val="nothing"/>
      <w:lvlText w:val="%1、"/>
      <w:lvlJc w:val="left"/>
      <w:rPr>
        <w:rFonts w:hint="eastAsia"/>
      </w:rPr>
    </w:lvl>
  </w:abstractNum>
  <w:abstractNum w:abstractNumId="1">
    <w:nsid w:val="03810D02"/>
    <w:multiLevelType w:val="singleLevel"/>
    <w:tmpl w:val="03810D02"/>
    <w:lvl w:ilvl="0" w:tentative="0">
      <w:start w:val="1"/>
      <w:numFmt w:val="decimal"/>
      <w:lvlText w:val="%1."/>
      <w:lvlJc w:val="left"/>
      <w:pPr>
        <w:tabs>
          <w:tab w:val="left" w:pos="312"/>
        </w:tabs>
      </w:pPr>
    </w:lvl>
  </w:abstractNum>
  <w:abstractNum w:abstractNumId="2">
    <w:nsid w:val="6E509AEA"/>
    <w:multiLevelType w:val="singleLevel"/>
    <w:tmpl w:val="6E509AEA"/>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407A307A"/>
    <w:rsid w:val="407A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3">
    <w:name w:val="Body Text"/>
    <w:basedOn w:val="1"/>
    <w:qFormat/>
    <w:uiPriority w:val="0"/>
    <w:pPr>
      <w:spacing w:after="120"/>
    </w:pPr>
  </w:style>
  <w:style w:type="paragraph" w:styleId="4">
    <w:name w:val="Normal (Web)"/>
    <w:basedOn w:val="1"/>
    <w:qFormat/>
    <w:uiPriority w:val="99"/>
    <w:rPr>
      <w:sz w:val="24"/>
    </w:r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2023-12-13T02:43:00Z</dcterms:created>
  <dc:creator>戴</dc:creator>
  <cp:lastModifiedBy>戴</cp:lastModifiedBy>
  <dcterms:modified xsi:type="dcterms:W3CDTF">2023-12-13T02:43:32Z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81B547B883884A3FB6B82D6D323DBF9E_11</vt:lpwstr>
  </property>
</Properties>
</file>