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退役军人服务中心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整体支出绩效评价基础数据表</w:t>
      </w:r>
    </w:p>
    <w:tbl>
      <w:tblPr>
        <w:tblStyle w:val="6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835"/>
        <w:gridCol w:w="2286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rPr>
                <w:rFonts w:hint="default" w:ascii="新宋体" w:hAnsi="新宋体" w:eastAsia="新宋体" w:cs="新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    30       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52.18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432.8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488.92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105.33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376.75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1.义务兵优待金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2.光荣院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3.其他优抚支出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93.73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217.13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4.军队移交政府的离退休人员安置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113.77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5.优抚对象医疗补助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393.26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严格财务管理制度，严格按中央“八项”规定，控制一般性支出，按预算支出管理。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华容县退役军人服务中心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整体支出绩效自评表</w:t>
      </w:r>
    </w:p>
    <w:tbl>
      <w:tblPr>
        <w:tblStyle w:val="6"/>
        <w:tblW w:w="49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826"/>
        <w:gridCol w:w="814"/>
        <w:gridCol w:w="992"/>
        <w:gridCol w:w="1095"/>
        <w:gridCol w:w="950"/>
        <w:gridCol w:w="553"/>
        <w:gridCol w:w="959"/>
        <w:gridCol w:w="1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0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华容县退役军人事务局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432.8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865.67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865.67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22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865.67</w:t>
            </w:r>
          </w:p>
        </w:tc>
        <w:tc>
          <w:tcPr>
            <w:tcW w:w="22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488.92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2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376.75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2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2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2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  <w:jc w:val="center"/>
        </w:trPr>
        <w:tc>
          <w:tcPr>
            <w:tcW w:w="5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落实特困退役军人和其他优抚对象帮扶援助工作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认真贯彻《中华人民共和国英雄烈士保护法》，依法履行职责，做好英雄烈士保护工作。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3：负责做好退役军人各类关系转接的行政辅助工作任务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：做好全县退役军人事务系统业务培训工作</w:t>
            </w:r>
          </w:p>
        </w:tc>
        <w:tc>
          <w:tcPr>
            <w:tcW w:w="22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落实特困退役军人和其他优抚对象帮扶援助工作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认真贯彻《中华人民共和国英雄烈士保护法》，依法履行职责，做好英雄烈士保护工作。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3：负责做好退役军人各类关系转接的行政辅助工作任务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：做好全县退役军人事务系统业务培训工作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退役安置对象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按政策应享尽享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按政策应享尽享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退役军人各类关系转接的行政辅助工作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退役军人各类关系转接的行政辅助工作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退役军人各类关系转接的行政辅助工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作共接待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highlight w:val="green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highlight w:val="green"/>
                <w:lang w:val="en-US" w:eastAsia="zh-CN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认真贯彻《中华人民共和国英雄烈士保护法》，依法履行职责，做好英雄烈士保护工作。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认真贯彻《中华人民共和国英雄烈士保护法》，依法履行职责，做好英雄烈士保护工作。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认真贯彻《中华人民共和国英雄烈士保护法》，依法履行职责，做好英雄烈士保护工作。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落实各类抚恤补助政策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资金到位率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100%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100%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优抚对象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管理信息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采集正确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率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≥95%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97%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资金到位时效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t>≤12月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t>≤12月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按预算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415.21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公用经费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按预算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73.72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按预算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376.75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切实有效的维护广大优抚对象的权益和社会稳定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切实有效的维护广大优抚对象的权益和社会稳定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切实有效的维护广大优抚对象的权益和社会稳定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优抚政策知晓率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≥9</w:t>
            </w: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优抚对象权益的保障作用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长期可持续性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长期可持续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政策实施满意度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7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华容县退役军人服务中心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华容县退役军人服务中心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autoSpaceDN w:val="0"/>
        <w:spacing w:line="360" w:lineRule="auto"/>
        <w:ind w:firstLine="600" w:firstLineChars="200"/>
        <w:jc w:val="left"/>
        <w:textAlignment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华容县退役军人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服务中心</w:t>
      </w:r>
      <w:r>
        <w:rPr>
          <w:rFonts w:hint="eastAsia" w:ascii="仿宋" w:hAnsi="仿宋" w:eastAsia="仿宋" w:cs="仿宋"/>
          <w:bCs/>
          <w:sz w:val="30"/>
          <w:szCs w:val="30"/>
        </w:rPr>
        <w:t>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退役军人事务局下设</w:t>
      </w:r>
      <w:r>
        <w:rPr>
          <w:rFonts w:hint="eastAsia" w:ascii="仿宋" w:hAnsi="仿宋" w:eastAsia="仿宋" w:cs="仿宋"/>
          <w:bCs/>
          <w:sz w:val="30"/>
          <w:szCs w:val="30"/>
        </w:rPr>
        <w:t>独立核算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二级</w:t>
      </w:r>
      <w:r>
        <w:rPr>
          <w:rFonts w:hint="eastAsia" w:ascii="仿宋" w:hAnsi="仿宋" w:eastAsia="仿宋" w:cs="仿宋"/>
          <w:bCs/>
          <w:sz w:val="30"/>
          <w:szCs w:val="30"/>
        </w:rPr>
        <w:t>单位，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负责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做好退役军人各类关系转接的行政辅助工作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落实特困退役军人和其他优抚对象帮扶援助工作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负责退役军人综合服务管理平台运行和线上业务受理办理工作；负责退役军人和其他优抚对象信息采集、管理等技术支撑工作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做好全县退役军人事务系统业务培训工作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认真贯彻《中华人民共和国英雄烈士保护法》，依法履行职责，做好英雄烈士保护工作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做好全县优抚对象中自愿入院的孤、残、病人员集中供养工作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做好退役军人信访接待、权益维护及法律咨询等工作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负责协助开展退役军人职业教育、技能培训和就业指导工作。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202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_GB2312"/>
          <w:sz w:val="30"/>
          <w:szCs w:val="30"/>
        </w:rPr>
        <w:t>年度财政预算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基本支出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488.92</w:t>
      </w:r>
      <w:r>
        <w:rPr>
          <w:rFonts w:hint="eastAsia" w:ascii="仿宋" w:hAnsi="仿宋" w:eastAsia="仿宋" w:cs="仿宋_GB2312"/>
          <w:sz w:val="30"/>
          <w:szCs w:val="30"/>
        </w:rPr>
        <w:t>万元，其中：人员支出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415.20</w:t>
      </w:r>
      <w:r>
        <w:rPr>
          <w:rFonts w:hint="eastAsia" w:ascii="仿宋" w:hAnsi="仿宋" w:eastAsia="仿宋" w:cs="仿宋_GB2312"/>
          <w:sz w:val="30"/>
          <w:szCs w:val="30"/>
        </w:rPr>
        <w:t>万元，公用支出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73.72</w:t>
      </w:r>
      <w:r>
        <w:rPr>
          <w:rFonts w:hint="eastAsia" w:ascii="仿宋" w:hAnsi="仿宋" w:eastAsia="仿宋" w:cs="仿宋_GB2312"/>
          <w:sz w:val="30"/>
          <w:szCs w:val="30"/>
        </w:rPr>
        <w:t>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三、项目支出情况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kern w:val="2"/>
          <w:sz w:val="30"/>
          <w:szCs w:val="30"/>
          <w:lang w:val="en-US" w:eastAsia="zh-CN" w:bidi="ar-SA"/>
        </w:rPr>
        <w:t>1、专项资金安排落实、总投入等情况分析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2022年度，专项资金全年预算安排总额376.75万元，主要用于义务兵优待15.85万元、光荣院经费30万元、其他优抚支出217.13万元、军队移交政府离退休人员安置113.77万元。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kern w:val="2"/>
          <w:sz w:val="30"/>
          <w:szCs w:val="30"/>
          <w:lang w:val="en-US" w:eastAsia="zh-CN" w:bidi="ar-SA"/>
        </w:rPr>
        <w:t>2、专项资金实际使用情况及管理情况分析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2022年度，专项资金实际执行总额376.75万元，其中，义务兵优待15.85万元、光荣院经费30万元、其他优抚支出217.13万元、军队移交政府离退休人员安置113.77万元。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</w:pP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为贯彻执行国家预算法，加强预算绩效管理，我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严格按预算绩效管理的相关要求开展预算工作，2022年总支出为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865.67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万元。其中：基本支出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488.92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万元,占总支出的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56.5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%;项目支出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376.75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万元,占总支出的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43.5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切实以绩效管理为目标，健全单位绩效管理工作机制，明确责任，努力提高绩效管理工作水平；加强单位制度建设，提升预算管理质量。合理保障各类救助对象保障标准，使救助对象基本生活得以有效保障，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通过通过优抚专项资金的使用，切实做好抚恤优待工作，维护好优抚对象合法权益，保障优抚对象生活水平；对军休人员和企业军转干人员予以妥善安置，强化社会拥军氛围。显著的改善并丰富了军休人员生活，完成预期指标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1、资金预算刚性不够，预算编制与实际支出项目有的存在差异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2、资金预算量与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退役军人事务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发展需求增加存在矛盾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、下一步改进措施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1、严格按预算安排支出，压缩非必要的机构运行经费、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2、有效运用绩效评价结果，逐步增加预算资金，缓解资金不足与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退役军人事务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发展需求的矛盾。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  <w:r>
        <w:rPr>
          <w:rFonts w:hint="eastAsia" w:eastAsia="黑体" w:cs="Times New Roman"/>
          <w:sz w:val="32"/>
          <w:szCs w:val="32"/>
          <w:lang w:eastAsia="zh-CN"/>
        </w:rPr>
        <w:t>：无。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/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C230A"/>
    <w:multiLevelType w:val="singleLevel"/>
    <w:tmpl w:val="FB2C23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3EA0320D"/>
    <w:rsid w:val="3EA0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2023-12-13T02:48:00Z</dcterms:created>
  <dc:creator>戴</dc:creator>
  <cp:lastModifiedBy>戴</cp:lastModifiedBy>
  <dcterms:modified xsi:type="dcterms:W3CDTF">2023-12-13T02:48:49Z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44866B10352448B0AE42FF3C9C6FA389_11</vt:lpwstr>
  </property>
</Properties>
</file>