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退役军人服务中心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整体支出绩效评价基础数据表</w:t>
      </w:r>
    </w:p>
    <w:tbl>
      <w:tblPr>
        <w:tblStyle w:val="6"/>
        <w:tblW w:w="49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1835"/>
        <w:gridCol w:w="2286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rPr>
                <w:rFonts w:hint="default" w:ascii="新宋体" w:hAnsi="新宋体" w:eastAsia="新宋体" w:cs="新宋体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highlight w:val="none"/>
                <w:lang w:val="en-US" w:eastAsia="zh-CN"/>
              </w:rPr>
              <w:t xml:space="preserve">        30       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52.18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432.8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488.92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105.33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376.75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1.义务兵优待金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2.光荣院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3.其他优抚支出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93.73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217.13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4.军队移交政府的离退休人员安置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113.77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5.优抚对象医疗补助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11.6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393.26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严格财务管理制度，严格按中央“八项”规定，控制一般性支出，按预算支出管理。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widowControl/>
        <w:spacing w:after="0" w:afterLines="0"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        填报日期：          联系电话：            单位负责人签字：</w:t>
      </w:r>
      <w:r>
        <w:rPr>
          <w:rFonts w:hint="default" w:ascii="Times New Roman" w:hAnsi="Times New Roman" w:eastAsia="仿宋_GB2312" w:cs="Times New Roman"/>
          <w:sz w:val="22"/>
        </w:rPr>
        <w:br w:type="page"/>
      </w:r>
      <w:r>
        <w:rPr>
          <w:rFonts w:hint="default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华容县退役军人服务中心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整体支出绩效自评表</w:t>
      </w:r>
    </w:p>
    <w:tbl>
      <w:tblPr>
        <w:tblStyle w:val="6"/>
        <w:tblW w:w="49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826"/>
        <w:gridCol w:w="814"/>
        <w:gridCol w:w="992"/>
        <w:gridCol w:w="1095"/>
        <w:gridCol w:w="950"/>
        <w:gridCol w:w="553"/>
        <w:gridCol w:w="959"/>
        <w:gridCol w:w="1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级预算部门名称</w:t>
            </w:r>
          </w:p>
        </w:tc>
        <w:tc>
          <w:tcPr>
            <w:tcW w:w="4408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华容县退役军人事务局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9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预算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  <w:t>预算数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执行数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执行率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年度资金总额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432.8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865.67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sz w:val="21"/>
                <w:szCs w:val="21"/>
                <w:lang w:val="en-US" w:eastAsia="zh-CN"/>
              </w:rPr>
              <w:t>865.67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按收入性质分：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其中：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一般公共预算：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  <w:t>865.67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其中：基本支出：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488.92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政府性基金拨款：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 w:firstLineChars="30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项目支出：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376.75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纳入专户管理的非税收入拨款：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1260" w:firstLineChars="600"/>
              <w:jc w:val="left"/>
              <w:textAlignment w:val="auto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1"/>
                <w:szCs w:val="21"/>
              </w:rPr>
              <w:t>其他资金：</w:t>
            </w:r>
          </w:p>
        </w:tc>
        <w:tc>
          <w:tcPr>
            <w:tcW w:w="227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总体目标</w:t>
            </w:r>
          </w:p>
        </w:tc>
        <w:tc>
          <w:tcPr>
            <w:tcW w:w="21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预期目标</w:t>
            </w:r>
          </w:p>
        </w:tc>
        <w:tc>
          <w:tcPr>
            <w:tcW w:w="22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  <w:jc w:val="center"/>
        </w:trPr>
        <w:tc>
          <w:tcPr>
            <w:tcW w:w="5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21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落实特困退役军人和其他优抚对象帮扶援助工作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认真贯彻《中华人民共和国英雄烈士保护法》，依法履行职责，做好英雄烈士保护工作。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3：负责做好退役军人各类关系转接的行政辅助工作任务</w:t>
            </w:r>
          </w:p>
          <w:p>
            <w:pPr>
              <w:pStyle w:val="4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：做好全县退役军人事务系统业务培训工作</w:t>
            </w:r>
          </w:p>
        </w:tc>
        <w:tc>
          <w:tcPr>
            <w:tcW w:w="22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落实特困退役军人和其他优抚对象帮扶援助工作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认真贯彻《中华人民共和国英雄烈士保护法》，依法履行职责，做好英雄烈士保护工作。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3：负责做好退役军人各类关系转接的行政辅助工作任务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：做好全县退役军人事务系统业务培训工作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(50分)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退役安置对象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按政策应享尽享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按政策应享尽享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退役军人各类关系转接的行政辅助工作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退役军人各类关系转接的行政辅助工作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退役军人各类关系转接的行政辅助工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作共接待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yellow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highlight w:val="green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highlight w:val="green"/>
                <w:lang w:val="en-US" w:eastAsia="zh-CN"/>
              </w:rPr>
            </w:pP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认真贯彻《中华人民共和国英雄烈士保护法》，依法履行职责，做好英雄烈士保护工作。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认真贯彻《中华人民共和国英雄烈士保护法》，依法履行职责，做好英雄烈士保护工作。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认真贯彻《中华人民共和国英雄烈士保护法》，依法履行职责，做好英雄烈士保护工作。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落实各类抚恤补助政策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资金使用率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资金到位率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100%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100%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优抚对象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管理信息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采集正确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≥95%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97%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资金到位时效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sz w:val="24"/>
              </w:rPr>
              <w:t>≤12月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sz w:val="24"/>
              </w:rPr>
              <w:t>≤12月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210" w:firstLineChars="10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按预算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415.21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公用经费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按预算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73.72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按预算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376.75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标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完成值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（30分）</w:t>
            </w: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切实有效的维护广大优抚对象的权益和社会稳定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切实有效的维护广大优抚对象的权益和社会稳定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切实有效的维护广大优抚对象的权益和社会稳定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优抚政策知晓率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≥9</w:t>
            </w: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95%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益指标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可持续影响指标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优抚对象权益的保障作用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长期可持续性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长期可持续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（10分）</w:t>
            </w:r>
          </w:p>
        </w:tc>
        <w:tc>
          <w:tcPr>
            <w:tcW w:w="467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服务对象满意度指标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eastAsia="zh-CN"/>
              </w:rPr>
              <w:t>政策实施满意度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7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46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6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27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default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8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说明：</w:t>
      </w:r>
      <w:r>
        <w:rPr>
          <w:rFonts w:hint="eastAsia" w:eastAsia="仿宋_GB2312" w:cs="Times New Roman"/>
          <w:sz w:val="22"/>
          <w:lang w:eastAsia="zh-CN"/>
        </w:rPr>
        <w:t>以上数据参照</w:t>
      </w:r>
      <w:r>
        <w:rPr>
          <w:rFonts w:hint="eastAsia" w:eastAsia="仿宋_GB2312" w:cs="Times New Roman"/>
          <w:sz w:val="22"/>
          <w:lang w:val="en-US" w:eastAsia="zh-CN"/>
        </w:rPr>
        <w:t>2022年部门决算报表中的“收入支出决算总表”(财决01表)。</w:t>
      </w: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填表人：      填报日期：         联系电话：    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  <w:r>
        <w:rPr>
          <w:rFonts w:hint="default" w:ascii="Times New Roman" w:hAnsi="Times New Roman" w:eastAsia="仿宋_GB2312" w:cs="Times New Roman"/>
          <w:sz w:val="2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华容县退役军人服务中心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eastAsia="楷体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华容县退役军人服务中心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autoSpaceDN w:val="0"/>
        <w:spacing w:line="360" w:lineRule="auto"/>
        <w:ind w:firstLine="600" w:firstLineChars="200"/>
        <w:jc w:val="left"/>
        <w:textAlignment w:val="center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华容县退役军人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服务中心</w:t>
      </w:r>
      <w:r>
        <w:rPr>
          <w:rFonts w:hint="eastAsia" w:ascii="仿宋" w:hAnsi="仿宋" w:eastAsia="仿宋" w:cs="仿宋"/>
          <w:bCs/>
          <w:sz w:val="30"/>
          <w:szCs w:val="30"/>
        </w:rPr>
        <w:t>为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退役军人事务局下设</w:t>
      </w:r>
      <w:r>
        <w:rPr>
          <w:rFonts w:hint="eastAsia" w:ascii="仿宋" w:hAnsi="仿宋" w:eastAsia="仿宋" w:cs="仿宋"/>
          <w:bCs/>
          <w:sz w:val="30"/>
          <w:szCs w:val="30"/>
        </w:rPr>
        <w:t>独立核算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二级</w:t>
      </w:r>
      <w:r>
        <w:rPr>
          <w:rFonts w:hint="eastAsia" w:ascii="仿宋" w:hAnsi="仿宋" w:eastAsia="仿宋" w:cs="仿宋"/>
          <w:bCs/>
          <w:sz w:val="30"/>
          <w:szCs w:val="30"/>
        </w:rPr>
        <w:t>单位，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负责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做好退役军人各类关系转接的行政辅助工作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落实特困退役军人和其他优抚对象帮扶援助工作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负责退役军人综合服务管理平台运行和线上业务受理办理工作；负责退役军人和其他优抚对象信息采集、管理等技术支撑工作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做好全县退役军人事务系统业务培训工作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认真贯彻《中华人民共和国英雄烈士保护法》，依法履行职责，做好英雄烈士保护工作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做好全县优抚对象中自愿入院的孤、残、病人员集中供养工作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做好退役军人信访接待、权益维护及法律咨询等工作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负责协助开展退役军人职业教育、技能培训和就业指导工作。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二、基本支出情况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年度财政预算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基本支出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488.92</w:t>
      </w:r>
      <w:r>
        <w:rPr>
          <w:rFonts w:hint="eastAsia" w:ascii="仿宋" w:hAnsi="仿宋" w:eastAsia="仿宋" w:cs="仿宋_GB2312"/>
          <w:sz w:val="30"/>
          <w:szCs w:val="30"/>
        </w:rPr>
        <w:t>万元，其中：人员支出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415.20</w:t>
      </w:r>
      <w:r>
        <w:rPr>
          <w:rFonts w:hint="eastAsia" w:ascii="仿宋" w:hAnsi="仿宋" w:eastAsia="仿宋" w:cs="仿宋_GB2312"/>
          <w:sz w:val="30"/>
          <w:szCs w:val="30"/>
        </w:rPr>
        <w:t>万元，公用支出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73.72</w:t>
      </w:r>
      <w:r>
        <w:rPr>
          <w:rFonts w:hint="eastAsia" w:ascii="仿宋" w:hAnsi="仿宋" w:eastAsia="仿宋" w:cs="仿宋_GB2312"/>
          <w:sz w:val="30"/>
          <w:szCs w:val="30"/>
        </w:rPr>
        <w:t>万元。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三、项目支出情况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  <w:t>1、专项资金安排落实、总投入等情况分析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2022年度，专项资金全年预算安排总额376.75万元，主要用于义务兵优待15.85万元、光荣院经费30万元、其他优抚支出217.13万元、军队移交政府离退休人员安置113.77万元。</w:t>
      </w:r>
    </w:p>
    <w:p>
      <w:pPr>
        <w:spacing w:line="560" w:lineRule="exact"/>
        <w:ind w:firstLine="602" w:firstLineChars="200"/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b/>
          <w:bCs/>
          <w:kern w:val="2"/>
          <w:sz w:val="30"/>
          <w:szCs w:val="30"/>
          <w:lang w:val="en-US" w:eastAsia="zh-CN" w:bidi="ar-SA"/>
        </w:rPr>
        <w:t>2、专项资金实际使用情况及管理情况分析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2022年度，专项资金实际执行总额376.75万元，其中，义务兵优待15.85万元、光荣院经费30万元、其他优抚支出217.13万元、军队移交政府离退休人员安置113.77万元。</w:t>
      </w: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p>
      <w:pPr>
        <w:pStyle w:val="5"/>
        <w:widowControl/>
        <w:wordWrap w:val="0"/>
        <w:spacing w:line="560" w:lineRule="exact"/>
        <w:ind w:firstLine="600" w:firstLineChars="200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为贯彻执行国家预算法，加强预算绩效管理，我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严格按预算绩效管理的相关要求开展预算工作，2022年总支出为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865.67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万元。其中：基本支出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488.92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万元,占总支出的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56.5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%;项目支出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376.75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万元,占总支出的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43.5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%。我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切实以绩效管理为目标，健全单位绩效管理工作机制，明确责任，努力提高绩效管理工作水平；加强单位制度建设，提升预算管理质量。合理保障各类救助对象保障标准，使救助对象基本生活得以有效保障，</w:t>
      </w:r>
      <w:r>
        <w:rPr>
          <w:rFonts w:hint="eastAsia" w:ascii="仿宋" w:hAnsi="仿宋" w:eastAsia="仿宋" w:cs="仿宋_GB2312"/>
          <w:kern w:val="2"/>
          <w:sz w:val="30"/>
          <w:szCs w:val="30"/>
          <w:lang w:val="en-US" w:eastAsia="zh-CN" w:bidi="ar-SA"/>
        </w:rPr>
        <w:t>通过通过优抚专项资金的使用，切实做好抚恤优待工作，维护好优抚对象合法权益，保障优抚对象生活水平；对军休人员和企业军转干人员予以妥善安置，强化社会拥军氛围。显著的改善并丰富了军休人员生活，完成预期指标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1、资金预算刚性不够，预算编制与实际支出项目有的存在差异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2、资金预算量与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退役军人事务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发展需求增加存在矛盾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、下一步改进措施</w:t>
      </w:r>
    </w:p>
    <w:p>
      <w:pPr>
        <w:pStyle w:val="2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1、严格按预算安排支出，压缩非必要的机构运行经费、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2、有效运用绩效评价结果，逐步增加预算资金，缓解资金不足与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val="en-US" w:eastAsia="zh-CN" w:bidi="ar-SA"/>
        </w:rPr>
        <w:t>退役军人事务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发展需求的矛盾。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、其他需要说明的情况</w:t>
      </w:r>
      <w:r>
        <w:rPr>
          <w:rFonts w:hint="eastAsia" w:eastAsia="黑体" w:cs="Times New Roman"/>
          <w:sz w:val="32"/>
          <w:szCs w:val="32"/>
          <w:lang w:eastAsia="zh-CN"/>
        </w:rPr>
        <w:t>：无。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1984" w:right="1701" w:bottom="198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C230A"/>
    <w:multiLevelType w:val="singleLevel"/>
    <w:tmpl w:val="FB2C23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3EA0320D"/>
    <w:rsid w:val="3EA0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sz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2023-12-13T02:48:00Z</dcterms:created>
  <dc:creator>戴</dc:creator>
  <cp:lastModifiedBy>戴</cp:lastModifiedBy>
  <dcterms:modified xsi:type="dcterms:W3CDTF">2023-12-13T02:48:49Z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44866B10352448B0AE42FF3C9C6FA389_11</vt:lpwstr>
  </property>
</Properties>
</file>