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99"/>
        <w:rPr>
          <w:rFonts w:ascii="黑体" w:hAnsi="黑体" w:eastAsia="黑体" w:cs="黑体"/>
          <w:color w:val="auto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color w:val="auto"/>
          <w:spacing w:val="14"/>
          <w:sz w:val="33"/>
          <w:szCs w:val="33"/>
        </w:rPr>
        <w:t>附件1</w:t>
      </w:r>
    </w:p>
    <w:p>
      <w:pPr>
        <w:spacing w:before="244" w:line="218" w:lineRule="auto"/>
        <w:ind w:left="391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1"/>
          <w:sz w:val="44"/>
          <w:szCs w:val="44"/>
        </w:rPr>
        <w:t>2022年度部门整体支出绩效评价基础数据表</w:t>
      </w:r>
    </w:p>
    <w:p>
      <w:pPr>
        <w:rPr>
          <w:color w:val="auto"/>
        </w:rPr>
      </w:pPr>
    </w:p>
    <w:p>
      <w:pPr>
        <w:spacing w:line="65" w:lineRule="exact"/>
        <w:rPr>
          <w:color w:val="auto"/>
        </w:rPr>
      </w:pPr>
    </w:p>
    <w:tbl>
      <w:tblPr>
        <w:tblStyle w:val="7"/>
        <w:tblW w:w="9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1968"/>
        <w:gridCol w:w="242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192" w:type="dxa"/>
            <w:vMerge w:val="restart"/>
            <w:tcBorders>
              <w:bottom w:val="nil"/>
            </w:tcBorders>
            <w:vAlign w:val="top"/>
          </w:tcPr>
          <w:p>
            <w:pPr>
              <w:spacing w:before="69" w:line="219" w:lineRule="auto"/>
              <w:ind w:left="425"/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</w:rPr>
            </w:pPr>
          </w:p>
          <w:p>
            <w:pPr>
              <w:spacing w:before="69" w:line="219" w:lineRule="auto"/>
              <w:ind w:left="42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1968" w:type="dxa"/>
            <w:vAlign w:val="top"/>
          </w:tcPr>
          <w:p>
            <w:pPr>
              <w:spacing w:before="163" w:line="219" w:lineRule="auto"/>
              <w:ind w:left="663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427" w:type="dxa"/>
            <w:vAlign w:val="top"/>
          </w:tcPr>
          <w:p>
            <w:pPr>
              <w:spacing w:before="163" w:line="219" w:lineRule="auto"/>
              <w:ind w:left="26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2022年实际在职人数</w:t>
            </w:r>
          </w:p>
        </w:tc>
        <w:tc>
          <w:tcPr>
            <w:tcW w:w="1673" w:type="dxa"/>
            <w:vAlign w:val="top"/>
          </w:tcPr>
          <w:p>
            <w:pPr>
              <w:spacing w:before="163" w:line="219" w:lineRule="auto"/>
              <w:ind w:left="518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3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281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279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70" w:line="220" w:lineRule="auto"/>
              <w:ind w:left="52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1968" w:type="dxa"/>
            <w:vAlign w:val="top"/>
          </w:tcPr>
          <w:p>
            <w:pPr>
              <w:spacing w:before="169" w:line="219" w:lineRule="auto"/>
              <w:ind w:left="343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2021年决算数</w:t>
            </w:r>
          </w:p>
        </w:tc>
        <w:tc>
          <w:tcPr>
            <w:tcW w:w="2427" w:type="dxa"/>
            <w:vAlign w:val="top"/>
          </w:tcPr>
          <w:p>
            <w:pPr>
              <w:spacing w:before="169" w:line="219" w:lineRule="auto"/>
              <w:ind w:left="57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2022年预算数</w:t>
            </w:r>
          </w:p>
        </w:tc>
        <w:tc>
          <w:tcPr>
            <w:tcW w:w="1673" w:type="dxa"/>
            <w:vAlign w:val="top"/>
          </w:tcPr>
          <w:p>
            <w:pPr>
              <w:spacing w:before="169" w:line="219" w:lineRule="auto"/>
              <w:ind w:left="198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color w:val="auto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</w:rPr>
              <w:t>、基本支出：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3682.64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4147.96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4147.96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61" w:line="220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其中：三公经费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23.70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26.5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11.87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1.公务用车购置和维护经费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13.59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7.00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62" w:line="219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13.59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7.00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63" w:line="220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</w:rPr>
              <w:t>2.出国经费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73" w:line="219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3.公务接待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10.11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19.5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192" w:type="dxa"/>
            <w:vAlign w:val="top"/>
          </w:tcPr>
          <w:p>
            <w:pPr>
              <w:spacing w:before="165" w:line="220" w:lineRule="auto"/>
              <w:ind w:left="95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sz w:val="21"/>
                <w:szCs w:val="21"/>
              </w:rPr>
              <w:t>二、项目支出：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9545.53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9916.22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9916.22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default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1.其他巩固脱贫衔接乡村振兴支出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4064.85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4064.85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公路建设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250.00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250.00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default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3.公路养护支出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1584.35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1584.35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default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4.其他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公路水路运输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3030.47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3030.47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default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5.车辆购置税用于公路等基础设施建设支出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521.83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521.83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6.公共交通运营补助支出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461.72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461.72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3" w:line="220" w:lineRule="auto"/>
              <w:ind w:left="95"/>
              <w:rPr>
                <w:rFonts w:hint="default" w:ascii="宋体" w:hAnsi="宋体" w:eastAsia="宋体" w:cs="宋体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管理事务支出</w:t>
            </w:r>
          </w:p>
        </w:tc>
        <w:tc>
          <w:tcPr>
            <w:tcW w:w="1968" w:type="dxa"/>
            <w:vAlign w:val="center"/>
          </w:tcPr>
          <w:p>
            <w:pPr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3.00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3192" w:type="dxa"/>
            <w:vAlign w:val="center"/>
          </w:tcPr>
          <w:p>
            <w:pPr>
              <w:spacing w:before="168" w:line="219" w:lineRule="auto"/>
              <w:ind w:left="95"/>
              <w:jc w:val="both"/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96" w:firstLine="420" w:firstLineChars="200"/>
              <w:textAlignment w:val="baseline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宣传动员过紧日子的观念，强化勤俭认识；加强党风廉政建设，严格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eastAsia="宋体"/>
                <w:color w:val="auto"/>
                <w:sz w:val="21"/>
                <w:lang w:eastAsia="zh-CN"/>
              </w:rPr>
              <w:t>行政支出，节约办公耗材、水电，压缩三公经费；严肃财经纪律，加强督查，认真开展自查自纠。</w:t>
            </w:r>
          </w:p>
        </w:tc>
      </w:tr>
    </w:tbl>
    <w:p>
      <w:pPr>
        <w:spacing w:before="132" w:line="336" w:lineRule="auto"/>
        <w:ind w:left="95" w:right="101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ascii="宋体" w:hAnsi="宋体" w:eastAsia="宋体" w:cs="宋体"/>
          <w:color w:val="auto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宋体" w:hAnsi="宋体" w:eastAsia="宋体" w:cs="宋体"/>
          <w:color w:val="auto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宋体" w:hAnsi="宋体" w:eastAsia="宋体" w:cs="宋体"/>
          <w:color w:val="auto"/>
          <w:spacing w:val="-7"/>
          <w:sz w:val="22"/>
          <w:szCs w:val="22"/>
        </w:rPr>
        <w:t>明</w:t>
      </w:r>
    </w:p>
    <w:p>
      <w:pPr>
        <w:spacing w:line="219" w:lineRule="auto"/>
        <w:ind w:left="95"/>
        <w:rPr>
          <w:rFonts w:ascii="宋体" w:hAnsi="宋体" w:eastAsia="宋体" w:cs="宋体"/>
          <w:color w:val="auto"/>
          <w:sz w:val="22"/>
          <w:szCs w:val="22"/>
        </w:rPr>
      </w:pPr>
      <w:r>
        <w:rPr>
          <w:rFonts w:ascii="宋体" w:hAnsi="宋体" w:eastAsia="宋体" w:cs="宋体"/>
          <w:color w:val="auto"/>
          <w:spacing w:val="9"/>
          <w:sz w:val="22"/>
          <w:szCs w:val="22"/>
        </w:rPr>
        <w:t>细表(财决05-2表)。</w:t>
      </w:r>
    </w:p>
    <w:p>
      <w:pPr>
        <w:spacing w:before="72" w:line="232" w:lineRule="auto"/>
        <w:ind w:firstLine="176" w:firstLineChars="10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color w:val="auto"/>
          <w:spacing w:val="-22"/>
          <w:position w:val="-1"/>
          <w:sz w:val="22"/>
          <w:szCs w:val="22"/>
        </w:rPr>
        <w:t>填表人：</w:t>
      </w:r>
      <w:r>
        <w:rPr>
          <w:rFonts w:hint="eastAsia" w:ascii="仿宋" w:hAnsi="仿宋" w:eastAsia="仿宋" w:cs="仿宋"/>
          <w:color w:val="auto"/>
          <w:spacing w:val="-22"/>
          <w:position w:val="-1"/>
          <w:sz w:val="22"/>
          <w:szCs w:val="22"/>
          <w:lang w:val="en-US" w:eastAsia="zh-CN"/>
        </w:rPr>
        <w:t>吴丹</w:t>
      </w:r>
      <w:r>
        <w:rPr>
          <w:rFonts w:ascii="仿宋" w:hAnsi="仿宋" w:eastAsia="仿宋" w:cs="仿宋"/>
          <w:color w:val="auto"/>
          <w:spacing w:val="3"/>
          <w:position w:val="-1"/>
          <w:sz w:val="22"/>
          <w:szCs w:val="22"/>
        </w:rPr>
        <w:t xml:space="preserve">      </w:t>
      </w:r>
      <w:r>
        <w:rPr>
          <w:rFonts w:ascii="仿宋" w:hAnsi="仿宋" w:eastAsia="仿宋" w:cs="仿宋"/>
          <w:color w:val="auto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color w:val="auto"/>
          <w:spacing w:val="-22"/>
          <w:sz w:val="22"/>
          <w:szCs w:val="22"/>
          <w:lang w:val="en-US" w:eastAsia="zh-CN"/>
        </w:rPr>
        <w:t>2023-7-6</w:t>
      </w:r>
      <w:r>
        <w:rPr>
          <w:rFonts w:ascii="仿宋" w:hAnsi="仿宋" w:eastAsia="仿宋" w:cs="仿宋"/>
          <w:color w:val="auto"/>
          <w:spacing w:val="2"/>
          <w:sz w:val="22"/>
          <w:szCs w:val="22"/>
        </w:rPr>
        <w:t xml:space="preserve">       </w:t>
      </w:r>
      <w:r>
        <w:rPr>
          <w:rFonts w:ascii="仿宋" w:hAnsi="仿宋" w:eastAsia="仿宋" w:cs="仿宋"/>
          <w:color w:val="auto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color w:val="auto"/>
          <w:spacing w:val="-22"/>
          <w:sz w:val="22"/>
          <w:szCs w:val="22"/>
          <w:lang w:val="en-US" w:eastAsia="zh-CN"/>
        </w:rPr>
        <w:t>4131157</w:t>
      </w:r>
      <w:r>
        <w:rPr>
          <w:rFonts w:ascii="仿宋" w:hAnsi="仿宋" w:eastAsia="仿宋" w:cs="仿宋"/>
          <w:color w:val="auto"/>
          <w:spacing w:val="3"/>
          <w:sz w:val="22"/>
          <w:szCs w:val="22"/>
        </w:rPr>
        <w:t xml:space="preserve">      </w:t>
      </w:r>
      <w:r>
        <w:rPr>
          <w:rFonts w:ascii="仿宋" w:hAnsi="仿宋" w:eastAsia="仿宋" w:cs="仿宋"/>
          <w:color w:val="auto"/>
          <w:spacing w:val="-22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auto"/>
          <w:spacing w:val="-22"/>
          <w:sz w:val="22"/>
          <w:szCs w:val="22"/>
          <w:lang w:val="en-US" w:eastAsia="zh-CN"/>
        </w:rPr>
        <w:t>唐龙</w:t>
      </w:r>
    </w:p>
    <w:p>
      <w:pPr>
        <w:rPr>
          <w:color w:val="auto"/>
        </w:rPr>
        <w:sectPr>
          <w:pgSz w:w="11900" w:h="16830"/>
          <w:pgMar w:top="1430" w:right="1314" w:bottom="1283" w:left="1314" w:header="0" w:footer="995" w:gutter="0"/>
          <w:cols w:space="720" w:num="1"/>
        </w:sectPr>
      </w:pPr>
    </w:p>
    <w:p>
      <w:pPr>
        <w:spacing w:before="113" w:line="224" w:lineRule="auto"/>
        <w:rPr>
          <w:rFonts w:ascii="黑体" w:hAnsi="黑体" w:eastAsia="黑体" w:cs="黑体"/>
          <w:color w:val="auto"/>
          <w:sz w:val="35"/>
          <w:szCs w:val="35"/>
        </w:rPr>
      </w:pPr>
      <w:r>
        <w:rPr>
          <w:rFonts w:ascii="黑体" w:hAnsi="黑体" w:eastAsia="黑体" w:cs="黑体"/>
          <w:b/>
          <w:bCs/>
          <w:color w:val="auto"/>
          <w:spacing w:val="1"/>
          <w:sz w:val="35"/>
          <w:szCs w:val="35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2"/>
          <w:sz w:val="44"/>
          <w:szCs w:val="44"/>
        </w:rPr>
        <w:t>2022年度部门整体支出绩效自评表</w:t>
      </w:r>
    </w:p>
    <w:p>
      <w:pPr>
        <w:spacing w:line="49" w:lineRule="exact"/>
        <w:rPr>
          <w:color w:val="auto"/>
        </w:rPr>
      </w:pPr>
    </w:p>
    <w:tbl>
      <w:tblPr>
        <w:tblStyle w:val="7"/>
        <w:tblW w:w="1027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877"/>
        <w:gridCol w:w="612"/>
        <w:gridCol w:w="1793"/>
        <w:gridCol w:w="1645"/>
        <w:gridCol w:w="1258"/>
        <w:gridCol w:w="738"/>
        <w:gridCol w:w="796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县级预算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部门名称</w:t>
            </w:r>
          </w:p>
        </w:tc>
        <w:tc>
          <w:tcPr>
            <w:tcW w:w="925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7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eastAsia="宋体" w:cs="Arial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华容县交通运输局（汇总）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年度预算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0"/>
                <w:szCs w:val="20"/>
              </w:rPr>
              <w:t>(万元)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position w:val="4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position w:val="6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3183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14064.18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14064.18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4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20"/>
                <w:szCs w:val="20"/>
                <w:lang w:val="en-US" w:eastAsia="zh-CN"/>
              </w:rPr>
              <w:t>14064.18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0"/>
                <w:szCs w:val="20"/>
                <w:lang w:val="en-US" w:eastAsia="zh-CN"/>
              </w:rPr>
              <w:t>14064.18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4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0"/>
                <w:szCs w:val="20"/>
              </w:rPr>
              <w:t>其中：</w:t>
            </w:r>
            <w:r>
              <w:rPr>
                <w:rFonts w:ascii="宋体" w:hAnsi="宋体" w:eastAsia="宋体" w:cs="宋体"/>
                <w:color w:val="auto"/>
                <w:spacing w:val="1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8"/>
                <w:sz w:val="20"/>
                <w:szCs w:val="20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0"/>
                <w:szCs w:val="20"/>
                <w:lang w:val="en-US" w:eastAsia="zh-CN"/>
              </w:rPr>
              <w:t>14064.18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0"/>
                <w:szCs w:val="20"/>
                <w:lang w:val="en-US" w:eastAsia="zh-CN"/>
              </w:rPr>
              <w:t>4147.96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4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both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>政府性基金拨款：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20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  <w:lang w:val="en-US" w:eastAsia="zh-CN"/>
              </w:rPr>
              <w:t>9916.22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4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both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4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both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1"/>
                <w:sz w:val="20"/>
                <w:szCs w:val="20"/>
              </w:rPr>
              <w:t>其他资金：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both"/>
              <w:textAlignment w:val="baseline"/>
              <w:rPr>
                <w:rFonts w:ascii="Arial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  <w:highlight w:val="none"/>
              </w:rPr>
              <w:t>总体目标</w:t>
            </w:r>
          </w:p>
        </w:tc>
        <w:tc>
          <w:tcPr>
            <w:tcW w:w="4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0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92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400" w:firstLineChars="200"/>
              <w:jc w:val="both"/>
              <w:textAlignment w:val="baseline"/>
              <w:rPr>
                <w:rFonts w:hint="default" w:ascii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/>
                <w:color w:val="auto"/>
                <w:sz w:val="20"/>
                <w:szCs w:val="20"/>
                <w:highlight w:val="none"/>
              </w:rPr>
              <w:t>按照县委、县政府总体部署，围绕人民满意交通目标为抓手，争项争资，推进项目建设，提升乡村振兴；强化市场秩序管理，优化管理服务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，保证安全生产</w:t>
            </w:r>
            <w:r>
              <w:rPr>
                <w:rFonts w:hint="default" w:ascii="Arial"/>
                <w:color w:val="auto"/>
                <w:sz w:val="20"/>
                <w:szCs w:val="20"/>
                <w:highlight w:val="none"/>
              </w:rPr>
              <w:t>；强化基础保障，严格预算管理，确保行政运行正常，队伍稳定。</w:t>
            </w:r>
          </w:p>
        </w:tc>
        <w:tc>
          <w:tcPr>
            <w:tcW w:w="432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400" w:firstLineChars="200"/>
              <w:jc w:val="both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auto"/>
                <w:sz w:val="20"/>
                <w:szCs w:val="20"/>
                <w:highlight w:val="none"/>
              </w:rPr>
              <w:t>年度预算收支平衡，部门运转稳定；完成基本民生和重大项目交工通行，完成农村公路建设和养护任务；市场秩序良好，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确保安全生产，</w:t>
            </w:r>
            <w:r>
              <w:rPr>
                <w:rFonts w:hint="eastAsia" w:ascii="Arial"/>
                <w:color w:val="auto"/>
                <w:sz w:val="20"/>
                <w:szCs w:val="20"/>
                <w:highlight w:val="none"/>
              </w:rPr>
              <w:t>完成营商环境治理，完成春运等重点运输保障工作；公路管理进一步深入，完成路域环境整治。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2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  <w:t>绩效指标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0"/>
                <w:szCs w:val="20"/>
                <w:highlight w:val="none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position w:val="4"/>
                <w:sz w:val="20"/>
                <w:szCs w:val="20"/>
                <w:highlight w:val="none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  <w:highlight w:val="none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position w:val="4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  <w:t>偏差原因分析及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  <w:highlight w:val="none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0"/>
                <w:szCs w:val="20"/>
                <w:highlight w:val="none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132" w:firstLine="11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  <w:highlight w:val="none"/>
              </w:rPr>
              <w:t>指标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指标</w:t>
            </w:r>
          </w:p>
        </w:tc>
        <w:tc>
          <w:tcPr>
            <w:tcW w:w="17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开展重点主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题宣传策划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安全生产、文明创建、市场维稳、行政执法主题宣传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auto"/>
                <w:sz w:val="20"/>
                <w:szCs w:val="20"/>
                <w:highlight w:val="none"/>
              </w:rPr>
              <w:t>开展党风廉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auto"/>
                <w:sz w:val="20"/>
                <w:szCs w:val="20"/>
                <w:highlight w:val="none"/>
              </w:rPr>
              <w:t>政教育活动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8次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交通公共基础设施项目建设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农村公路管养、建设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2000公里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3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重点项目建设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建设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1座桥梁、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重启塔市码头建设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3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规划编制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以花注公路前期为主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交工检测合格率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学法考法合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格率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auto"/>
                <w:sz w:val="20"/>
                <w:szCs w:val="20"/>
                <w:highlight w:val="none"/>
              </w:rPr>
              <w:t>普通公路超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auto"/>
                <w:sz w:val="20"/>
                <w:szCs w:val="20"/>
                <w:highlight w:val="none"/>
              </w:rPr>
              <w:t>限超载率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两客一危车辆上传交通部数据覆盖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；水上交通安全视频监控信息处置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  <w:highlight w:val="none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年度目标任务完成情况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预算执行率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资金使用效率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29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  <w:t>项目合约执行情况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spacing w:line="102" w:lineRule="exact"/>
        <w:rPr>
          <w:color w:val="auto"/>
        </w:rPr>
      </w:pPr>
    </w:p>
    <w:tbl>
      <w:tblPr>
        <w:tblStyle w:val="7"/>
        <w:tblW w:w="102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981"/>
        <w:gridCol w:w="923"/>
        <w:gridCol w:w="1869"/>
        <w:gridCol w:w="1731"/>
        <w:gridCol w:w="704"/>
        <w:gridCol w:w="703"/>
        <w:gridCol w:w="739"/>
        <w:gridCol w:w="1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1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绩效指标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2"/>
                <w:szCs w:val="22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指标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2"/>
                <w:szCs w:val="22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指标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2"/>
                <w:szCs w:val="22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指标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2"/>
                <w:szCs w:val="22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  <w:szCs w:val="22"/>
              </w:rPr>
              <w:t>指标值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完成值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得分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2"/>
                <w:szCs w:val="22"/>
              </w:rPr>
              <w:t>偏差原因分析及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2"/>
                <w:szCs w:val="22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2"/>
                <w:szCs w:val="22"/>
              </w:rPr>
              <w:t>效益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20"/>
                <w:w w:val="117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0"/>
                <w:sz w:val="22"/>
                <w:szCs w:val="22"/>
              </w:rPr>
              <w:t>(30分)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baseline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  <w:szCs w:val="22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益指标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积极对接国省交通强国战略，促进我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县</w:t>
            </w:r>
            <w:r>
              <w:rPr>
                <w:rFonts w:hint="eastAsia" w:ascii="Arial"/>
                <w:color w:val="auto"/>
                <w:sz w:val="22"/>
                <w:szCs w:val="22"/>
              </w:rPr>
              <w:t>经济发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争项争资完成</w:t>
            </w: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1.5亿元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1.5亿元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降低超限超载车辆对路面的损坏，保护路产路权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开展科技治超、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完成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1"/>
                <w:sz w:val="22"/>
                <w:szCs w:val="22"/>
                <w:lang w:eastAsia="zh-CN"/>
              </w:rPr>
              <w:t>培育、升级运输市场，打造良好营商环境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/>
                <w:color w:val="auto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社会公众出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行成本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下降、安全指标提高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出行方式多元化、安全事故下降。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交通项目建设投资成本下降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配合财政评审，严格控制项目变更、调差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实际成本有控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  <w:szCs w:val="22"/>
              </w:rPr>
              <w:t>社会效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益指标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提高安全生产和应急管理水平，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维</w:t>
            </w:r>
            <w:r>
              <w:rPr>
                <w:rFonts w:hint="eastAsia" w:ascii="Arial"/>
                <w:color w:val="auto"/>
                <w:sz w:val="22"/>
                <w:szCs w:val="22"/>
              </w:rPr>
              <w:t>护社会稳定，提高人民群众幸福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感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提高安全生产和应急管理水平，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维</w:t>
            </w:r>
            <w:r>
              <w:rPr>
                <w:rFonts w:hint="eastAsia" w:ascii="Arial"/>
                <w:color w:val="auto"/>
                <w:sz w:val="22"/>
                <w:szCs w:val="22"/>
              </w:rPr>
              <w:t>护社会稳定，提高人民群众幸福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感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完成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强化企业安全生产主体责任，排查整治安全隐患，维护安全形势的基本稳定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强化企业安全生产主体责任，排查整治安全隐患，维护安全形势的基本稳定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完成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优化交通项目建设方案，提升项目服务水平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/>
                <w:color w:val="auto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优化交通项目建设方案，提升项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目服务水平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完成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  <w:szCs w:val="22"/>
              </w:rPr>
              <w:t>生态效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益指标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交通运输</w:t>
            </w: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领域</w:t>
            </w:r>
            <w:r>
              <w:rPr>
                <w:rFonts w:hint="eastAsia" w:ascii="Arial"/>
                <w:color w:val="auto"/>
                <w:sz w:val="22"/>
                <w:szCs w:val="22"/>
              </w:rPr>
              <w:t>环境保护管理水平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提高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提高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  <w:szCs w:val="22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2"/>
                <w:szCs w:val="22"/>
              </w:rPr>
              <w:t>影响指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标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/>
                <w:color w:val="auto"/>
                <w:sz w:val="22"/>
                <w:szCs w:val="22"/>
              </w:rPr>
              <w:t>交通运输行业安全稳定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保持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保持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服务乡村振兴，交通项目建设稳步推进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保持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保持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满意度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0"/>
                <w:w w:val="117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0"/>
                <w:sz w:val="22"/>
                <w:szCs w:val="22"/>
              </w:rPr>
              <w:t>(10分)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  <w:szCs w:val="22"/>
              </w:rPr>
              <w:t>服务对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  <w:szCs w:val="22"/>
              </w:rPr>
              <w:t>象满意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2"/>
                <w:szCs w:val="22"/>
              </w:rPr>
              <w:t>度指标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运输服务对象满意度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100%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98%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  <w:t>项目建设受益群众满意度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100%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≦</w:t>
            </w: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100%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8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position w:val="1"/>
                <w:sz w:val="22"/>
                <w:szCs w:val="22"/>
              </w:rPr>
              <w:t>………</w:t>
            </w:r>
          </w:p>
        </w:tc>
        <w:tc>
          <w:tcPr>
            <w:tcW w:w="17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1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  <w:szCs w:val="22"/>
              </w:rPr>
              <w:t>总分</w:t>
            </w:r>
          </w:p>
        </w:tc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2"/>
                <w:szCs w:val="22"/>
              </w:rPr>
              <w:t>100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Arial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color w:val="auto"/>
                <w:sz w:val="22"/>
                <w:szCs w:val="22"/>
              </w:rPr>
            </w:pPr>
          </w:p>
        </w:tc>
      </w:tr>
    </w:tbl>
    <w:p>
      <w:pPr>
        <w:spacing w:before="34" w:line="219" w:lineRule="auto"/>
        <w:ind w:left="585"/>
        <w:rPr>
          <w:rFonts w:ascii="宋体" w:hAnsi="宋体" w:eastAsia="宋体" w:cs="宋体"/>
          <w:color w:val="auto"/>
          <w:sz w:val="23"/>
          <w:szCs w:val="23"/>
        </w:rPr>
      </w:pPr>
      <w:r>
        <w:rPr>
          <w:rFonts w:ascii="宋体" w:hAnsi="宋体" w:eastAsia="宋体" w:cs="宋体"/>
          <w:color w:val="auto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宋体" w:hAnsi="宋体" w:eastAsia="宋体" w:cs="宋体"/>
          <w:color w:val="auto"/>
          <w:spacing w:val="2"/>
          <w:sz w:val="23"/>
          <w:szCs w:val="23"/>
        </w:rPr>
        <w:t>决01表)。</w:t>
      </w:r>
    </w:p>
    <w:p>
      <w:pPr>
        <w:spacing w:before="63" w:line="221" w:lineRule="auto"/>
        <w:ind w:left="595"/>
        <w:rPr>
          <w:rFonts w:hint="eastAsia" w:eastAsia="仿宋"/>
          <w:color w:val="auto"/>
          <w:lang w:eastAsia="zh-CN"/>
        </w:rPr>
        <w:sectPr>
          <w:footerReference r:id="rId5" w:type="default"/>
          <w:pgSz w:w="11900" w:h="16830"/>
          <w:pgMar w:top="1430" w:right="815" w:bottom="1233" w:left="825" w:header="0" w:footer="945" w:gutter="0"/>
          <w:cols w:space="720" w:num="1"/>
        </w:sectPr>
      </w:pP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填表人：</w:t>
      </w:r>
      <w:r>
        <w:rPr>
          <w:rFonts w:hint="eastAsia" w:ascii="仿宋" w:hAnsi="仿宋" w:eastAsia="仿宋" w:cs="仿宋"/>
          <w:color w:val="auto"/>
          <w:spacing w:val="-26"/>
          <w:sz w:val="23"/>
          <w:szCs w:val="23"/>
          <w:lang w:val="en-US" w:eastAsia="zh-CN"/>
        </w:rPr>
        <w:t>吴丹</w:t>
      </w:r>
      <w:r>
        <w:rPr>
          <w:rFonts w:ascii="仿宋" w:hAnsi="仿宋" w:eastAsia="仿宋" w:cs="仿宋"/>
          <w:color w:val="auto"/>
          <w:spacing w:val="11"/>
          <w:sz w:val="23"/>
          <w:szCs w:val="23"/>
        </w:rPr>
        <w:t xml:space="preserve">      </w:t>
      </w: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填报日期：</w:t>
      </w:r>
      <w:r>
        <w:rPr>
          <w:rFonts w:hint="eastAsia" w:ascii="仿宋" w:hAnsi="仿宋" w:eastAsia="仿宋" w:cs="仿宋"/>
          <w:color w:val="auto"/>
          <w:spacing w:val="-26"/>
          <w:sz w:val="23"/>
          <w:szCs w:val="23"/>
          <w:lang w:val="en-US" w:eastAsia="zh-CN"/>
        </w:rPr>
        <w:t>2023-7-6</w:t>
      </w:r>
      <w:r>
        <w:rPr>
          <w:rFonts w:ascii="仿宋" w:hAnsi="仿宋" w:eastAsia="仿宋" w:cs="仿宋"/>
          <w:color w:val="auto"/>
          <w:spacing w:val="5"/>
          <w:sz w:val="23"/>
          <w:szCs w:val="23"/>
        </w:rPr>
        <w:t xml:space="preserve">         </w:t>
      </w: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联系电话：</w:t>
      </w:r>
      <w:r>
        <w:rPr>
          <w:rFonts w:hint="eastAsia" w:ascii="仿宋" w:hAnsi="仿宋" w:eastAsia="仿宋" w:cs="仿宋"/>
          <w:color w:val="auto"/>
          <w:spacing w:val="-26"/>
          <w:sz w:val="23"/>
          <w:szCs w:val="23"/>
          <w:lang w:val="en-US" w:eastAsia="zh-CN"/>
        </w:rPr>
        <w:t>4131157</w:t>
      </w:r>
      <w:r>
        <w:rPr>
          <w:rFonts w:ascii="仿宋" w:hAnsi="仿宋" w:eastAsia="仿宋" w:cs="仿宋"/>
          <w:color w:val="auto"/>
          <w:spacing w:val="2"/>
          <w:sz w:val="23"/>
          <w:szCs w:val="23"/>
        </w:rPr>
        <w:t xml:space="preserve">        </w:t>
      </w:r>
      <w:r>
        <w:rPr>
          <w:rFonts w:ascii="仿宋" w:hAnsi="仿宋" w:eastAsia="仿宋" w:cs="仿宋"/>
          <w:color w:val="auto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auto"/>
          <w:sz w:val="23"/>
          <w:szCs w:val="23"/>
          <w:lang w:val="en-US" w:eastAsia="zh-CN"/>
        </w:rPr>
        <w:t>唐龙</w:t>
      </w:r>
    </w:p>
    <w:p>
      <w:pPr>
        <w:spacing w:line="402" w:lineRule="auto"/>
        <w:rPr>
          <w:rFonts w:ascii="Arial"/>
          <w:color w:val="auto"/>
          <w:sz w:val="21"/>
        </w:rPr>
      </w:pPr>
    </w:p>
    <w:p>
      <w:pPr>
        <w:spacing w:before="108" w:line="224" w:lineRule="auto"/>
        <w:rPr>
          <w:rFonts w:ascii="黑体" w:hAnsi="黑体" w:eastAsia="黑体" w:cs="黑体"/>
          <w:color w:val="auto"/>
          <w:sz w:val="33"/>
          <w:szCs w:val="33"/>
        </w:rPr>
      </w:pPr>
      <w:r>
        <w:rPr>
          <w:rFonts w:ascii="黑体" w:hAnsi="黑体" w:eastAsia="黑体" w:cs="黑体"/>
          <w:b/>
          <w:bCs/>
          <w:color w:val="auto"/>
          <w:spacing w:val="14"/>
          <w:sz w:val="33"/>
          <w:szCs w:val="33"/>
        </w:rPr>
        <w:t>附件3</w:t>
      </w:r>
    </w:p>
    <w:p>
      <w:pPr>
        <w:spacing w:line="276" w:lineRule="auto"/>
        <w:rPr>
          <w:rFonts w:ascii="Arial"/>
          <w:color w:val="auto"/>
          <w:sz w:val="21"/>
        </w:rPr>
      </w:pPr>
    </w:p>
    <w:p>
      <w:pPr>
        <w:spacing w:line="276" w:lineRule="auto"/>
        <w:rPr>
          <w:rFonts w:ascii="Arial"/>
          <w:color w:val="auto"/>
          <w:sz w:val="21"/>
        </w:rPr>
      </w:pPr>
    </w:p>
    <w:p>
      <w:pPr>
        <w:spacing w:line="277" w:lineRule="auto"/>
        <w:rPr>
          <w:rFonts w:ascii="Arial"/>
          <w:color w:val="auto"/>
          <w:sz w:val="21"/>
        </w:rPr>
      </w:pPr>
    </w:p>
    <w:p>
      <w:pPr>
        <w:spacing w:before="143" w:line="917" w:lineRule="exact"/>
        <w:ind w:left="931"/>
        <w:jc w:val="center"/>
        <w:rPr>
          <w:rFonts w:ascii="宋体" w:hAnsi="宋体" w:eastAsia="宋体" w:cs="宋体"/>
          <w:b/>
          <w:bCs/>
          <w:color w:val="auto"/>
          <w:spacing w:val="27"/>
          <w:position w:val="35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27"/>
          <w:position w:val="35"/>
          <w:sz w:val="44"/>
          <w:szCs w:val="44"/>
        </w:rPr>
        <w:t>2022年度</w:t>
      </w:r>
      <w:r>
        <w:rPr>
          <w:rFonts w:hint="eastAsia" w:ascii="宋体" w:hAnsi="宋体" w:eastAsia="宋体" w:cs="宋体"/>
          <w:b/>
          <w:bCs/>
          <w:color w:val="auto"/>
          <w:spacing w:val="27"/>
          <w:position w:val="35"/>
          <w:sz w:val="44"/>
          <w:szCs w:val="44"/>
          <w:lang w:val="en-US" w:eastAsia="zh-CN"/>
        </w:rPr>
        <w:t>华容县交通运输局</w:t>
      </w:r>
      <w:r>
        <w:rPr>
          <w:rFonts w:ascii="宋体" w:hAnsi="宋体" w:eastAsia="宋体" w:cs="宋体"/>
          <w:b/>
          <w:bCs/>
          <w:color w:val="auto"/>
          <w:spacing w:val="27"/>
          <w:position w:val="35"/>
          <w:sz w:val="44"/>
          <w:szCs w:val="44"/>
        </w:rPr>
        <w:t>(</w:t>
      </w:r>
      <w:r>
        <w:rPr>
          <w:rFonts w:hint="eastAsia" w:ascii="宋体" w:hAnsi="宋体" w:eastAsia="宋体" w:cs="宋体"/>
          <w:b/>
          <w:bCs/>
          <w:color w:val="auto"/>
          <w:spacing w:val="27"/>
          <w:position w:val="35"/>
          <w:sz w:val="44"/>
          <w:szCs w:val="44"/>
          <w:lang w:val="en-US" w:eastAsia="zh-CN"/>
        </w:rPr>
        <w:t>汇总</w:t>
      </w:r>
      <w:r>
        <w:rPr>
          <w:rFonts w:ascii="宋体" w:hAnsi="宋体" w:eastAsia="宋体" w:cs="宋体"/>
          <w:b/>
          <w:bCs/>
          <w:color w:val="auto"/>
          <w:spacing w:val="27"/>
          <w:position w:val="35"/>
          <w:sz w:val="44"/>
          <w:szCs w:val="44"/>
        </w:rPr>
        <w:t>)</w:t>
      </w:r>
    </w:p>
    <w:p>
      <w:pPr>
        <w:spacing w:before="143" w:line="917" w:lineRule="exact"/>
        <w:ind w:left="931"/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44"/>
          <w:szCs w:val="44"/>
          <w:lang w:val="en-US" w:eastAsia="zh-CN"/>
        </w:rPr>
        <w:t>整体支出</w:t>
      </w:r>
      <w:r>
        <w:rPr>
          <w:rFonts w:ascii="宋体" w:hAnsi="宋体" w:eastAsia="宋体" w:cs="宋体"/>
          <w:b/>
          <w:bCs/>
          <w:color w:val="auto"/>
          <w:spacing w:val="-2"/>
          <w:sz w:val="44"/>
          <w:szCs w:val="44"/>
        </w:rPr>
        <w:t>绩效自评报告</w:t>
      </w: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before="107" w:line="326" w:lineRule="auto"/>
        <w:jc w:val="center"/>
        <w:rPr>
          <w:rFonts w:ascii="仿宋" w:hAnsi="仿宋" w:eastAsia="仿宋" w:cs="仿宋"/>
          <w:color w:val="auto"/>
          <w:sz w:val="33"/>
          <w:szCs w:val="33"/>
        </w:rPr>
      </w:pPr>
      <w:r>
        <w:rPr>
          <w:rFonts w:ascii="仿宋" w:hAnsi="仿宋" w:eastAsia="仿宋" w:cs="仿宋"/>
          <w:color w:val="auto"/>
          <w:spacing w:val="4"/>
          <w:sz w:val="33"/>
          <w:szCs w:val="33"/>
        </w:rPr>
        <w:t>部门(单位)名称：</w:t>
      </w:r>
      <w:r>
        <w:rPr>
          <w:rFonts w:ascii="仿宋" w:hAnsi="仿宋" w:eastAsia="仿宋" w:cs="仿宋"/>
          <w:color w:val="auto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color w:val="auto"/>
          <w:spacing w:val="-9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color w:val="auto"/>
          <w:spacing w:val="4"/>
          <w:sz w:val="33"/>
          <w:szCs w:val="33"/>
          <w:u w:val="single" w:color="auto"/>
        </w:rPr>
        <w:t>(盖章)</w:t>
      </w:r>
    </w:p>
    <w:p>
      <w:pPr>
        <w:spacing w:line="222" w:lineRule="auto"/>
        <w:ind w:firstLine="3432" w:firstLineChars="1200"/>
        <w:jc w:val="both"/>
        <w:rPr>
          <w:rFonts w:ascii="仿宋" w:hAnsi="仿宋" w:eastAsia="仿宋" w:cs="仿宋"/>
          <w:color w:val="auto"/>
          <w:sz w:val="33"/>
          <w:szCs w:val="33"/>
        </w:rPr>
      </w:pPr>
      <w:r>
        <w:rPr>
          <w:rFonts w:hint="eastAsia" w:ascii="仿宋" w:hAnsi="仿宋" w:eastAsia="仿宋" w:cs="仿宋"/>
          <w:color w:val="auto"/>
          <w:spacing w:val="-22"/>
          <w:sz w:val="33"/>
          <w:szCs w:val="33"/>
          <w:lang w:val="en-US" w:eastAsia="zh-CN"/>
        </w:rPr>
        <w:t xml:space="preserve">2023 </w:t>
      </w:r>
      <w:r>
        <w:rPr>
          <w:rFonts w:ascii="仿宋" w:hAnsi="仿宋" w:eastAsia="仿宋" w:cs="仿宋"/>
          <w:color w:val="auto"/>
          <w:spacing w:val="-22"/>
          <w:sz w:val="33"/>
          <w:szCs w:val="33"/>
        </w:rPr>
        <w:t>年</w:t>
      </w:r>
      <w:r>
        <w:rPr>
          <w:rFonts w:hint="eastAsia" w:ascii="仿宋" w:hAnsi="仿宋" w:eastAsia="仿宋" w:cs="仿宋"/>
          <w:color w:val="auto"/>
          <w:spacing w:val="-22"/>
          <w:sz w:val="33"/>
          <w:szCs w:val="33"/>
          <w:lang w:val="en-US" w:eastAsia="zh-CN"/>
        </w:rPr>
        <w:t xml:space="preserve"> 7</w:t>
      </w:r>
      <w:r>
        <w:rPr>
          <w:rFonts w:ascii="仿宋" w:hAnsi="仿宋" w:eastAsia="仿宋" w:cs="仿宋"/>
          <w:color w:val="auto"/>
          <w:spacing w:val="-22"/>
          <w:sz w:val="33"/>
          <w:szCs w:val="33"/>
        </w:rPr>
        <w:t>月</w:t>
      </w:r>
      <w:r>
        <w:rPr>
          <w:rFonts w:hint="eastAsia" w:ascii="仿宋" w:hAnsi="仿宋" w:eastAsia="仿宋" w:cs="仿宋"/>
          <w:color w:val="auto"/>
          <w:spacing w:val="-22"/>
          <w:sz w:val="33"/>
          <w:szCs w:val="33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13"/>
          <w:sz w:val="33"/>
          <w:szCs w:val="33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-22"/>
          <w:sz w:val="33"/>
          <w:szCs w:val="33"/>
        </w:rPr>
        <w:t>日</w:t>
      </w:r>
    </w:p>
    <w:p>
      <w:pPr>
        <w:rPr>
          <w:color w:val="auto"/>
        </w:rPr>
        <w:sectPr>
          <w:footerReference r:id="rId6" w:type="default"/>
          <w:pgSz w:w="11900" w:h="16830"/>
          <w:pgMar w:top="1430" w:right="1505" w:bottom="1138" w:left="1444" w:header="0" w:footer="85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ind w:left="2965" w:right="765" w:hanging="2268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</w:rPr>
        <w:t>2022年度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  <w:lang w:val="en-US" w:eastAsia="zh-CN"/>
        </w:rPr>
        <w:t>华容县交通运输局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</w:rPr>
        <w:t>(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  <w:lang w:val="en-US" w:eastAsia="zh-CN"/>
        </w:rPr>
        <w:t>汇总）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40" w:lineRule="exact"/>
        <w:ind w:left="2965" w:right="765" w:hanging="2268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5"/>
          <w:sz w:val="44"/>
          <w:szCs w:val="44"/>
          <w:lang w:val="en-US" w:eastAsia="zh-CN"/>
        </w:rPr>
        <w:t>整体支出绩效自评报告</w:t>
      </w:r>
    </w:p>
    <w:p>
      <w:pPr>
        <w:spacing w:line="356" w:lineRule="auto"/>
        <w:jc w:val="both"/>
        <w:rPr>
          <w:rFonts w:ascii="Arial"/>
          <w:color w:val="auto"/>
          <w:sz w:val="21"/>
        </w:rPr>
      </w:pPr>
    </w:p>
    <w:p>
      <w:pPr>
        <w:spacing w:line="356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731" w:firstLineChars="200"/>
        <w:jc w:val="both"/>
        <w:textAlignment w:val="baseline"/>
        <w:rPr>
          <w:rFonts w:ascii="黑体" w:hAnsi="黑体" w:eastAsia="黑体" w:cs="黑体"/>
          <w:b/>
          <w:bCs/>
          <w:color w:val="auto"/>
          <w:spacing w:val="2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spacing w:val="22"/>
          <w:kern w:val="0"/>
          <w:sz w:val="32"/>
          <w:szCs w:val="32"/>
        </w:rPr>
        <w:t>一、</w:t>
      </w:r>
      <w:r>
        <w:rPr>
          <w:rFonts w:ascii="黑体" w:hAnsi="黑体" w:eastAsia="黑体" w:cs="黑体"/>
          <w:b/>
          <w:bCs/>
          <w:color w:val="auto"/>
          <w:spacing w:val="22"/>
          <w:sz w:val="32"/>
          <w:szCs w:val="32"/>
        </w:rPr>
        <w:t>部门(单位)基本情况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1、部门基本情况：</w:t>
      </w:r>
      <w:r>
        <w:rPr>
          <w:rFonts w:hint="eastAsia" w:ascii="仿宋" w:hAnsi="仿宋" w:eastAsia="仿宋"/>
          <w:color w:val="auto"/>
          <w:sz w:val="28"/>
          <w:szCs w:val="28"/>
        </w:rPr>
        <w:t>华容县交通运输局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本级</w:t>
      </w:r>
      <w:r>
        <w:rPr>
          <w:rFonts w:hint="eastAsia" w:ascii="仿宋" w:hAnsi="仿宋" w:eastAsia="仿宋"/>
          <w:color w:val="auto"/>
          <w:sz w:val="28"/>
          <w:szCs w:val="28"/>
        </w:rPr>
        <w:t>现设有办公室、财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务审</w:t>
      </w:r>
      <w:r>
        <w:rPr>
          <w:rFonts w:hint="eastAsia" w:ascii="仿宋" w:hAnsi="仿宋" w:eastAsia="仿宋"/>
          <w:color w:val="auto"/>
          <w:sz w:val="28"/>
          <w:szCs w:val="28"/>
        </w:rPr>
        <w:t>计股、人事股、规划建养股、安全监督股、运输管理股、法制股、行政审批股八个股室。交通系统现有人员编制281名，（其中行政编制16名；事业全额编制264名；事业差额编制0名；自收自支编制0名；工勤编制1名）。实有人员279人，（其中全额人员279人；差额人员0人）。下属五个二级事业单位：县水运事务中心、县道路运输服务中心、县交通运输综合行政执法大队、县交通工程质量和安全监督管理站、县公路事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部门主要职能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</w:rPr>
        <w:t>执行</w:t>
      </w:r>
      <w:r>
        <w:rPr>
          <w:rFonts w:hint="eastAsia" w:ascii="仿宋" w:hAnsi="仿宋" w:eastAsia="仿宋"/>
          <w:color w:val="auto"/>
          <w:spacing w:val="-6"/>
          <w:sz w:val="28"/>
          <w:szCs w:val="28"/>
        </w:rPr>
        <w:t>落实交通运输行业各项法规政策；组织拟订或参与拟订交通运输规划、计划并监督实施；负责交通基础设施项目建设、管理维护和行业监管协调；负责交通运输行业监管工作交通运输行业管理、农村公路管、建、养、运输市</w:t>
      </w:r>
      <w:r>
        <w:rPr>
          <w:rFonts w:hint="eastAsia" w:ascii="仿宋" w:hAnsi="仿宋" w:eastAsia="仿宋"/>
          <w:color w:val="auto"/>
          <w:sz w:val="28"/>
          <w:szCs w:val="28"/>
        </w:rPr>
        <w:t>场管理、交通建设管理。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87" w:firstLineChars="200"/>
        <w:jc w:val="both"/>
        <w:textAlignment w:val="baseline"/>
        <w:outlineLvl w:val="1"/>
        <w:rPr>
          <w:rFonts w:ascii="黑体" w:hAnsi="黑体" w:eastAsia="黑体" w:cs="黑体"/>
          <w:b/>
          <w:bCs/>
          <w:color w:val="auto"/>
          <w:spacing w:val="-1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pacing w:val="-14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b/>
          <w:bCs/>
          <w:color w:val="auto"/>
          <w:spacing w:val="-14"/>
          <w:sz w:val="32"/>
          <w:szCs w:val="32"/>
        </w:rPr>
        <w:t>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2022年本部门全年基本支出4147.96万元，其中：工资福利支出3169.78万元，商品和服务支出916.34万元，对个人和家庭的补助支出58.06万元，资本性支出3.78万元。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2022年“三公”经费实际支出11.87万元，比2021年“三公”经费支出23.7万元减少11.83万元，减少49.9%，主要是根据中央八项规定，厉行节约压减机关运行经费。其中公务接待费9.99万元，公务用车运维费1.88万元。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75" w:firstLineChars="200"/>
        <w:jc w:val="both"/>
        <w:textAlignment w:val="baseline"/>
        <w:outlineLvl w:val="1"/>
        <w:rPr>
          <w:rFonts w:ascii="黑体" w:hAnsi="黑体" w:eastAsia="黑体" w:cs="黑体"/>
          <w:b/>
          <w:bCs/>
          <w:color w:val="auto"/>
          <w:spacing w:val="-17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spacing w:val="-17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napToGrid w:val="0"/>
          <w:color w:val="auto"/>
          <w:spacing w:val="-17"/>
          <w:kern w:val="0"/>
          <w:sz w:val="32"/>
          <w:szCs w:val="32"/>
        </w:rPr>
        <w:t>、</w:t>
      </w:r>
      <w:r>
        <w:rPr>
          <w:rFonts w:ascii="黑体" w:hAnsi="黑体" w:eastAsia="黑体" w:cs="黑体"/>
          <w:b/>
          <w:bCs/>
          <w:color w:val="auto"/>
          <w:spacing w:val="-17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年华容县交通运输局全年项目支出9916.22万元，其中：其他巩固脱贫衔接乡村振兴支出4064.85万元，公路建设支出250.00万元，公路养护支出1584.35万元，其他公路水路运输支出3030.47万元，车辆购置税用于公路等基础设施建设支出521.83万元，公共交通运营补助支出461.72万元，一般行政管理事务支出3.00万元。比2021年增加370.69万元，增长3.88%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99" w:firstLineChars="200"/>
        <w:jc w:val="both"/>
        <w:textAlignment w:val="baseline"/>
        <w:outlineLvl w:val="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b/>
          <w:bCs/>
          <w:color w:val="auto"/>
          <w:spacing w:val="-11"/>
          <w:sz w:val="32"/>
          <w:szCs w:val="32"/>
        </w:rPr>
        <w:t>四、</w:t>
      </w:r>
      <w:r>
        <w:rPr>
          <w:rFonts w:ascii="黑体" w:hAnsi="黑体" w:eastAsia="黑体" w:cs="黑体"/>
          <w:color w:val="auto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color w:val="auto"/>
          <w:spacing w:val="-11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（一）严格预算支出管理。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（二）财务管理上，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按照国家相关法律法规，制定了机关财务、公物购置使用、接待、会务、因公出国、车辆使用等管理制度，并严格按照制度管理和执行，防范风险，保证财政资金的安全和高效运行。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2" w:firstLineChars="200"/>
        <w:jc w:val="both"/>
        <w:textAlignment w:val="baseline"/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（三）整体支出绩效情况分析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2022年，根</w:t>
      </w:r>
      <w:r>
        <w:rPr>
          <w:rFonts w:hint="eastAsia" w:ascii="仿宋" w:hAnsi="仿宋" w:eastAsia="仿宋"/>
          <w:color w:val="auto"/>
          <w:spacing w:val="-6"/>
          <w:sz w:val="28"/>
          <w:szCs w:val="28"/>
          <w:lang w:val="en-US" w:eastAsia="zh-CN"/>
        </w:rPr>
        <w:t>据该局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2022年度部门整体支出绩效情况如下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1、预算执行方面，该单位预算资金按规定管理使用。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2、预算管理方面，交通部门制定了切实有效的内部财务、资产内部管理制度，执行总体较为有效。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3、重大项目建设协调推进有力。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月12日，梅田湖大桥主桥顺利合龙，已完成建安投资1.2亿元，目前正在抓紧扫尾工作，旧历年前可交工通车。团州乡通三级公路11.51公里已全部完成，投资约2200万元；华一水库至桃花山旅游公路19公里已完工通车；注朝公路目前已完成路基土方和碎石垫层，预计元旦节前完成沥青路面施工、通车运行；梅田湖镇通三级公路2.777公里正在建设中，预计年前完工通车。塔市驿码头10月31日已与湖南省湘水集团签订了合作协议，完成了门座式起重机设备招标工作，正在抓紧设备定制，有望明年上半年投产使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常岳九高铁、荆岳铁路、华容至益阳铁路、利华公铁两用桥、监利至华容至汨罗高速公路已纳入国家、省“十四五”规划，华容将成为高铁、高速“双十字路口”；S218花注公路已完成工可编制及审查，10月17日完成勘察设计招标工作，确定了设计中标单位，启动了用地预审、规划选址、环评等专项技术编制工作；G234杨家桥至田家湖公路、新河至北景港公路已完成工程可行性研究报告审查。洪山头码头目前已完成全过程工程咨询招标、项目选址、现场测量和工程可行性研究报告编制工作，启动了前期专题报告，预计年内取得立项批复；华阳公交首末站作为2023年储备项目，正在开展相关前期工作，“一环二路三高四桥”规划蓝图正在逐步实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着力优化农村公路路网结构，助推乡村振兴发展。今年完成农村公路里程86公里，改建35条公路，涉及13个乡镇，总投资约1.3亿元；G234新河段大修工程已竣工通车，投资约1500万元；G240东山墟场至三封松木桥大修工程建设13.285公里，总投资约4154万元，计划春运前路面主体施工完成；完成铭心桥等20座危桥拆除、重建工作。中心车站提质改造工程于7月底正式完工，已投入使用；北景港运输服务站提质改造工程顺利推进，年内可交付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99" w:firstLineChars="200"/>
        <w:jc w:val="both"/>
        <w:textAlignment w:val="baseline"/>
        <w:outlineLvl w:val="1"/>
        <w:rPr>
          <w:rFonts w:ascii="黑体" w:hAnsi="黑体" w:eastAsia="黑体" w:cs="黑体"/>
          <w:b/>
          <w:bCs/>
          <w:color w:val="auto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pacing w:val="-11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黑体"/>
          <w:b/>
          <w:bCs/>
          <w:color w:val="auto"/>
          <w:spacing w:val="-11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Arial"/>
          <w:snapToGrid w:val="0"/>
          <w:color w:val="auto"/>
          <w:spacing w:val="-11"/>
          <w:kern w:val="0"/>
          <w:sz w:val="28"/>
          <w:szCs w:val="28"/>
          <w:lang w:val="en-US" w:eastAsia="zh-CN"/>
        </w:rPr>
        <w:t>算编制有待更严格执行，预算编制与实际支出项目有的存在差异</w:t>
      </w: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2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79" w:firstLineChars="200"/>
        <w:jc w:val="both"/>
        <w:textAlignment w:val="baseline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-16"/>
          <w:sz w:val="32"/>
          <w:szCs w:val="32"/>
          <w:lang w:val="en-US" w:eastAsia="zh-CN"/>
        </w:rPr>
        <w:t>六、</w:t>
      </w:r>
      <w:r>
        <w:rPr>
          <w:rFonts w:ascii="黑体" w:hAnsi="黑体" w:eastAsia="黑体" w:cs="黑体"/>
          <w:b/>
          <w:bCs/>
          <w:color w:val="auto"/>
          <w:spacing w:val="-16"/>
          <w:sz w:val="32"/>
          <w:szCs w:val="32"/>
        </w:rPr>
        <w:t>下一步改进措施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一是按照预算规定的项目和用途严格财务审核，经费支出严格按预算规定项目的财务支出内容进行财务核算，在预算金额内严格控制费用的支出。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二是严格控制“三公”经费支出，杜绝挪用和挤占其他预算资金；进一步细化“三公”经费管理，压缩“三公”经费支出。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三是预算财务分析常态化，定期做好预算支出财务分析，做好部门整体支出预算评价工作。</w:t>
      </w:r>
    </w:p>
    <w:p>
      <w:pPr>
        <w:tabs>
          <w:tab w:val="left" w:pos="7525"/>
        </w:tabs>
        <w:ind w:firstLine="2240" w:firstLineChars="80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pStyle w:val="3"/>
        <w:spacing w:line="580" w:lineRule="exact"/>
        <w:ind w:left="0" w:leftChars="0" w:firstLine="0" w:firstLineChars="0"/>
        <w:jc w:val="right"/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>华容县交通运输局</w:t>
      </w:r>
    </w:p>
    <w:p>
      <w:pPr>
        <w:pStyle w:val="3"/>
        <w:spacing w:line="580" w:lineRule="exact"/>
        <w:ind w:firstLine="840" w:firstLineChars="300"/>
        <w:jc w:val="center"/>
        <w:rPr>
          <w:rFonts w:ascii="Arial"/>
          <w:color w:val="auto"/>
          <w:sz w:val="21"/>
        </w:rPr>
      </w:pPr>
      <w:r>
        <w:rPr>
          <w:rFonts w:hint="eastAsia" w:ascii="仿宋" w:hAnsi="仿宋" w:eastAsia="仿宋" w:cs="Arial"/>
          <w:snapToGrid w:val="0"/>
          <w:color w:val="auto"/>
          <w:kern w:val="0"/>
          <w:sz w:val="28"/>
          <w:szCs w:val="28"/>
          <w:lang w:val="en-US" w:eastAsia="zh-CN"/>
        </w:rPr>
        <w:t xml:space="preserve">                                         2023年7月</w:t>
      </w:r>
    </w:p>
    <w:p>
      <w:pPr>
        <w:spacing w:line="261" w:lineRule="auto"/>
        <w:rPr>
          <w:rFonts w:ascii="Arial"/>
          <w:color w:val="auto"/>
          <w:sz w:val="21"/>
        </w:rPr>
      </w:pPr>
    </w:p>
    <w:p>
      <w:pPr>
        <w:rPr>
          <w:rFonts w:ascii="Arial"/>
          <w:color w:val="auto"/>
          <w:sz w:val="21"/>
        </w:rPr>
      </w:pPr>
    </w:p>
    <w:sectPr>
      <w:headerReference r:id="rId7" w:type="default"/>
      <w:footerReference r:id="rId8" w:type="default"/>
      <w:pgSz w:w="11900" w:h="16830"/>
      <w:pgMar w:top="1701" w:right="1701" w:bottom="1701" w:left="17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yOTRiNzkwZGM3N2JhZGFlZDc0Y2Y3N2I2YzFiNzMifQ=="/>
  </w:docVars>
  <w:rsids>
    <w:rsidRoot w:val="00000000"/>
    <w:rsid w:val="00824069"/>
    <w:rsid w:val="00B561ED"/>
    <w:rsid w:val="00B701B7"/>
    <w:rsid w:val="01514167"/>
    <w:rsid w:val="01695955"/>
    <w:rsid w:val="019E1F38"/>
    <w:rsid w:val="01B446F6"/>
    <w:rsid w:val="01D803E5"/>
    <w:rsid w:val="01F6718B"/>
    <w:rsid w:val="026B1259"/>
    <w:rsid w:val="02A97FD3"/>
    <w:rsid w:val="03277D1C"/>
    <w:rsid w:val="034026E5"/>
    <w:rsid w:val="03B1713F"/>
    <w:rsid w:val="03DD1CE2"/>
    <w:rsid w:val="042E1D38"/>
    <w:rsid w:val="043B4C5B"/>
    <w:rsid w:val="045A1585"/>
    <w:rsid w:val="048E122E"/>
    <w:rsid w:val="052E656D"/>
    <w:rsid w:val="056401E1"/>
    <w:rsid w:val="05D830A9"/>
    <w:rsid w:val="060F639F"/>
    <w:rsid w:val="06470BA8"/>
    <w:rsid w:val="067D155B"/>
    <w:rsid w:val="069B5E85"/>
    <w:rsid w:val="06F37A6F"/>
    <w:rsid w:val="07043A2A"/>
    <w:rsid w:val="07191772"/>
    <w:rsid w:val="0730481F"/>
    <w:rsid w:val="07E8334B"/>
    <w:rsid w:val="07ED2710"/>
    <w:rsid w:val="081952B3"/>
    <w:rsid w:val="0869623A"/>
    <w:rsid w:val="08836BD0"/>
    <w:rsid w:val="09304FAA"/>
    <w:rsid w:val="09594501"/>
    <w:rsid w:val="0A161889"/>
    <w:rsid w:val="0A4B23D1"/>
    <w:rsid w:val="0A5E16A3"/>
    <w:rsid w:val="0A826885"/>
    <w:rsid w:val="0A943317"/>
    <w:rsid w:val="0AC0410C"/>
    <w:rsid w:val="0AEE2A27"/>
    <w:rsid w:val="0B266665"/>
    <w:rsid w:val="0BE1433A"/>
    <w:rsid w:val="0C2801BA"/>
    <w:rsid w:val="0C517711"/>
    <w:rsid w:val="0C9B098C"/>
    <w:rsid w:val="0CAD06C0"/>
    <w:rsid w:val="0CE546F8"/>
    <w:rsid w:val="0D132C19"/>
    <w:rsid w:val="0D2C3CDA"/>
    <w:rsid w:val="0D454F4B"/>
    <w:rsid w:val="0D611BD6"/>
    <w:rsid w:val="0D705975"/>
    <w:rsid w:val="0DC54629"/>
    <w:rsid w:val="0E59465B"/>
    <w:rsid w:val="0E947D89"/>
    <w:rsid w:val="0F81030D"/>
    <w:rsid w:val="0FD06B9F"/>
    <w:rsid w:val="0FFC3E38"/>
    <w:rsid w:val="106043C7"/>
    <w:rsid w:val="10E01064"/>
    <w:rsid w:val="11401B02"/>
    <w:rsid w:val="11472E91"/>
    <w:rsid w:val="116C0B49"/>
    <w:rsid w:val="11C12C43"/>
    <w:rsid w:val="11D54941"/>
    <w:rsid w:val="12415B32"/>
    <w:rsid w:val="12FC5EFD"/>
    <w:rsid w:val="13070B2A"/>
    <w:rsid w:val="133302A9"/>
    <w:rsid w:val="134A0A16"/>
    <w:rsid w:val="13A75E69"/>
    <w:rsid w:val="13E96481"/>
    <w:rsid w:val="14223741"/>
    <w:rsid w:val="14956609"/>
    <w:rsid w:val="149C022D"/>
    <w:rsid w:val="14ED1FA1"/>
    <w:rsid w:val="14F0383F"/>
    <w:rsid w:val="158C17BA"/>
    <w:rsid w:val="15C2342E"/>
    <w:rsid w:val="15F66C34"/>
    <w:rsid w:val="161B5E12"/>
    <w:rsid w:val="16565924"/>
    <w:rsid w:val="16A305AF"/>
    <w:rsid w:val="16CD3E38"/>
    <w:rsid w:val="16F13FCB"/>
    <w:rsid w:val="174E298E"/>
    <w:rsid w:val="17D17958"/>
    <w:rsid w:val="187D188E"/>
    <w:rsid w:val="18BF5A03"/>
    <w:rsid w:val="193E726F"/>
    <w:rsid w:val="198E3107"/>
    <w:rsid w:val="19BE215E"/>
    <w:rsid w:val="1A475CB0"/>
    <w:rsid w:val="1AB71087"/>
    <w:rsid w:val="1AE45BF4"/>
    <w:rsid w:val="1BC51582"/>
    <w:rsid w:val="1BCC2910"/>
    <w:rsid w:val="1C0A3439"/>
    <w:rsid w:val="1CC04C62"/>
    <w:rsid w:val="1CE95744"/>
    <w:rsid w:val="1D322C47"/>
    <w:rsid w:val="1E200CF1"/>
    <w:rsid w:val="1EA5569B"/>
    <w:rsid w:val="1EBA7398"/>
    <w:rsid w:val="1F234F3D"/>
    <w:rsid w:val="1FD14D66"/>
    <w:rsid w:val="20374989"/>
    <w:rsid w:val="2039253E"/>
    <w:rsid w:val="203942EC"/>
    <w:rsid w:val="206C6470"/>
    <w:rsid w:val="20F841A8"/>
    <w:rsid w:val="21090163"/>
    <w:rsid w:val="213521D5"/>
    <w:rsid w:val="21A954A2"/>
    <w:rsid w:val="21FE134A"/>
    <w:rsid w:val="22A243CB"/>
    <w:rsid w:val="22AC6FF8"/>
    <w:rsid w:val="22C73E32"/>
    <w:rsid w:val="234E4553"/>
    <w:rsid w:val="235B27CC"/>
    <w:rsid w:val="236B0C61"/>
    <w:rsid w:val="237F6C74"/>
    <w:rsid w:val="245416F5"/>
    <w:rsid w:val="247578BD"/>
    <w:rsid w:val="24A3267C"/>
    <w:rsid w:val="24E46F1D"/>
    <w:rsid w:val="251D20A4"/>
    <w:rsid w:val="251F61A7"/>
    <w:rsid w:val="257047C7"/>
    <w:rsid w:val="257D111F"/>
    <w:rsid w:val="25B14925"/>
    <w:rsid w:val="25C1100C"/>
    <w:rsid w:val="25C44658"/>
    <w:rsid w:val="25F52A64"/>
    <w:rsid w:val="2604539D"/>
    <w:rsid w:val="261A4BC0"/>
    <w:rsid w:val="267A740D"/>
    <w:rsid w:val="269F0C21"/>
    <w:rsid w:val="27333CBA"/>
    <w:rsid w:val="273870AC"/>
    <w:rsid w:val="27C2106B"/>
    <w:rsid w:val="27CE17BE"/>
    <w:rsid w:val="27E47234"/>
    <w:rsid w:val="27FA0805"/>
    <w:rsid w:val="287C746C"/>
    <w:rsid w:val="2881002E"/>
    <w:rsid w:val="2996630C"/>
    <w:rsid w:val="2A4346E5"/>
    <w:rsid w:val="2A5C7555"/>
    <w:rsid w:val="2AA44A58"/>
    <w:rsid w:val="2AE35581"/>
    <w:rsid w:val="2B361B54"/>
    <w:rsid w:val="2B9845BD"/>
    <w:rsid w:val="2BA70CA4"/>
    <w:rsid w:val="2BFD08C4"/>
    <w:rsid w:val="2C416A03"/>
    <w:rsid w:val="2C491D5B"/>
    <w:rsid w:val="2C9A6113"/>
    <w:rsid w:val="2CEF46B1"/>
    <w:rsid w:val="2E075A2A"/>
    <w:rsid w:val="2E47276C"/>
    <w:rsid w:val="2E9B6172"/>
    <w:rsid w:val="2F2F40CA"/>
    <w:rsid w:val="2F452CAE"/>
    <w:rsid w:val="2FEC137B"/>
    <w:rsid w:val="300D4E4E"/>
    <w:rsid w:val="300F506A"/>
    <w:rsid w:val="30191A45"/>
    <w:rsid w:val="303159D3"/>
    <w:rsid w:val="30B04157"/>
    <w:rsid w:val="30F57DBC"/>
    <w:rsid w:val="31280191"/>
    <w:rsid w:val="3140197F"/>
    <w:rsid w:val="317E6003"/>
    <w:rsid w:val="31A67308"/>
    <w:rsid w:val="32002EBC"/>
    <w:rsid w:val="32B6089D"/>
    <w:rsid w:val="32E97DF4"/>
    <w:rsid w:val="3310712F"/>
    <w:rsid w:val="33354DE7"/>
    <w:rsid w:val="339B7340"/>
    <w:rsid w:val="3453540A"/>
    <w:rsid w:val="345D45F6"/>
    <w:rsid w:val="34983880"/>
    <w:rsid w:val="34D04DC8"/>
    <w:rsid w:val="352E7D40"/>
    <w:rsid w:val="35456D56"/>
    <w:rsid w:val="355754E9"/>
    <w:rsid w:val="355D23D3"/>
    <w:rsid w:val="3578720D"/>
    <w:rsid w:val="35E11E09"/>
    <w:rsid w:val="36107446"/>
    <w:rsid w:val="3642059B"/>
    <w:rsid w:val="36FE3EB6"/>
    <w:rsid w:val="37135440"/>
    <w:rsid w:val="37182A56"/>
    <w:rsid w:val="37332445"/>
    <w:rsid w:val="37465815"/>
    <w:rsid w:val="375D490D"/>
    <w:rsid w:val="37621F23"/>
    <w:rsid w:val="376B527C"/>
    <w:rsid w:val="37751C56"/>
    <w:rsid w:val="379E11AD"/>
    <w:rsid w:val="379E73FF"/>
    <w:rsid w:val="37E64902"/>
    <w:rsid w:val="38305B7D"/>
    <w:rsid w:val="3836588A"/>
    <w:rsid w:val="38B90269"/>
    <w:rsid w:val="38CA7D80"/>
    <w:rsid w:val="38CE5AC2"/>
    <w:rsid w:val="38DC5B2C"/>
    <w:rsid w:val="38EE1CC0"/>
    <w:rsid w:val="39A16D33"/>
    <w:rsid w:val="39D23390"/>
    <w:rsid w:val="39E644EA"/>
    <w:rsid w:val="39ED1F78"/>
    <w:rsid w:val="39F94DC1"/>
    <w:rsid w:val="3A0948D8"/>
    <w:rsid w:val="3A7C32FC"/>
    <w:rsid w:val="3A8D5509"/>
    <w:rsid w:val="3AA30888"/>
    <w:rsid w:val="3AE25855"/>
    <w:rsid w:val="3AED5FA8"/>
    <w:rsid w:val="3B135A0E"/>
    <w:rsid w:val="3B5E2A13"/>
    <w:rsid w:val="3B651FE2"/>
    <w:rsid w:val="3C0B4937"/>
    <w:rsid w:val="3CE82ECA"/>
    <w:rsid w:val="3D6A38DF"/>
    <w:rsid w:val="3DD1395F"/>
    <w:rsid w:val="3DF53AF1"/>
    <w:rsid w:val="3E351495"/>
    <w:rsid w:val="3E78202C"/>
    <w:rsid w:val="3E99447C"/>
    <w:rsid w:val="3EBC016B"/>
    <w:rsid w:val="3EE871B2"/>
    <w:rsid w:val="3F6F51DD"/>
    <w:rsid w:val="404B17A6"/>
    <w:rsid w:val="404C3770"/>
    <w:rsid w:val="404C551E"/>
    <w:rsid w:val="40A23390"/>
    <w:rsid w:val="40F33E6B"/>
    <w:rsid w:val="414D154E"/>
    <w:rsid w:val="41984EBF"/>
    <w:rsid w:val="41E73751"/>
    <w:rsid w:val="42DC0DDB"/>
    <w:rsid w:val="42F36125"/>
    <w:rsid w:val="4340580E"/>
    <w:rsid w:val="435C016E"/>
    <w:rsid w:val="43707776"/>
    <w:rsid w:val="438374A9"/>
    <w:rsid w:val="43F565F9"/>
    <w:rsid w:val="43F62371"/>
    <w:rsid w:val="4416031D"/>
    <w:rsid w:val="44246EDE"/>
    <w:rsid w:val="44613C8E"/>
    <w:rsid w:val="44A439A4"/>
    <w:rsid w:val="45322F35"/>
    <w:rsid w:val="45E00BE3"/>
    <w:rsid w:val="463F7FFF"/>
    <w:rsid w:val="465F41FD"/>
    <w:rsid w:val="466A4950"/>
    <w:rsid w:val="473C62ED"/>
    <w:rsid w:val="474433F3"/>
    <w:rsid w:val="47AC3472"/>
    <w:rsid w:val="48164D90"/>
    <w:rsid w:val="484F2050"/>
    <w:rsid w:val="489D100D"/>
    <w:rsid w:val="490177EE"/>
    <w:rsid w:val="49361512"/>
    <w:rsid w:val="49920446"/>
    <w:rsid w:val="49CE3543"/>
    <w:rsid w:val="4A0E7ADB"/>
    <w:rsid w:val="4A802994"/>
    <w:rsid w:val="4A8A736F"/>
    <w:rsid w:val="4AC97E97"/>
    <w:rsid w:val="4B306168"/>
    <w:rsid w:val="4B985ABC"/>
    <w:rsid w:val="4BC008BB"/>
    <w:rsid w:val="4C4A14AC"/>
    <w:rsid w:val="4CE92A73"/>
    <w:rsid w:val="4D0E24D9"/>
    <w:rsid w:val="4D1D096E"/>
    <w:rsid w:val="4D250E2D"/>
    <w:rsid w:val="4D387556"/>
    <w:rsid w:val="4D477799"/>
    <w:rsid w:val="4D9C7AE5"/>
    <w:rsid w:val="4DA93FB0"/>
    <w:rsid w:val="4DF07E31"/>
    <w:rsid w:val="4E2F0959"/>
    <w:rsid w:val="4E9764FE"/>
    <w:rsid w:val="4F377384"/>
    <w:rsid w:val="4F4F0B87"/>
    <w:rsid w:val="500D6A78"/>
    <w:rsid w:val="503F0BFC"/>
    <w:rsid w:val="507A1C34"/>
    <w:rsid w:val="50AB003F"/>
    <w:rsid w:val="50E81293"/>
    <w:rsid w:val="510460CD"/>
    <w:rsid w:val="5144471C"/>
    <w:rsid w:val="516A641C"/>
    <w:rsid w:val="51E602A0"/>
    <w:rsid w:val="525E180D"/>
    <w:rsid w:val="538C05FC"/>
    <w:rsid w:val="53982AFD"/>
    <w:rsid w:val="53C75190"/>
    <w:rsid w:val="53DF697E"/>
    <w:rsid w:val="549F7EBB"/>
    <w:rsid w:val="54A61249"/>
    <w:rsid w:val="550A17D8"/>
    <w:rsid w:val="55A41C2D"/>
    <w:rsid w:val="55D6790C"/>
    <w:rsid w:val="56513437"/>
    <w:rsid w:val="56C360E3"/>
    <w:rsid w:val="572F3778"/>
    <w:rsid w:val="57566F57"/>
    <w:rsid w:val="5838665C"/>
    <w:rsid w:val="58676F42"/>
    <w:rsid w:val="58DC502F"/>
    <w:rsid w:val="58E42340"/>
    <w:rsid w:val="5903310E"/>
    <w:rsid w:val="599B6EA3"/>
    <w:rsid w:val="59BD32BD"/>
    <w:rsid w:val="59E36918"/>
    <w:rsid w:val="59E45C04"/>
    <w:rsid w:val="5A225816"/>
    <w:rsid w:val="5A461504"/>
    <w:rsid w:val="5AC266B1"/>
    <w:rsid w:val="5B092876"/>
    <w:rsid w:val="5B6A7475"/>
    <w:rsid w:val="5B85605C"/>
    <w:rsid w:val="5BA30291"/>
    <w:rsid w:val="5C877B46"/>
    <w:rsid w:val="5CC606DB"/>
    <w:rsid w:val="5CD34BA6"/>
    <w:rsid w:val="5D7E7207"/>
    <w:rsid w:val="5D845EA0"/>
    <w:rsid w:val="5D973E25"/>
    <w:rsid w:val="5DBB3FB7"/>
    <w:rsid w:val="5E401BF3"/>
    <w:rsid w:val="5E435D5B"/>
    <w:rsid w:val="5E451AD3"/>
    <w:rsid w:val="5EB822A5"/>
    <w:rsid w:val="5EEC76C7"/>
    <w:rsid w:val="5EFD415C"/>
    <w:rsid w:val="5F092B01"/>
    <w:rsid w:val="5F4B136B"/>
    <w:rsid w:val="5F610B8F"/>
    <w:rsid w:val="6003562D"/>
    <w:rsid w:val="60210924"/>
    <w:rsid w:val="60F668A1"/>
    <w:rsid w:val="61642270"/>
    <w:rsid w:val="617526CF"/>
    <w:rsid w:val="61DA03D6"/>
    <w:rsid w:val="62650996"/>
    <w:rsid w:val="635307EE"/>
    <w:rsid w:val="63620A31"/>
    <w:rsid w:val="664E2757"/>
    <w:rsid w:val="66CA7019"/>
    <w:rsid w:val="66CF63DE"/>
    <w:rsid w:val="66E31E89"/>
    <w:rsid w:val="672F1572"/>
    <w:rsid w:val="676B07FC"/>
    <w:rsid w:val="678A0557"/>
    <w:rsid w:val="686139AD"/>
    <w:rsid w:val="695D5F23"/>
    <w:rsid w:val="699F478D"/>
    <w:rsid w:val="69AB1384"/>
    <w:rsid w:val="69F06D97"/>
    <w:rsid w:val="6A0171F6"/>
    <w:rsid w:val="6A3273AF"/>
    <w:rsid w:val="6A507835"/>
    <w:rsid w:val="6ACB15B2"/>
    <w:rsid w:val="6AFE54E3"/>
    <w:rsid w:val="6B5B46E4"/>
    <w:rsid w:val="6BBF2EC5"/>
    <w:rsid w:val="6C6121CE"/>
    <w:rsid w:val="6C661592"/>
    <w:rsid w:val="6CB00A5F"/>
    <w:rsid w:val="6CB57E24"/>
    <w:rsid w:val="6CDA788A"/>
    <w:rsid w:val="6CF0373E"/>
    <w:rsid w:val="6E7F4B8D"/>
    <w:rsid w:val="6F016A11"/>
    <w:rsid w:val="6F0D3F47"/>
    <w:rsid w:val="6F5C4ECE"/>
    <w:rsid w:val="6F8D6E36"/>
    <w:rsid w:val="6FC073DF"/>
    <w:rsid w:val="6FD131C7"/>
    <w:rsid w:val="6FEC0000"/>
    <w:rsid w:val="705D4A5A"/>
    <w:rsid w:val="708446DD"/>
    <w:rsid w:val="712B4B58"/>
    <w:rsid w:val="71FB41EE"/>
    <w:rsid w:val="7315161C"/>
    <w:rsid w:val="73F13E37"/>
    <w:rsid w:val="73FC27DC"/>
    <w:rsid w:val="750B0F29"/>
    <w:rsid w:val="75F714AD"/>
    <w:rsid w:val="76136A98"/>
    <w:rsid w:val="76860C77"/>
    <w:rsid w:val="76AA651F"/>
    <w:rsid w:val="770A5210"/>
    <w:rsid w:val="770C2D36"/>
    <w:rsid w:val="772A140E"/>
    <w:rsid w:val="775F555C"/>
    <w:rsid w:val="77672662"/>
    <w:rsid w:val="77ED2B68"/>
    <w:rsid w:val="782B3690"/>
    <w:rsid w:val="78563F35"/>
    <w:rsid w:val="79260977"/>
    <w:rsid w:val="795F1843"/>
    <w:rsid w:val="79F05FF4"/>
    <w:rsid w:val="7AF75AAB"/>
    <w:rsid w:val="7B9B0B2D"/>
    <w:rsid w:val="7BB57E40"/>
    <w:rsid w:val="7BC57958"/>
    <w:rsid w:val="7BD04C7A"/>
    <w:rsid w:val="7BE67FFA"/>
    <w:rsid w:val="7C6707D9"/>
    <w:rsid w:val="7CB41EA6"/>
    <w:rsid w:val="7CCD4D16"/>
    <w:rsid w:val="7DDB3462"/>
    <w:rsid w:val="7E470AF8"/>
    <w:rsid w:val="7E5A6A7D"/>
    <w:rsid w:val="7E9E2E0E"/>
    <w:rsid w:val="7EC30AC6"/>
    <w:rsid w:val="7F721BA4"/>
    <w:rsid w:val="7F7E679B"/>
    <w:rsid w:val="7F890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3810</Words>
  <Characters>4352</Characters>
  <TotalTime>19</TotalTime>
  <ScaleCrop>false</ScaleCrop>
  <LinksUpToDate>false</LinksUpToDate>
  <CharactersWithSpaces>4462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2023-07-03T08:28:00Z</dcterms:created>
  <dc:creator>Kingsoft-PDF</dc:creator>
  <cp:lastModifiedBy>吴丹</cp:lastModifiedBy>
  <dcterms:modified xsi:type="dcterms:W3CDTF">2023-07-06T08:12:11Z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2023-07-03T08:28:50Z</vt:filetime>
  </property>
  <property fmtid="{D5CDD505-2E9C-101B-9397-08002B2CF9AE}" pid="4" name="UsrData">
    <vt:lpwstr>64a2163bdaff7b001fdb57b9wl</vt:lpwstr>
  </property>
  <property fmtid="{D5CDD505-2E9C-101B-9397-08002B2CF9AE}" pid="5" name="KSOProductBuildVer">
    <vt:lpwstr>2052-11.1.0.12980</vt:lpwstr>
  </property>
  <property fmtid="{D5CDD505-2E9C-101B-9397-08002B2CF9AE}" pid="6" name="ICV">
    <vt:lpwstr>256BD7ECEAA34A92BC9EF1DB4AD252D9</vt:lpwstr>
  </property>
</Properties>
</file>