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line="412" w:lineRule="auto"/>
        <w:rPr>
          <w:rFonts w:ascii="Arial"/>
          <w:sz w:val="21"/>
        </w:rPr>
      </w:pPr>
    </w:p>
    <w:p>
      <w:pPr>
        <w:spacing w:before="108" w:line="224" w:lineRule="auto"/>
        <w:ind w:left="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附件1</w:t>
      </w:r>
    </w:p>
    <w:p>
      <w:pPr>
        <w:spacing w:before="244" w:line="218" w:lineRule="auto"/>
        <w:ind w:left="3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2022年度部门整体支出绩效评价基础数据表</w:t>
      </w:r>
    </w:p>
    <w:p/>
    <w:p>
      <w:pPr>
        <w:spacing w:line="65" w:lineRule="exact"/>
      </w:pPr>
    </w:p>
    <w:tbl>
      <w:tblPr>
        <w:tblStyle w:val="5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2"/>
        <w:gridCol w:w="1968"/>
        <w:gridCol w:w="2427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92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财政供养人员情况(人)</w:t>
            </w:r>
          </w:p>
        </w:tc>
        <w:tc>
          <w:tcPr>
            <w:tcW w:w="1968" w:type="dxa"/>
            <w:vAlign w:val="top"/>
          </w:tcPr>
          <w:p>
            <w:pPr>
              <w:spacing w:before="163" w:line="219" w:lineRule="auto"/>
              <w:ind w:left="6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2427" w:type="dxa"/>
            <w:vAlign w:val="top"/>
          </w:tcPr>
          <w:p>
            <w:pPr>
              <w:spacing w:before="163"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2022年实际在职人数</w:t>
            </w:r>
          </w:p>
        </w:tc>
        <w:tc>
          <w:tcPr>
            <w:tcW w:w="1673" w:type="dxa"/>
            <w:vAlign w:val="top"/>
          </w:tcPr>
          <w:p>
            <w:pPr>
              <w:spacing w:before="163" w:line="219" w:lineRule="auto"/>
              <w:ind w:left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bidi w:val="0"/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88.4%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2" w:type="dxa"/>
            <w:vAlign w:val="top"/>
          </w:tcPr>
          <w:p>
            <w:pPr>
              <w:spacing w:before="170" w:line="220" w:lineRule="auto"/>
              <w:ind w:left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经费控制情况(万元)</w:t>
            </w:r>
          </w:p>
        </w:tc>
        <w:tc>
          <w:tcPr>
            <w:tcW w:w="1968" w:type="dxa"/>
            <w:vAlign w:val="top"/>
          </w:tcPr>
          <w:p>
            <w:pPr>
              <w:spacing w:before="169" w:line="219" w:lineRule="auto"/>
              <w:ind w:left="3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2021年决算数</w:t>
            </w:r>
          </w:p>
        </w:tc>
        <w:tc>
          <w:tcPr>
            <w:tcW w:w="2427" w:type="dxa"/>
            <w:vAlign w:val="top"/>
          </w:tcPr>
          <w:p>
            <w:pPr>
              <w:spacing w:before="169" w:line="219" w:lineRule="auto"/>
              <w:ind w:left="5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2022年预算数</w:t>
            </w:r>
          </w:p>
        </w:tc>
        <w:tc>
          <w:tcPr>
            <w:tcW w:w="1673" w:type="dxa"/>
            <w:vAlign w:val="top"/>
          </w:tcPr>
          <w:p>
            <w:pPr>
              <w:spacing w:before="169" w:line="219" w:lineRule="auto"/>
              <w:ind w:left="1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68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、基本支出：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219.74</w:t>
            </w:r>
          </w:p>
        </w:tc>
        <w:tc>
          <w:tcPr>
            <w:tcW w:w="2427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638.49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638.49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  <w:vAlign w:val="top"/>
          </w:tcPr>
          <w:p>
            <w:pPr>
              <w:spacing w:before="161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其中：三公经费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1.8</w:t>
            </w:r>
          </w:p>
        </w:tc>
        <w:tc>
          <w:tcPr>
            <w:tcW w:w="2427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2" w:type="dxa"/>
            <w:vAlign w:val="top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1.公务用车购置和维护经费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71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  <w:vAlign w:val="top"/>
          </w:tcPr>
          <w:p>
            <w:pPr>
              <w:spacing w:before="162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  <w:vAlign w:val="top"/>
          </w:tcPr>
          <w:p>
            <w:pPr>
              <w:spacing w:before="163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2.出国经费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73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3.公务接待</w:t>
            </w:r>
          </w:p>
        </w:tc>
        <w:tc>
          <w:tcPr>
            <w:tcW w:w="1968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1.8</w:t>
            </w:r>
          </w:p>
        </w:tc>
        <w:tc>
          <w:tcPr>
            <w:tcW w:w="2427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  <w:vAlign w:val="top"/>
          </w:tcPr>
          <w:p>
            <w:pPr>
              <w:spacing w:before="165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192" w:type="dxa"/>
            <w:vAlign w:val="top"/>
          </w:tcPr>
          <w:p>
            <w:pPr>
              <w:spacing w:line="215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  <w:vAlign w:val="top"/>
          </w:tcPr>
          <w:p>
            <w:pPr>
              <w:spacing w:before="166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76" w:line="220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92" w:type="dxa"/>
            <w:vAlign w:val="top"/>
          </w:tcPr>
          <w:p>
            <w:pPr>
              <w:spacing w:before="168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厉行节约保障措施</w:t>
            </w:r>
          </w:p>
        </w:tc>
        <w:tc>
          <w:tcPr>
            <w:tcW w:w="6068" w:type="dxa"/>
            <w:gridSpan w:val="3"/>
            <w:vAlign w:val="top"/>
          </w:tcPr>
          <w:p>
            <w:pPr>
              <w:tabs>
                <w:tab w:val="left" w:pos="7525"/>
              </w:tabs>
              <w:ind w:left="840" w:hanging="840" w:hanging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严格控制“三公”经费支出，杜绝挪用和挤占其他预算资金；进一步细化“三公”经费管理，压缩“三公”经费支出。</w:t>
            </w:r>
          </w:p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2" w:line="336" w:lineRule="auto"/>
        <w:ind w:left="95" w:right="10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说明：以上数据均来源于部门决算报表，其中“基本支出”数据参照基本支出决算明细表(财决05-1</w:t>
      </w:r>
      <w:r>
        <w:rPr>
          <w:rFonts w:ascii="宋体" w:hAnsi="宋体" w:eastAsia="宋体" w:cs="宋体"/>
          <w:spacing w:val="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6"/>
          <w:sz w:val="22"/>
          <w:szCs w:val="22"/>
        </w:rPr>
        <w:t>表);“三公经费”数据参照机构运行信息表(财决附03表);“项目支出”数据参照项目支出决算</w:t>
      </w:r>
      <w:r>
        <w:rPr>
          <w:rFonts w:ascii="宋体" w:hAnsi="宋体" w:eastAsia="宋体" w:cs="宋体"/>
          <w:spacing w:val="-7"/>
          <w:sz w:val="22"/>
          <w:szCs w:val="22"/>
        </w:rPr>
        <w:t>明</w:t>
      </w:r>
    </w:p>
    <w:p>
      <w:pPr>
        <w:spacing w:line="219" w:lineRule="auto"/>
        <w:ind w:left="9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9"/>
          <w:sz w:val="22"/>
          <w:szCs w:val="22"/>
        </w:rPr>
        <w:t>细表(财决05-2表)。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72" w:line="232" w:lineRule="auto"/>
        <w:ind w:left="9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2"/>
          <w:position w:val="-1"/>
          <w:sz w:val="22"/>
          <w:szCs w:val="22"/>
        </w:rPr>
        <w:t>填表人：</w:t>
      </w:r>
      <w:r>
        <w:rPr>
          <w:rFonts w:ascii="仿宋" w:hAnsi="仿宋" w:eastAsia="仿宋" w:cs="仿宋"/>
          <w:spacing w:val="3"/>
          <w:position w:val="-1"/>
          <w:sz w:val="22"/>
          <w:szCs w:val="22"/>
        </w:rPr>
        <w:t xml:space="preserve">         </w:t>
      </w:r>
      <w:r>
        <w:rPr>
          <w:rFonts w:ascii="仿宋" w:hAnsi="仿宋" w:eastAsia="仿宋" w:cs="仿宋"/>
          <w:spacing w:val="-22"/>
          <w:sz w:val="22"/>
          <w:szCs w:val="22"/>
        </w:rPr>
        <w:t>填报日期：</w:t>
      </w:r>
      <w:r>
        <w:rPr>
          <w:rFonts w:ascii="仿宋" w:hAnsi="仿宋" w:eastAsia="仿宋" w:cs="仿宋"/>
          <w:spacing w:val="2"/>
          <w:sz w:val="22"/>
          <w:szCs w:val="22"/>
        </w:rPr>
        <w:t xml:space="preserve">           </w:t>
      </w:r>
      <w:r>
        <w:rPr>
          <w:rFonts w:ascii="仿宋" w:hAnsi="仿宋" w:eastAsia="仿宋" w:cs="仿宋"/>
          <w:spacing w:val="-22"/>
          <w:sz w:val="22"/>
          <w:szCs w:val="22"/>
        </w:rPr>
        <w:t>联系电话：</w:t>
      </w:r>
      <w:r>
        <w:rPr>
          <w:rFonts w:ascii="仿宋" w:hAnsi="仿宋" w:eastAsia="仿宋" w:cs="仿宋"/>
          <w:spacing w:val="3"/>
          <w:sz w:val="22"/>
          <w:szCs w:val="22"/>
        </w:rPr>
        <w:t xml:space="preserve">             </w:t>
      </w:r>
      <w:r>
        <w:rPr>
          <w:rFonts w:ascii="仿宋" w:hAnsi="仿宋" w:eastAsia="仿宋" w:cs="仿宋"/>
          <w:spacing w:val="-22"/>
          <w:sz w:val="22"/>
          <w:szCs w:val="22"/>
        </w:rPr>
        <w:t>单位负责人签字：</w:t>
      </w:r>
    </w:p>
    <w:p>
      <w:pPr>
        <w:sectPr>
          <w:footerReference r:id="rId5" w:type="default"/>
          <w:pgSz w:w="11900" w:h="16830"/>
          <w:pgMar w:top="1430" w:right="1314" w:bottom="1283" w:left="1314" w:header="0" w:footer="995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13" w:line="224" w:lineRule="auto"/>
        <w:ind w:left="69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"/>
          <w:sz w:val="35"/>
          <w:szCs w:val="35"/>
        </w:rPr>
        <w:t>附件2</w:t>
      </w:r>
    </w:p>
    <w:p>
      <w:pPr>
        <w:spacing w:before="273" w:line="219" w:lineRule="auto"/>
        <w:ind w:left="18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2022年度部门整体支出绩效自评表</w:t>
      </w:r>
    </w:p>
    <w:p/>
    <w:p>
      <w:pPr>
        <w:spacing w:line="49" w:lineRule="exact"/>
      </w:pPr>
    </w:p>
    <w:tbl>
      <w:tblPr>
        <w:tblStyle w:val="5"/>
        <w:tblW w:w="10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974"/>
        <w:gridCol w:w="955"/>
        <w:gridCol w:w="1164"/>
        <w:gridCol w:w="1222"/>
        <w:gridCol w:w="1174"/>
        <w:gridCol w:w="656"/>
        <w:gridCol w:w="1124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Align w:val="top"/>
          </w:tcPr>
          <w:p>
            <w:pPr>
              <w:spacing w:before="232" w:line="242" w:lineRule="auto"/>
              <w:ind w:left="174" w:righ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县级预算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部门名称</w:t>
            </w:r>
          </w:p>
        </w:tc>
        <w:tc>
          <w:tcPr>
            <w:tcW w:w="9040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tabs>
                <w:tab w:val="left" w:pos="3932"/>
              </w:tabs>
              <w:bidi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华容县交通运输综合行政执法大队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8" w:line="242" w:lineRule="auto"/>
              <w:ind w:left="384" w:right="188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年度预算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申请</w:t>
            </w:r>
          </w:p>
          <w:p>
            <w:pPr>
              <w:spacing w:before="1" w:line="220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19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spacing w:before="158" w:line="229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年初</w:t>
            </w:r>
          </w:p>
          <w:p>
            <w:pPr>
              <w:spacing w:line="219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222" w:type="dxa"/>
            <w:vAlign w:val="top"/>
          </w:tcPr>
          <w:p>
            <w:pPr>
              <w:spacing w:before="159" w:line="280" w:lineRule="exact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 w:val="21"/>
                <w:szCs w:val="21"/>
              </w:rPr>
              <w:t>全年</w:t>
            </w:r>
          </w:p>
          <w:p>
            <w:pPr>
              <w:spacing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174" w:type="dxa"/>
            <w:vAlign w:val="top"/>
          </w:tcPr>
          <w:p>
            <w:pPr>
              <w:spacing w:before="139" w:line="300" w:lineRule="exact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1"/>
                <w:szCs w:val="21"/>
              </w:rPr>
              <w:t>全年</w:t>
            </w:r>
          </w:p>
          <w:p>
            <w:pPr>
              <w:spacing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执行数</w:t>
            </w:r>
          </w:p>
        </w:tc>
        <w:tc>
          <w:tcPr>
            <w:tcW w:w="6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12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执行率</w:t>
            </w:r>
          </w:p>
        </w:tc>
        <w:tc>
          <w:tcPr>
            <w:tcW w:w="177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6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gridSpan w:val="2"/>
            <w:vAlign w:val="top"/>
          </w:tcPr>
          <w:p>
            <w:pPr>
              <w:spacing w:before="130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1164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</w:t>
            </w:r>
          </w:p>
        </w:tc>
        <w:tc>
          <w:tcPr>
            <w:tcW w:w="1222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638.49</w:t>
            </w:r>
          </w:p>
        </w:tc>
        <w:tc>
          <w:tcPr>
            <w:tcW w:w="1174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638.49</w:t>
            </w:r>
          </w:p>
        </w:tc>
        <w:tc>
          <w:tcPr>
            <w:tcW w:w="656" w:type="dxa"/>
            <w:vAlign w:val="top"/>
          </w:tcPr>
          <w:p>
            <w:pPr>
              <w:spacing w:before="183" w:line="184" w:lineRule="auto"/>
              <w:ind w:left="3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5" w:type="dxa"/>
            <w:gridSpan w:val="4"/>
            <w:vAlign w:val="top"/>
          </w:tcPr>
          <w:p>
            <w:pPr>
              <w:spacing w:before="130" w:line="219" w:lineRule="auto"/>
              <w:ind w:left="6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按收入性质分：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lang w:val="en-US" w:eastAsia="zh-CN"/>
              </w:rPr>
              <w:t>638.49</w:t>
            </w:r>
          </w:p>
        </w:tc>
        <w:tc>
          <w:tcPr>
            <w:tcW w:w="4725" w:type="dxa"/>
            <w:gridSpan w:val="4"/>
            <w:vAlign w:val="top"/>
          </w:tcPr>
          <w:p>
            <w:pPr>
              <w:spacing w:before="130" w:line="219" w:lineRule="auto"/>
              <w:ind w:left="9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按支出性质分：</w:t>
            </w: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  <w:lang w:val="en-US" w:eastAsia="zh-CN"/>
              </w:rPr>
              <w:t>638.49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5" w:type="dxa"/>
            <w:gridSpan w:val="4"/>
            <w:vAlign w:val="top"/>
          </w:tcPr>
          <w:p>
            <w:pPr>
              <w:spacing w:before="131" w:line="219" w:lineRule="auto"/>
              <w:ind w:left="6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其中：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638.49</w:t>
            </w:r>
          </w:p>
        </w:tc>
        <w:tc>
          <w:tcPr>
            <w:tcW w:w="4725" w:type="dxa"/>
            <w:gridSpan w:val="4"/>
            <w:vAlign w:val="top"/>
          </w:tcPr>
          <w:p>
            <w:pPr>
              <w:spacing w:before="130" w:line="219" w:lineRule="auto"/>
              <w:ind w:left="9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val="en-US" w:eastAsia="zh-CN"/>
              </w:rPr>
              <w:t>638.49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5" w:type="dxa"/>
            <w:gridSpan w:val="4"/>
            <w:vAlign w:val="top"/>
          </w:tcPr>
          <w:p>
            <w:pPr>
              <w:spacing w:before="130" w:line="219" w:lineRule="auto"/>
              <w:ind w:left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政府性基金拨款：</w:t>
            </w:r>
          </w:p>
        </w:tc>
        <w:tc>
          <w:tcPr>
            <w:tcW w:w="4725" w:type="dxa"/>
            <w:gridSpan w:val="4"/>
            <w:vAlign w:val="top"/>
          </w:tcPr>
          <w:p>
            <w:pPr>
              <w:spacing w:before="132" w:line="220" w:lineRule="auto"/>
              <w:ind w:left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5" w:type="dxa"/>
            <w:gridSpan w:val="4"/>
            <w:vAlign w:val="top"/>
          </w:tcPr>
          <w:p>
            <w:pPr>
              <w:spacing w:before="131" w:line="219" w:lineRule="auto"/>
              <w:ind w:left="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纳入专户管理的非税收入拨款：</w:t>
            </w:r>
          </w:p>
        </w:tc>
        <w:tc>
          <w:tcPr>
            <w:tcW w:w="472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5" w:type="dxa"/>
            <w:gridSpan w:val="4"/>
            <w:vAlign w:val="top"/>
          </w:tcPr>
          <w:p>
            <w:pPr>
              <w:spacing w:before="133" w:line="220" w:lineRule="auto"/>
              <w:ind w:left="13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其他资金：</w:t>
            </w:r>
          </w:p>
        </w:tc>
        <w:tc>
          <w:tcPr>
            <w:tcW w:w="472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before="213" w:line="220" w:lineRule="auto"/>
              <w:ind w:left="134" w:right="210" w:firstLine="2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总体目标</w:t>
            </w:r>
          </w:p>
        </w:tc>
        <w:tc>
          <w:tcPr>
            <w:tcW w:w="4315" w:type="dxa"/>
            <w:gridSpan w:val="4"/>
            <w:vAlign w:val="top"/>
          </w:tcPr>
          <w:p>
            <w:pPr>
              <w:spacing w:before="123" w:line="220" w:lineRule="auto"/>
              <w:ind w:left="17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预期目标</w:t>
            </w:r>
          </w:p>
        </w:tc>
        <w:tc>
          <w:tcPr>
            <w:tcW w:w="4725" w:type="dxa"/>
            <w:gridSpan w:val="4"/>
            <w:vAlign w:val="top"/>
          </w:tcPr>
          <w:p>
            <w:pPr>
              <w:spacing w:before="122" w:line="219" w:lineRule="auto"/>
              <w:ind w:left="1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70" w:line="217" w:lineRule="auto"/>
              <w:ind w:left="28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绩效指标</w:t>
            </w:r>
          </w:p>
        </w:tc>
        <w:tc>
          <w:tcPr>
            <w:tcW w:w="974" w:type="dxa"/>
            <w:vAlign w:val="top"/>
          </w:tcPr>
          <w:p>
            <w:pPr>
              <w:spacing w:before="175" w:line="236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一级</w:t>
            </w:r>
          </w:p>
          <w:p>
            <w:pPr>
              <w:spacing w:line="220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955" w:type="dxa"/>
            <w:vAlign w:val="top"/>
          </w:tcPr>
          <w:p>
            <w:pPr>
              <w:spacing w:before="175" w:line="279" w:lineRule="exact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1"/>
                <w:szCs w:val="21"/>
              </w:rPr>
              <w:t>二级</w:t>
            </w:r>
          </w:p>
          <w:p>
            <w:pPr>
              <w:spacing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4" w:type="dxa"/>
            <w:vAlign w:val="top"/>
          </w:tcPr>
          <w:p>
            <w:pPr>
              <w:spacing w:before="176" w:line="227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三级</w:t>
            </w:r>
          </w:p>
          <w:p>
            <w:pPr>
              <w:spacing w:line="220" w:lineRule="auto"/>
              <w:ind w:left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222" w:type="dxa"/>
            <w:vAlign w:val="top"/>
          </w:tcPr>
          <w:p>
            <w:pPr>
              <w:spacing w:before="173" w:line="237" w:lineRule="auto"/>
              <w:ind w:left="3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年度</w:t>
            </w:r>
          </w:p>
          <w:p>
            <w:pPr>
              <w:spacing w:line="219" w:lineRule="auto"/>
              <w:ind w:left="2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指标值</w:t>
            </w:r>
          </w:p>
        </w:tc>
        <w:tc>
          <w:tcPr>
            <w:tcW w:w="1174" w:type="dxa"/>
            <w:vAlign w:val="top"/>
          </w:tcPr>
          <w:p>
            <w:pPr>
              <w:spacing w:before="154" w:line="279" w:lineRule="exact"/>
              <w:ind w:left="3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1"/>
                <w:szCs w:val="21"/>
              </w:rPr>
              <w:t>实际</w:t>
            </w:r>
          </w:p>
          <w:p>
            <w:pPr>
              <w:spacing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完成值</w:t>
            </w:r>
          </w:p>
        </w:tc>
        <w:tc>
          <w:tcPr>
            <w:tcW w:w="6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1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3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771" w:type="dxa"/>
            <w:vAlign w:val="top"/>
          </w:tcPr>
          <w:p>
            <w:pPr>
              <w:spacing w:before="143" w:line="246" w:lineRule="auto"/>
              <w:ind w:left="457" w:right="152" w:hanging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偏差原因分析及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产出</w:t>
            </w:r>
          </w:p>
          <w:p>
            <w:pPr>
              <w:spacing w:before="31" w:line="233" w:lineRule="auto"/>
              <w:ind w:left="160" w:right="132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指标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数量</w:t>
            </w:r>
          </w:p>
          <w:p>
            <w:pPr>
              <w:spacing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开展重点主</w:t>
            </w:r>
          </w:p>
          <w:p>
            <w:pPr>
              <w:jc w:val="both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题宣传策划</w:t>
            </w:r>
          </w:p>
          <w:p>
            <w:pPr>
              <w:jc w:val="both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安全生产、文明创建、市场维稳主题宣传</w:t>
            </w:r>
          </w:p>
        </w:tc>
        <w:tc>
          <w:tcPr>
            <w:tcW w:w="1174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4次</w:t>
            </w:r>
          </w:p>
        </w:tc>
        <w:tc>
          <w:tcPr>
            <w:tcW w:w="656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开展党风廉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政教育活动</w:t>
            </w:r>
          </w:p>
        </w:tc>
        <w:tc>
          <w:tcPr>
            <w:tcW w:w="1174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2次</w:t>
            </w:r>
          </w:p>
        </w:tc>
        <w:tc>
          <w:tcPr>
            <w:tcW w:w="656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学法考法合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格率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4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656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8" w:line="237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质量</w:t>
            </w:r>
          </w:p>
          <w:p>
            <w:pPr>
              <w:spacing w:line="220" w:lineRule="auto"/>
              <w:ind w:left="2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服务质量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656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restart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安全“隐患清零”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117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656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68" w:line="237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时效</w:t>
            </w:r>
          </w:p>
          <w:p>
            <w:pPr>
              <w:spacing w:line="220" w:lineRule="auto"/>
              <w:ind w:left="2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路域环境排查整治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1174" w:type="dxa"/>
            <w:vAlign w:val="top"/>
          </w:tcPr>
          <w:p>
            <w:pPr>
              <w:jc w:val="center"/>
            </w:pPr>
          </w:p>
          <w:p>
            <w:pPr>
              <w:bidi w:val="0"/>
              <w:ind w:firstLine="497" w:firstLineChars="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656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超限超载整治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1174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656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打非治违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117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656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69" w:line="23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成本</w:t>
            </w:r>
          </w:p>
          <w:p>
            <w:pPr>
              <w:spacing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预算执行率</w:t>
            </w:r>
          </w:p>
        </w:tc>
        <w:tc>
          <w:tcPr>
            <w:tcW w:w="1222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656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资金使用效率</w:t>
            </w: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4" w:type="dxa"/>
            <w:vAlign w:val="top"/>
          </w:tcPr>
          <w:p>
            <w:pPr>
              <w:jc w:val="center"/>
            </w:pPr>
          </w:p>
          <w:p>
            <w:pPr>
              <w:bidi w:val="0"/>
              <w:ind w:firstLine="557" w:firstLineChars="0"/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100%</w:t>
            </w:r>
          </w:p>
        </w:tc>
        <w:tc>
          <w:tcPr>
            <w:tcW w:w="656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9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63" w:line="182" w:lineRule="auto"/>
        <w:ind w:left="915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0"/>
          <w:w w:val="65"/>
          <w:sz w:val="29"/>
          <w:szCs w:val="29"/>
        </w:rPr>
        <w:t>—</w:t>
      </w:r>
      <w:r>
        <w:rPr>
          <w:rFonts w:ascii="宋体" w:hAnsi="宋体" w:eastAsia="宋体" w:cs="宋体"/>
          <w:spacing w:val="-24"/>
          <w:w w:val="98"/>
          <w:sz w:val="29"/>
          <w:szCs w:val="29"/>
        </w:rPr>
        <w:t>5—</w:t>
      </w:r>
    </w:p>
    <w:p>
      <w:pPr>
        <w:sectPr>
          <w:footerReference r:id="rId6" w:type="default"/>
          <w:pgSz w:w="11900" w:h="16830"/>
          <w:pgMar w:top="1430" w:right="845" w:bottom="400" w:left="765" w:header="0" w:footer="0" w:gutter="0"/>
          <w:cols w:space="720" w:num="1"/>
        </w:sectPr>
      </w:pPr>
    </w:p>
    <w:p/>
    <w:p>
      <w:pPr>
        <w:spacing w:line="102" w:lineRule="exact"/>
      </w:pPr>
    </w:p>
    <w:tbl>
      <w:tblPr>
        <w:tblStyle w:val="5"/>
        <w:tblW w:w="10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822"/>
        <w:gridCol w:w="795"/>
        <w:gridCol w:w="2403"/>
        <w:gridCol w:w="870"/>
        <w:gridCol w:w="930"/>
        <w:gridCol w:w="912"/>
        <w:gridCol w:w="768"/>
        <w:gridCol w:w="1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77" w:line="217" w:lineRule="auto"/>
              <w:ind w:left="36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绩效指标</w:t>
            </w:r>
          </w:p>
        </w:tc>
        <w:tc>
          <w:tcPr>
            <w:tcW w:w="822" w:type="dxa"/>
            <w:vAlign w:val="top"/>
          </w:tcPr>
          <w:p>
            <w:pPr>
              <w:spacing w:before="147" w:line="231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一级</w:t>
            </w:r>
          </w:p>
          <w:p>
            <w:pPr>
              <w:spacing w:line="220" w:lineRule="auto"/>
              <w:ind w:left="2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</w:t>
            </w:r>
          </w:p>
        </w:tc>
        <w:tc>
          <w:tcPr>
            <w:tcW w:w="795" w:type="dxa"/>
            <w:vAlign w:val="top"/>
          </w:tcPr>
          <w:p>
            <w:pPr>
              <w:spacing w:before="167" w:line="207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二级</w:t>
            </w:r>
          </w:p>
          <w:p>
            <w:pPr>
              <w:spacing w:line="220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</w:t>
            </w:r>
          </w:p>
        </w:tc>
        <w:tc>
          <w:tcPr>
            <w:tcW w:w="2403" w:type="dxa"/>
            <w:vAlign w:val="top"/>
          </w:tcPr>
          <w:p>
            <w:pPr>
              <w:spacing w:before="167" w:line="207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三级</w:t>
            </w:r>
          </w:p>
          <w:p>
            <w:pPr>
              <w:spacing w:line="220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</w:t>
            </w:r>
          </w:p>
        </w:tc>
        <w:tc>
          <w:tcPr>
            <w:tcW w:w="870" w:type="dxa"/>
            <w:vAlign w:val="top"/>
          </w:tcPr>
          <w:p>
            <w:pPr>
              <w:spacing w:before="144" w:line="225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年度</w:t>
            </w:r>
          </w:p>
          <w:p>
            <w:pPr>
              <w:spacing w:line="219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指标值</w:t>
            </w:r>
          </w:p>
        </w:tc>
        <w:tc>
          <w:tcPr>
            <w:tcW w:w="930" w:type="dxa"/>
            <w:vAlign w:val="top"/>
          </w:tcPr>
          <w:p>
            <w:pPr>
              <w:spacing w:before="145" w:line="232" w:lineRule="auto"/>
              <w:ind w:left="3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实际</w:t>
            </w:r>
          </w:p>
          <w:p>
            <w:pPr>
              <w:spacing w:line="21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完成值</w:t>
            </w:r>
          </w:p>
        </w:tc>
        <w:tc>
          <w:tcPr>
            <w:tcW w:w="912" w:type="dxa"/>
            <w:vAlign w:val="top"/>
          </w:tcPr>
          <w:p>
            <w:pPr>
              <w:spacing w:before="314" w:line="219" w:lineRule="auto"/>
              <w:ind w:left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分值</w:t>
            </w:r>
          </w:p>
        </w:tc>
        <w:tc>
          <w:tcPr>
            <w:tcW w:w="768" w:type="dxa"/>
            <w:vAlign w:val="top"/>
          </w:tcPr>
          <w:p>
            <w:pPr>
              <w:spacing w:before="314" w:line="219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  <w:tc>
          <w:tcPr>
            <w:tcW w:w="1745" w:type="dxa"/>
            <w:vAlign w:val="top"/>
          </w:tcPr>
          <w:p>
            <w:pPr>
              <w:spacing w:before="184" w:line="222" w:lineRule="auto"/>
              <w:ind w:left="408" w:right="51" w:hanging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偏差原因分析及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4" w:line="221" w:lineRule="auto"/>
              <w:ind w:righ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效益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(30分)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75" w:line="214" w:lineRule="auto"/>
              <w:ind w:left="122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经济效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打非至违、路域环境建查超限超载整治。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全年不间断开展打非至违、路域环境建查超限超载整治。</w:t>
            </w:r>
          </w:p>
        </w:tc>
        <w:tc>
          <w:tcPr>
            <w:tcW w:w="930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完成</w:t>
            </w: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jc w:val="center"/>
            </w:pPr>
          </w:p>
          <w:p>
            <w:pPr>
              <w:bidi w:val="0"/>
              <w:ind w:firstLine="31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……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22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社会效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安全生产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全年未发生安全事故</w:t>
            </w:r>
          </w:p>
        </w:tc>
        <w:tc>
          <w:tcPr>
            <w:tcW w:w="930" w:type="dxa"/>
            <w:vAlign w:val="top"/>
          </w:tcPr>
          <w:p>
            <w:pPr>
              <w:bidi w:val="0"/>
              <w:ind w:firstLine="210" w:firstLineChars="100"/>
              <w:jc w:val="both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完成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22" w:righ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生态效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转变价值观念，增强服务意识，逐步满足社会公众生态需求</w:t>
            </w: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增强服务意识</w:t>
            </w:r>
          </w:p>
        </w:tc>
        <w:tc>
          <w:tcPr>
            <w:tcW w:w="930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完成</w:t>
            </w: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before="315" w:line="21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可持续</w:t>
            </w:r>
          </w:p>
          <w:p>
            <w:pPr>
              <w:spacing w:before="1" w:line="215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影响指</w:t>
            </w:r>
          </w:p>
          <w:p>
            <w:pPr>
              <w:spacing w:line="220" w:lineRule="auto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标</w:t>
            </w: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交通运输行业安全稳定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服务乡村振兴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………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40" w:right="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满意度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(10分)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74" w:line="221" w:lineRule="auto"/>
              <w:ind w:left="122" w:right="111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服务对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象满意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度指标</w:t>
            </w: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年度综合绩效考核公众评议</w:t>
            </w: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公众评议较好</w:t>
            </w:r>
          </w:p>
        </w:tc>
        <w:tc>
          <w:tcPr>
            <w:tcW w:w="930" w:type="dxa"/>
            <w:vAlign w:val="top"/>
          </w:tcPr>
          <w:p>
            <w:pPr>
              <w:jc w:val="center"/>
            </w:pPr>
          </w:p>
          <w:p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保持</w:t>
            </w: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0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3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………</w:t>
            </w:r>
          </w:p>
        </w:tc>
        <w:tc>
          <w:tcPr>
            <w:tcW w:w="870" w:type="dxa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12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824" w:type="dxa"/>
            <w:gridSpan w:val="6"/>
            <w:vAlign w:val="top"/>
          </w:tcPr>
          <w:p>
            <w:pPr>
              <w:spacing w:before="139" w:line="220" w:lineRule="auto"/>
              <w:ind w:left="3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总分</w:t>
            </w:r>
          </w:p>
        </w:tc>
        <w:tc>
          <w:tcPr>
            <w:tcW w:w="912" w:type="dxa"/>
            <w:vAlign w:val="top"/>
          </w:tcPr>
          <w:p>
            <w:pPr>
              <w:spacing w:before="196" w:line="184" w:lineRule="auto"/>
              <w:ind w:left="14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100</w:t>
            </w:r>
          </w:p>
        </w:tc>
        <w:tc>
          <w:tcPr>
            <w:tcW w:w="768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99</w:t>
            </w:r>
          </w:p>
        </w:tc>
        <w:tc>
          <w:tcPr>
            <w:tcW w:w="17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4" w:line="219" w:lineRule="auto"/>
        <w:ind w:left="5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说明：以上数据参照2022年部门决算报表中的“收入支出决算总表”(财</w:t>
      </w:r>
      <w:r>
        <w:rPr>
          <w:rFonts w:ascii="宋体" w:hAnsi="宋体" w:eastAsia="宋体" w:cs="宋体"/>
          <w:spacing w:val="2"/>
          <w:sz w:val="23"/>
          <w:szCs w:val="23"/>
        </w:rPr>
        <w:t>决01表)。</w:t>
      </w:r>
    </w:p>
    <w:p>
      <w:pPr>
        <w:spacing w:before="63" w:line="221" w:lineRule="auto"/>
        <w:ind w:left="59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     </w:t>
      </w:r>
      <w:r>
        <w:rPr>
          <w:rFonts w:ascii="仿宋" w:hAnsi="仿宋" w:eastAsia="仿宋" w:cs="仿宋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         </w:t>
      </w:r>
      <w:r>
        <w:rPr>
          <w:rFonts w:ascii="仿宋" w:hAnsi="仿宋" w:eastAsia="仿宋" w:cs="仿宋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spacing w:val="2"/>
          <w:sz w:val="23"/>
          <w:szCs w:val="23"/>
        </w:rPr>
        <w:t xml:space="preserve">                </w:t>
      </w:r>
      <w:r>
        <w:rPr>
          <w:rFonts w:ascii="仿宋" w:hAnsi="仿宋" w:eastAsia="仿宋" w:cs="仿宋"/>
          <w:spacing w:val="-26"/>
          <w:sz w:val="23"/>
          <w:szCs w:val="23"/>
        </w:rPr>
        <w:t>单位负责人签字：</w:t>
      </w:r>
    </w:p>
    <w:p>
      <w:pPr>
        <w:sectPr>
          <w:footerReference r:id="rId7" w:type="default"/>
          <w:pgSz w:w="11900" w:h="16830"/>
          <w:pgMar w:top="1430" w:right="815" w:bottom="1233" w:left="825" w:header="0" w:footer="945" w:gutter="0"/>
          <w:cols w:space="720" w:num="1"/>
        </w:sectPr>
      </w:pPr>
      <w:bookmarkStart w:id="0" w:name="_GoBack"/>
      <w:bookmarkEnd w:id="0"/>
    </w:p>
    <w:p>
      <w:pPr>
        <w:spacing w:line="402" w:lineRule="auto"/>
        <w:rPr>
          <w:rFonts w:ascii="Arial"/>
          <w:sz w:val="21"/>
        </w:rPr>
      </w:pPr>
    </w:p>
    <w:p>
      <w:pPr>
        <w:spacing w:before="108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附件3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43" w:line="917" w:lineRule="exact"/>
        <w:ind w:left="93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27"/>
          <w:position w:val="35"/>
          <w:sz w:val="36"/>
          <w:szCs w:val="36"/>
        </w:rPr>
        <w:t>2022年度</w:t>
      </w:r>
      <w:r>
        <w:rPr>
          <w:rFonts w:hint="eastAsia" w:ascii="宋体" w:hAnsi="宋体" w:eastAsia="宋体" w:cs="宋体"/>
          <w:b/>
          <w:bCs/>
          <w:spacing w:val="27"/>
          <w:position w:val="35"/>
          <w:sz w:val="36"/>
          <w:szCs w:val="36"/>
          <w:lang w:val="en-US" w:eastAsia="zh-CN"/>
        </w:rPr>
        <w:t>交通运输综合行政执法大队</w:t>
      </w:r>
      <w:r>
        <w:rPr>
          <w:rFonts w:ascii="宋体" w:hAnsi="宋体" w:eastAsia="宋体" w:cs="宋体"/>
          <w:b/>
          <w:bCs/>
          <w:spacing w:val="27"/>
          <w:position w:val="35"/>
          <w:sz w:val="36"/>
          <w:szCs w:val="36"/>
        </w:rPr>
        <w:t>整体支出</w:t>
      </w:r>
    </w:p>
    <w:p>
      <w:pPr>
        <w:spacing w:before="2" w:line="217" w:lineRule="auto"/>
        <w:ind w:left="31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绩效自评报告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7" w:line="326" w:lineRule="auto"/>
        <w:ind w:left="240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部门(单位)名称：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5"/>
          <w:sz w:val="33"/>
          <w:szCs w:val="33"/>
          <w:u w:val="single" w:color="auto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  <w:u w:val="single" w:color="auto"/>
        </w:rPr>
        <w:t>(盖章)</w:t>
      </w:r>
    </w:p>
    <w:p>
      <w:pPr>
        <w:spacing w:line="222" w:lineRule="auto"/>
        <w:ind w:left="359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年</w:t>
      </w:r>
      <w:r>
        <w:rPr>
          <w:rFonts w:ascii="仿宋" w:hAnsi="仿宋" w:eastAsia="仿宋" w:cs="仿宋"/>
          <w:spacing w:val="16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月</w:t>
      </w:r>
      <w:r>
        <w:rPr>
          <w:rFonts w:ascii="仿宋" w:hAnsi="仿宋" w:eastAsia="仿宋" w:cs="仿宋"/>
          <w:spacing w:val="13"/>
          <w:sz w:val="33"/>
          <w:szCs w:val="33"/>
        </w:rPr>
        <w:t xml:space="preserve">  </w:t>
      </w:r>
      <w:r>
        <w:rPr>
          <w:rFonts w:ascii="仿宋" w:hAnsi="仿宋" w:eastAsia="仿宋" w:cs="仿宋"/>
          <w:spacing w:val="-22"/>
          <w:sz w:val="33"/>
          <w:szCs w:val="33"/>
        </w:rPr>
        <w:t>日</w:t>
      </w:r>
    </w:p>
    <w:p>
      <w:pPr>
        <w:spacing w:before="179" w:line="224" w:lineRule="auto"/>
        <w:ind w:left="34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5"/>
          <w:sz w:val="33"/>
          <w:szCs w:val="33"/>
        </w:rPr>
        <w:t>(此页为封面)</w:t>
      </w:r>
    </w:p>
    <w:p>
      <w:pPr>
        <w:sectPr>
          <w:footerReference r:id="rId8" w:type="default"/>
          <w:pgSz w:w="11900" w:h="16830"/>
          <w:pgMar w:top="1430" w:right="1505" w:bottom="1138" w:left="1444" w:header="0" w:footer="857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43" w:line="232" w:lineRule="auto"/>
        <w:ind w:right="763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25"/>
          <w:sz w:val="36"/>
          <w:szCs w:val="36"/>
        </w:rPr>
        <w:t>2022年度</w:t>
      </w:r>
      <w:r>
        <w:rPr>
          <w:rFonts w:hint="eastAsia" w:ascii="宋体" w:hAnsi="宋体" w:eastAsia="宋体" w:cs="宋体"/>
          <w:b/>
          <w:bCs/>
          <w:spacing w:val="25"/>
          <w:sz w:val="36"/>
          <w:szCs w:val="36"/>
          <w:lang w:val="en-US" w:eastAsia="zh-CN"/>
        </w:rPr>
        <w:t>交通运输综合行政执法大队</w:t>
      </w:r>
      <w:r>
        <w:rPr>
          <w:rFonts w:ascii="宋体" w:hAnsi="宋体" w:eastAsia="宋体" w:cs="宋体"/>
          <w:b/>
          <w:bCs/>
          <w:spacing w:val="25"/>
          <w:sz w:val="36"/>
          <w:szCs w:val="36"/>
        </w:rPr>
        <w:t>整体支出</w:t>
      </w:r>
      <w:r>
        <w:rPr>
          <w:rFonts w:ascii="宋体" w:hAnsi="宋体" w:eastAsia="宋体" w:cs="宋体"/>
          <w:spacing w:val="16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绩效自评报告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104" w:line="222" w:lineRule="auto"/>
        <w:ind w:left="644"/>
        <w:outlineLvl w:val="1"/>
        <w:rPr>
          <w:rFonts w:ascii="黑体" w:hAnsi="黑体" w:eastAsia="黑体" w:cs="黑体"/>
          <w:b/>
          <w:bCs/>
          <w:spacing w:val="22"/>
          <w:sz w:val="32"/>
          <w:szCs w:val="32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部门(单位)基本情况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（一）部门（单位）基本情况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华容县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交通运输综合行政执法大队</w:t>
      </w:r>
      <w:r>
        <w:rPr>
          <w:rFonts w:hint="eastAsia" w:ascii="仿宋" w:hAnsi="仿宋" w:eastAsia="仿宋"/>
          <w:sz w:val="28"/>
          <w:szCs w:val="28"/>
        </w:rPr>
        <w:t>系县财政全额预算拨款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事业</w:t>
      </w:r>
      <w:r>
        <w:rPr>
          <w:rFonts w:hint="eastAsia" w:ascii="仿宋" w:hAnsi="仿宋" w:eastAsia="仿宋"/>
          <w:sz w:val="28"/>
          <w:szCs w:val="28"/>
        </w:rPr>
        <w:t>单位。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年编制部门核实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交通运输综合行政执法大队</w:t>
      </w:r>
      <w:r>
        <w:rPr>
          <w:rFonts w:hint="eastAsia" w:ascii="仿宋" w:hAnsi="仿宋" w:eastAsia="仿宋"/>
          <w:sz w:val="28"/>
          <w:szCs w:val="28"/>
        </w:rPr>
        <w:t>人员编制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95</w:t>
      </w:r>
      <w:r>
        <w:rPr>
          <w:rFonts w:hint="eastAsia" w:ascii="仿宋" w:hAnsi="仿宋" w:eastAsia="仿宋"/>
          <w:sz w:val="28"/>
          <w:szCs w:val="28"/>
        </w:rPr>
        <w:t>人，实有人数为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84</w:t>
      </w:r>
      <w:r>
        <w:rPr>
          <w:rFonts w:hint="eastAsia" w:ascii="仿宋" w:hAnsi="仿宋" w:eastAsia="仿宋"/>
          <w:sz w:val="28"/>
          <w:szCs w:val="28"/>
        </w:rPr>
        <w:t>人。</w:t>
      </w:r>
    </w:p>
    <w:p>
      <w:pPr>
        <w:numPr>
          <w:ilvl w:val="0"/>
          <w:numId w:val="2"/>
        </w:num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部门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职能</w:t>
      </w:r>
    </w:p>
    <w:p>
      <w:pPr>
        <w:ind w:firstLine="640" w:firstLineChars="200"/>
        <w:rPr>
          <w:rFonts w:hint="default" w:ascii="黑体" w:hAnsi="黑体" w:eastAsia="黑体" w:cs="黑体"/>
          <w:b/>
          <w:bCs/>
          <w:spacing w:val="2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）宣传贯彻执行国家、省、市、县和上级交通主管部门有关交通运输行政执法的方针、政策、法律法规、规章；（二）依法行驶有关法律法规赋予的道路运政、水运运政、公路路政、公交路政、交通工程质量和安全监督等交通运输领域的行政执法职能；（三）负责全县交通运输综合行政执法的组织、指挥、协调；依法制定全县交通运输综合行政执法的程序、标准、规定并组织实施；负责全县交通运输违法案件受理、处理工作；负责交通运输综合行政执法有关信访举报、服务投诉及违章抄告等事项的受理、处理工作；（四）负责依法对交通运输市场主体及从业人员的经营行为实施监督检查，纠正违章违规经营行为，治理货运车辆，超限运输，联合整治非法营运，维护交通运输市场秩序。</w:t>
      </w:r>
    </w:p>
    <w:p>
      <w:pPr>
        <w:spacing w:before="215" w:line="222" w:lineRule="auto"/>
        <w:ind w:left="644"/>
        <w:outlineLvl w:val="1"/>
        <w:rPr>
          <w:rFonts w:ascii="黑体" w:hAnsi="黑体" w:eastAsia="黑体" w:cs="黑体"/>
          <w:b/>
          <w:bCs/>
          <w:spacing w:val="-14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二、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基本支出情况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（一）基本支出</w:t>
      </w:r>
    </w:p>
    <w:p>
      <w:pPr>
        <w:pStyle w:val="2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2022年华容县交通运输综合行政执法大队全年基本支出</w:t>
      </w:r>
      <w:r>
        <w:rPr>
          <w:rFonts w:hint="eastAsia" w:eastAsia="仿宋_GB2312"/>
          <w:lang w:val="en-US" w:eastAsia="zh-CN"/>
        </w:rPr>
        <w:t>638.49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万元，其中：工资福利支出481.14万元，商品和服务支出157.35万元。</w:t>
      </w:r>
    </w:p>
    <w:p>
      <w:pPr>
        <w:tabs>
          <w:tab w:val="left" w:pos="7525"/>
        </w:tabs>
        <w:ind w:firstLine="562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三公经费支出情况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年“三公”经费实际支出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5.4</w:t>
      </w:r>
      <w:r>
        <w:rPr>
          <w:rFonts w:hint="eastAsia" w:ascii="仿宋" w:hAnsi="仿宋" w:eastAsia="仿宋"/>
          <w:sz w:val="28"/>
          <w:szCs w:val="28"/>
        </w:rPr>
        <w:t>万元，其中公务接待费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3.95万元，公车运行费用1.45万元。比2021年</w:t>
      </w:r>
      <w:r>
        <w:rPr>
          <w:rFonts w:hint="eastAsia" w:ascii="仿宋" w:hAnsi="仿宋" w:eastAsia="仿宋"/>
          <w:sz w:val="28"/>
          <w:szCs w:val="28"/>
        </w:rPr>
        <w:t>“三公”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经费超出3.6万元.其原因是2021年底交通系统执法改革，单位职能合并。交通运输综合行政执法执法大队由18人增加到84人，无车辆到增加执法用车5台，所以</w:t>
      </w:r>
      <w:r>
        <w:rPr>
          <w:rFonts w:hint="eastAsia" w:ascii="仿宋" w:hAnsi="仿宋" w:eastAsia="仿宋"/>
          <w:sz w:val="28"/>
          <w:szCs w:val="28"/>
        </w:rPr>
        <w:t>“三公”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经费相应增加。</w:t>
      </w:r>
    </w:p>
    <w:p>
      <w:pPr>
        <w:tabs>
          <w:tab w:val="left" w:pos="5977"/>
        </w:tabs>
        <w:bidi w:val="0"/>
        <w:jc w:val="left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cs="Arial"/>
          <w:snapToGrid w:val="0"/>
          <w:color w:val="000000"/>
          <w:kern w:val="0"/>
          <w:sz w:val="21"/>
          <w:szCs w:val="21"/>
          <w:lang w:val="en-US" w:eastAsia="zh-CN"/>
        </w:rPr>
        <w:tab/>
      </w:r>
    </w:p>
    <w:p>
      <w:pPr>
        <w:numPr>
          <w:numId w:val="0"/>
        </w:numPr>
        <w:spacing w:before="212" w:line="222" w:lineRule="auto"/>
        <w:ind w:firstLine="575" w:firstLineChars="200"/>
        <w:outlineLvl w:val="1"/>
        <w:rPr>
          <w:rFonts w:ascii="黑体" w:hAnsi="黑体" w:eastAsia="黑体" w:cs="黑体"/>
          <w:b/>
          <w:bCs/>
          <w:spacing w:val="-17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7"/>
          <w:sz w:val="32"/>
          <w:szCs w:val="32"/>
          <w:lang w:val="en-US" w:eastAsia="zh-CN"/>
        </w:rPr>
        <w:t>三、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项目支出情况</w:t>
      </w:r>
    </w:p>
    <w:p>
      <w:pPr>
        <w:pStyle w:val="2"/>
        <w:numPr>
          <w:ilvl w:val="0"/>
          <w:numId w:val="0"/>
        </w:numPr>
        <w:ind w:left="644" w:leftChars="0"/>
        <w:rPr>
          <w:rFonts w:ascii="仿宋" w:hAnsi="仿宋" w:eastAsia="仿宋" w:cs="仿宋"/>
          <w:snapToGrid w:val="0"/>
          <w:color w:val="00000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 xml:space="preserve"> 单位本年度无项目</w:t>
      </w:r>
    </w:p>
    <w:p>
      <w:pPr>
        <w:spacing w:before="214" w:line="221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四、</w:t>
      </w:r>
      <w:r>
        <w:rPr>
          <w:rFonts w:ascii="黑体" w:hAnsi="黑体" w:eastAsia="黑体" w:cs="黑体"/>
          <w:spacing w:val="-7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部门整体支出绩效情况</w:t>
      </w:r>
    </w:p>
    <w:p>
      <w:pPr>
        <w:tabs>
          <w:tab w:val="left" w:pos="7525"/>
        </w:tabs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根据考核评分细则，考评组认为华容县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交通运输综合行政执法大队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整</w:t>
      </w:r>
      <w:r>
        <w:rPr>
          <w:rFonts w:hint="eastAsia" w:ascii="仿宋" w:hAnsi="仿宋" w:eastAsia="仿宋"/>
          <w:sz w:val="28"/>
          <w:szCs w:val="28"/>
        </w:rPr>
        <w:t>体支出，严格按照国家的相关财务管理制度规定，财务制度健全、会计核算规范，依照计划管理使用，交通部门的整体支出对保障交通部门工作的正常运行，贯彻执行国家和省办方针、政策、法律法规，发挥了重要作用，强化部门的责任，交通建设取得了一定的成绩。按照部门整体支出绩效评价指标体系对照打分的出结果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99</w:t>
      </w:r>
      <w:r>
        <w:rPr>
          <w:rFonts w:hint="eastAsia" w:ascii="仿宋" w:hAnsi="仿宋" w:eastAsia="仿宋"/>
          <w:sz w:val="28"/>
          <w:szCs w:val="28"/>
        </w:rPr>
        <w:t>分，等级为优秀。</w:t>
      </w:r>
    </w:p>
    <w:p>
      <w:pPr>
        <w:spacing w:before="266" w:line="222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五、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存在的问题及原因分析</w:t>
      </w:r>
    </w:p>
    <w:p>
      <w:pPr>
        <w:spacing w:before="228" w:line="222" w:lineRule="auto"/>
        <w:ind w:left="644" w:firstLine="560" w:firstLineChars="200"/>
        <w:outlineLvl w:val="1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预算编制有待更严格执行，预算编制与实际支出项目有的存在差异。</w:t>
      </w:r>
    </w:p>
    <w:p>
      <w:pPr>
        <w:spacing w:before="228" w:line="222" w:lineRule="auto"/>
        <w:ind w:left="644"/>
        <w:outlineLvl w:val="1"/>
        <w:rPr>
          <w:rFonts w:ascii="黑体" w:hAnsi="黑体" w:eastAsia="黑体" w:cs="黑体"/>
          <w:b/>
          <w:bCs/>
          <w:spacing w:val="-16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六、</w:t>
      </w:r>
      <w:r>
        <w:rPr>
          <w:rFonts w:ascii="黑体" w:hAnsi="黑体" w:eastAsia="黑体" w:cs="黑体"/>
          <w:spacing w:val="-8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下一步改进措施</w:t>
      </w:r>
    </w:p>
    <w:p>
      <w:pPr>
        <w:tabs>
          <w:tab w:val="left" w:pos="7525"/>
        </w:tabs>
        <w:ind w:left="838" w:leftChars="399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一是按照预算规定的项目和用途严格财务审核，经费支出严格按预算规定项目的财务支出内容进行财务核算，在预算金额内严格控制费用的支出。</w:t>
      </w:r>
    </w:p>
    <w:p>
      <w:pPr>
        <w:tabs>
          <w:tab w:val="left" w:pos="7525"/>
        </w:tabs>
        <w:ind w:left="840" w:hanging="840" w:hangingChars="3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二是严格控制“三公”经费支出，杜绝挪用和挤占其他预算资金；进一步细化“三公”经费管理，压缩“三公”经费支出。</w:t>
      </w:r>
    </w:p>
    <w:p>
      <w:pPr>
        <w:tabs>
          <w:tab w:val="left" w:pos="7525"/>
        </w:tabs>
        <w:ind w:left="840" w:hanging="840" w:hangingChars="300"/>
      </w:pP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三是预算财务分析常态化，定期做好预算支出财务分析，做好部门整体支出预算评价工作。</w:t>
      </w:r>
    </w:p>
    <w:p>
      <w:pPr>
        <w:sectPr>
          <w:footerReference r:id="rId9" w:type="default"/>
          <w:pgSz w:w="11900" w:h="16830"/>
          <w:pgMar w:top="1430" w:right="1619" w:bottom="1219" w:left="1670" w:header="0" w:footer="951" w:gutter="0"/>
          <w:cols w:space="720" w:num="1"/>
        </w:sectPr>
      </w:pPr>
    </w:p>
    <w:p>
      <w:pPr>
        <w:spacing w:before="143" w:line="607" w:lineRule="exact"/>
        <w:sectPr>
          <w:footerReference r:id="rId10" w:type="default"/>
          <w:pgSz w:w="12080" w:h="16950"/>
          <w:pgMar w:top="1440" w:right="1799" w:bottom="1271" w:left="1769" w:header="0" w:footer="972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11" w:type="default"/>
      <w:footerReference r:id="rId12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w w:val="63"/>
        <w:sz w:val="29"/>
        <w:szCs w:val="29"/>
      </w:rPr>
      <w:t>—</w:t>
    </w:r>
    <w:r>
      <w:rPr>
        <w:rFonts w:ascii="宋体" w:hAnsi="宋体" w:eastAsia="宋体" w:cs="宋体"/>
        <w:spacing w:val="-17"/>
        <w:w w:val="95"/>
        <w:sz w:val="29"/>
        <w:szCs w:val="29"/>
      </w:rPr>
      <w:t>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0"/>
        <w:w w:val="63"/>
        <w:sz w:val="29"/>
        <w:szCs w:val="29"/>
      </w:rPr>
      <w:t>—</w:t>
    </w:r>
    <w:r>
      <w:rPr>
        <w:rFonts w:ascii="宋体" w:hAnsi="宋体" w:eastAsia="宋体" w:cs="宋体"/>
        <w:spacing w:val="-20"/>
        <w:w w:val="96"/>
        <w:sz w:val="29"/>
        <w:szCs w:val="29"/>
      </w:rPr>
      <w:t>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14"/>
        <w:w w:val="67"/>
        <w:sz w:val="29"/>
        <w:szCs w:val="29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9"/>
        <w:w w:val="67"/>
        <w:sz w:val="27"/>
        <w:szCs w:val="27"/>
      </w:rPr>
      <w:t>—</w:t>
    </w:r>
    <w:r>
      <w:rPr>
        <w:rFonts w:ascii="宋体" w:hAnsi="宋体" w:eastAsia="宋体" w:cs="宋体"/>
        <w:spacing w:val="-18"/>
        <w:w w:val="98"/>
        <w:sz w:val="27"/>
        <w:szCs w:val="27"/>
      </w:rPr>
      <w:t>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3"/>
        <w:w w:val="73"/>
        <w:sz w:val="30"/>
        <w:szCs w:val="30"/>
      </w:rPr>
      <w:t>—</w:t>
    </w:r>
    <w:r>
      <w:rPr>
        <w:rFonts w:ascii="宋体" w:hAnsi="宋体" w:eastAsia="宋体" w:cs="宋体"/>
        <w:spacing w:val="-121"/>
        <w:sz w:val="30"/>
        <w:szCs w:val="30"/>
      </w:rPr>
      <w:t xml:space="preserve"> </w:t>
    </w:r>
    <w:r>
      <w:rPr>
        <w:rFonts w:ascii="宋体" w:hAnsi="宋体" w:eastAsia="宋体" w:cs="宋体"/>
        <w:spacing w:val="-23"/>
        <w:w w:val="73"/>
        <w:sz w:val="30"/>
        <w:szCs w:val="30"/>
      </w:rPr>
      <w:t>13—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1E942"/>
    <w:multiLevelType w:val="singleLevel"/>
    <w:tmpl w:val="B9C1E9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C122A6"/>
    <w:multiLevelType w:val="singleLevel"/>
    <w:tmpl w:val="4DC122A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M4MTFjNmZiYzZlMTNjNGMzMmVmMTc1ZGUwY2JhOWMifQ=="/>
  </w:docVars>
  <w:rsids>
    <w:rsidRoot w:val="00000000"/>
    <w:rsid w:val="0A722650"/>
    <w:rsid w:val="1B486CA1"/>
    <w:rsid w:val="307F528A"/>
    <w:rsid w:val="3A1334AC"/>
    <w:rsid w:val="462F6D5E"/>
    <w:rsid w:val="58EF1411"/>
    <w:rsid w:val="59E36918"/>
    <w:rsid w:val="70287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widowControl w:val="0"/>
      <w:spacing w:after="200" w:line="276" w:lineRule="auto"/>
      <w:ind w:left="120" w:firstLine="420" w:firstLineChars="100"/>
      <w:jc w:val="both"/>
    </w:pPr>
    <w:rPr>
      <w:rFonts w:ascii="Arial Unicode MS" w:hAnsi="Arial Unicode MS" w:eastAsia="Arial Unicode MS" w:cs="Arial Unicode MS"/>
      <w:kern w:val="2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1894</Words>
  <Characters>2071</Characters>
  <TotalTime>2</TotalTime>
  <ScaleCrop>false</ScaleCrop>
  <LinksUpToDate>false</LinksUpToDate>
  <CharactersWithSpaces>2189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2023-07-03T08:28:00Z</dcterms:created>
  <dc:creator>Kingsoft-PDF</dc:creator>
  <cp:lastModifiedBy>盛夏的果实</cp:lastModifiedBy>
  <cp:lastPrinted>2023-07-18T02:58:00Z</cp:lastPrinted>
  <dcterms:modified xsi:type="dcterms:W3CDTF">2023-07-19T08:32:08Z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2023-07-03T08:28:50Z</vt:filetime>
  </property>
  <property fmtid="{D5CDD505-2E9C-101B-9397-08002B2CF9AE}" pid="4" name="UsrData">
    <vt:lpwstr>64a2163bdaff7b001fdb57b9wl</vt:lpwstr>
  </property>
  <property fmtid="{D5CDD505-2E9C-101B-9397-08002B2CF9AE}" pid="5" name="KSOProductBuildVer">
    <vt:lpwstr>2052-11.1.0.12980</vt:lpwstr>
  </property>
  <property fmtid="{D5CDD505-2E9C-101B-9397-08002B2CF9AE}" pid="6" name="ICV">
    <vt:lpwstr>FC941AF0F07845C0BBD500AC3DC2B255</vt:lpwstr>
  </property>
</Properties>
</file>